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before="144" w:after="14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Рекомендации для формирования стоимости работ по техническому перевооружению и реконструкции</w:t>
      </w:r>
    </w:p>
    <w:p>
      <w:pPr>
        <w:pStyle w:val="1"/>
        <w:keepNext w:val="0"/>
        <w:keepLines w:val="0"/>
        <w:numPr>
          <w:numId w:val="3"/>
          <w:ilvl w:val="0"/>
        </w:numPr>
        <w:tabs>
          <w:tab w:val="left" w:pos="709"/>
        </w:tabs>
        <w:spacing w:before="240" w:after="24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0" w:name="_Toc107952024"/>
      <w:bookmarkStart w:id="1" w:name="_Toc107952025"/>
      <w:bookmarkStart w:id="2" w:name="_Toc85038842"/>
      <w:bookmarkStart w:id="3" w:name="_Toc107952026"/>
      <w:bookmarkEnd w:id="0"/>
      <w:bookmarkEnd w:id="1"/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МЕТОДЫ ОПРЕДЕЛЕНИЯ СМЕТНОЙ СТОИМОСТИ РАБОТ ПО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ТПиР</w:t>
      </w:r>
      <w:bookmarkEnd w:id="2"/>
    </w:p>
    <w:p>
      <w:pPr>
        <w:pStyle w:val="a5"/>
        <w:numPr>
          <w:numId w:val="3"/>
          <w:ilvl w:val="1"/>
        </w:numPr>
        <w:tabs>
          <w:tab w:val="clear" w:pos="360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При определении стоимости мероприятий по </w:t>
      </w:r>
      <w:r>
        <w:rPr>
          <w:rFonts w:ascii="Times New Roman" w:hAnsi="Times New Roman" w:eastAsia="Calibri" w:cs="Times New Roman"/>
          <w:sz w:val="24"/>
          <w:szCs w:val="24"/>
        </w:rPr>
        <w:t xml:space="preserve">ТПиР</w:t>
      </w:r>
      <w:r>
        <w:rPr>
          <w:rFonts w:ascii="Times New Roman" w:hAnsi="Times New Roman" w:eastAsia="Calibri" w:cs="Times New Roman"/>
          <w:sz w:val="24"/>
          <w:szCs w:val="24"/>
        </w:rPr>
        <w:t xml:space="preserve"> приоритетным методом составления сметных расчётов явля</w:t>
      </w:r>
      <w:r>
        <w:rPr>
          <w:rFonts w:ascii="Times New Roman" w:hAnsi="Times New Roman" w:eastAsia="Calibri" w:cs="Times New Roman"/>
          <w:sz w:val="24"/>
          <w:szCs w:val="24"/>
        </w:rPr>
        <w:t xml:space="preserve">ю</w:t>
      </w:r>
      <w:r>
        <w:rPr>
          <w:rFonts w:ascii="Times New Roman" w:hAnsi="Times New Roman" w:eastAsia="Calibri" w:cs="Times New Roman"/>
          <w:sz w:val="24"/>
          <w:szCs w:val="24"/>
        </w:rPr>
        <w:t xml:space="preserve">тся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</w:rPr>
        <w:t xml:space="preserve">ресурсно-индексный метод – применение сметных норм, сметных цен строительных ресурсов в базисном уровне цен с учетом индексов изменения сметной стоимости строительства по группам однородных строительных ресурсов, информация о которых размещена в </w:t>
      </w:r>
      <w:r>
        <w:rPr>
          <w:rFonts w:ascii="Times New Roman" w:hAnsi="Times New Roman" w:eastAsia="Calibri" w:cs="Times New Roman"/>
          <w:sz w:val="24"/>
          <w:szCs w:val="24"/>
        </w:rPr>
        <w:t xml:space="preserve">Федеральной государственной информационной системе ценообразования в строительстве </w:t>
      </w:r>
      <w:r>
        <w:rPr>
          <w:rFonts w:ascii="Times New Roman" w:hAnsi="Times New Roman" w:eastAsia="Calibri" w:cs="Times New Roman"/>
          <w:sz w:val="24"/>
          <w:szCs w:val="24"/>
        </w:rPr>
        <w:t xml:space="preserve">(далее </w:t>
      </w:r>
      <w:r>
        <w:rPr>
          <w:rFonts w:ascii="Times New Roman" w:hAnsi="Times New Roman" w:eastAsia="Calibri" w:cs="Times New Roman"/>
          <w:sz w:val="24"/>
          <w:szCs w:val="24"/>
        </w:rPr>
        <w:t xml:space="preserve">ФГИС ЦС</w:t>
      </w:r>
      <w:r>
        <w:rPr>
          <w:rFonts w:ascii="Times New Roman" w:hAnsi="Times New Roman" w:eastAsia="Calibri" w:cs="Times New Roman"/>
          <w:sz w:val="24"/>
          <w:szCs w:val="24"/>
        </w:rPr>
        <w:t xml:space="preserve">)</w:t>
      </w:r>
      <w:r>
        <w:rPr>
          <w:rFonts w:ascii="Times New Roman" w:hAnsi="Times New Roman" w:eastAsia="Calibri" w:cs="Times New Roman"/>
          <w:sz w:val="24"/>
          <w:szCs w:val="24"/>
        </w:rPr>
        <w:t xml:space="preserve">, с одновременным применением информации о сметных ценах, размещенной в ФГИС ЦС</w:t>
      </w:r>
      <w:r>
        <w:rPr>
          <w:rFonts w:ascii="Times New Roman" w:hAnsi="Times New Roman" w:eastAsia="Calibri" w:cs="Times New Roman"/>
          <w:sz w:val="24"/>
          <w:szCs w:val="24"/>
        </w:rPr>
        <w:t xml:space="preserve">.</w:t>
      </w:r>
    </w:p>
    <w:p>
      <w:pPr>
        <w:tabs>
          <w:tab w:val="left" w:pos="0"/>
          <w:tab w:val="left" w:pos="851"/>
          <w:tab w:val="left" w:pos="1134"/>
        </w:tabs>
        <w:ind w:firstLine="851"/>
        <w:jc w:val="both"/>
        <w:rPr>
          <w:rFonts w:eastAsia="Calibri"/>
        </w:rPr>
      </w:pPr>
      <w:r>
        <w:rPr>
          <w:rFonts w:eastAsia="Calibri"/>
        </w:rPr>
        <w:t xml:space="preserve">При этом, при отсутствии </w:t>
      </w:r>
      <w:r>
        <w:rPr>
          <w:rFonts w:eastAsia="Calibri"/>
        </w:rPr>
        <w:t xml:space="preserve">сметных норм</w:t>
      </w:r>
      <w:r>
        <w:rPr>
          <w:rFonts w:eastAsia="Calibri"/>
        </w:rPr>
        <w:t xml:space="preserve"> на отдельные виды работ, сметную стоимость таких работ допускается определять с использованием сметных норм, разработанных для </w:t>
      </w:r>
      <w:r>
        <w:rPr>
          <w:rFonts w:eastAsia="Calibri"/>
          <w:lang w:eastAsia="en-US"/>
        </w:rPr>
        <w:t xml:space="preserve">применения ресурсно-индексным и ресурсным методами, сведения о которых включены в </w:t>
      </w:r>
      <w:r>
        <w:rPr>
          <w:rFonts w:eastAsia="Calibri"/>
          <w:lang w:eastAsia="en-US"/>
        </w:rPr>
        <w:t xml:space="preserve">Федеральном реестре сметных нормативов (далее </w:t>
      </w:r>
      <w:r>
        <w:rPr>
          <w:rFonts w:eastAsia="Calibri"/>
          <w:lang w:eastAsia="en-US"/>
        </w:rPr>
        <w:t xml:space="preserve">ФРСН</w:t>
      </w:r>
      <w:r>
        <w:rPr>
          <w:rFonts w:eastAsia="Calibri"/>
          <w:lang w:eastAsia="en-US"/>
        </w:rPr>
        <w:t xml:space="preserve">)</w:t>
      </w:r>
      <w:r>
        <w:rPr>
          <w:rFonts w:eastAsia="Calibri"/>
          <w:lang w:eastAsia="en-US"/>
        </w:rPr>
        <w:t xml:space="preserve">, а также сметных</w:t>
      </w:r>
      <w:r>
        <w:rPr>
          <w:rFonts w:eastAsia="Calibri"/>
        </w:rPr>
        <w:t xml:space="preserve"> цен строительных ресурсов, размещенных в ФГИС ЦС.</w:t>
      </w:r>
    </w:p>
    <w:p>
      <w:pPr>
        <w:tabs>
          <w:tab w:val="left" w:pos="709"/>
          <w:tab w:val="left" w:pos="851"/>
          <w:tab w:val="left" w:pos="1134"/>
        </w:tabs>
        <w:ind w:left="709"/>
        <w:jc w:val="both"/>
        <w:rPr>
          <w:rFonts w:eastAsia="Calibri"/>
        </w:rPr>
      </w:pPr>
    </w:p>
    <w:p>
      <w:pPr>
        <w:pStyle w:val="a5"/>
        <w:numPr>
          <w:numId w:val="3"/>
          <w:ilvl w:val="1"/>
        </w:numPr>
        <w:tabs>
          <w:tab w:val="clear" w:pos="360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Для определения стоимости мероприятий по </w:t>
      </w:r>
      <w:r>
        <w:rPr>
          <w:rFonts w:ascii="Times New Roman" w:hAnsi="Times New Roman" w:eastAsia="Calibri" w:cs="Times New Roman"/>
          <w:sz w:val="24"/>
          <w:szCs w:val="24"/>
        </w:rPr>
        <w:t xml:space="preserve">ТПиР</w:t>
      </w:r>
      <w:r>
        <w:rPr>
          <w:rFonts w:ascii="Times New Roman" w:hAnsi="Times New Roman" w:eastAsia="Calibri" w:cs="Times New Roman"/>
          <w:sz w:val="24"/>
          <w:szCs w:val="24"/>
        </w:rPr>
        <w:t xml:space="preserve"> рекомендуется руководствоваться следующей приоритетностью</w:t>
      </w:r>
      <w:r>
        <w:rPr>
          <w:rFonts w:ascii="Times New Roman" w:hAnsi="Times New Roman" w:eastAsia="Calibri" w:cs="Times New Roman"/>
          <w:sz w:val="24"/>
          <w:szCs w:val="24"/>
        </w:rPr>
        <w:t xml:space="preserve"> применяемых СНБ и способов: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актуальная СНБ</w:t>
      </w:r>
      <w:r>
        <w:rPr>
          <w:rFonts w:eastAsia="Calibri"/>
        </w:rPr>
        <w:t xml:space="preserve">-2022</w:t>
      </w:r>
      <w:r>
        <w:rPr>
          <w:rFonts w:eastAsia="Calibri"/>
        </w:rPr>
        <w:t xml:space="preserve"> Минстроя России;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БЦ РЭО;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Прейскурант на экспериментально-наладочные работы и работы по совершенствованию технологии и эксплуатации электростанций и сетей, разработанный Фирмой ОРГРЭС;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ВУЕР, ВЕПР, ВСН и другие ведомственные сметные нормативы;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в случаях отсутствия проектно-сметной документации – укрупненные нормативы цены строительства (НЦС) и укрупненные нормативы цены конструктивных решений (НЦКР);</w:t>
      </w:r>
    </w:p>
    <w:p>
      <w:pPr>
        <w:pStyle w:val="a5"/>
        <w:numPr>
          <w:numId w:val="3"/>
          <w:ilvl w:val="1"/>
        </w:numPr>
        <w:tabs>
          <w:tab w:val="clear" w:pos="360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 определении стоимости мероприятий по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ТПи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рекомендуется руководствоваться положениями Методики определения сметной стоимости строительства, реконструкции, капитального ремонта, сноса объектов капитального строительства, работ по сохранению объектов культурного наследия (памятников истории и культуры) народов Российской Федерации на территории Российской Федерации,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утвержденной приказом Минстроя России от 04.08.2020 №  421/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</w:t>
      </w:r>
    </w:p>
    <w:p>
      <w:pPr>
        <w:tabs>
          <w:tab w:val="left" w:pos="0"/>
          <w:tab w:val="left" w:pos="851"/>
          <w:tab w:val="left" w:pos="1134"/>
        </w:tabs>
        <w:ind w:firstLine="851"/>
        <w:jc w:val="both"/>
        <w:rPr>
          <w:rFonts w:eastAsia="Calibri"/>
        </w:rPr>
      </w:pPr>
      <w:r>
        <w:rPr>
          <w:rFonts w:eastAsia="Calibri"/>
        </w:rPr>
        <w:t xml:space="preserve">С</w:t>
      </w:r>
      <w:r>
        <w:rPr>
          <w:rFonts w:eastAsia="Calibri"/>
        </w:rPr>
        <w:t xml:space="preserve">метн</w:t>
      </w:r>
      <w:r>
        <w:rPr>
          <w:rFonts w:eastAsia="Calibri"/>
        </w:rPr>
        <w:t xml:space="preserve">ая</w:t>
      </w:r>
      <w:r>
        <w:rPr>
          <w:rFonts w:eastAsia="Calibri"/>
        </w:rPr>
        <w:t xml:space="preserve"> стоимост</w:t>
      </w:r>
      <w:r>
        <w:rPr>
          <w:rFonts w:eastAsia="Calibri"/>
        </w:rPr>
        <w:t xml:space="preserve">ь строительства определяется с использованием сметных норм и сметных цен строительных ресурсов в текущем уровне цен, размещенных в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федеральной государственной информационной системе ценообразования в строительстве (ФГИС ЦС)</w:t>
      </w:r>
      <w:r>
        <w:rPr>
          <w:rFonts w:eastAsia="Calibri"/>
        </w:rPr>
        <w:t xml:space="preserve">. В</w:t>
      </w:r>
      <w:r>
        <w:rPr>
          <w:rFonts w:eastAsia="Calibri"/>
        </w:rPr>
        <w:t xml:space="preserve"> случае отсутствия текущих сметных цен в ФГИС ЦС </w:t>
      </w:r>
      <w:r>
        <w:rPr>
          <w:rFonts w:eastAsia="Calibri"/>
        </w:rPr>
        <w:t xml:space="preserve">использовать </w:t>
      </w:r>
      <w:r>
        <w:rPr>
          <w:rFonts w:eastAsia="Calibri"/>
        </w:rPr>
        <w:t xml:space="preserve">индексы </w:t>
      </w:r>
      <w:r>
        <w:rPr>
          <w:rFonts w:eastAsia="Calibri"/>
        </w:rPr>
        <w:t xml:space="preserve">к </w:t>
      </w:r>
      <w:r>
        <w:rPr>
          <w:rFonts w:eastAsia="Calibri"/>
        </w:rPr>
        <w:t xml:space="preserve">группам однородных строительных ресурсов, размещенных в ФГИС ЦС.</w:t>
      </w:r>
    </w:p>
    <w:p>
      <w:pPr>
        <w:pStyle w:val="a5"/>
        <w:numPr>
          <w:numId w:val="3"/>
          <w:ilvl w:val="1"/>
        </w:numPr>
        <w:tabs>
          <w:tab w:val="clear" w:pos="360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При необходимости срок реализации мероприятия</w:t>
      </w:r>
      <w:r>
        <w:rPr>
          <w:rFonts w:ascii="Times New Roman" w:hAnsi="Times New Roman" w:eastAsia="Calibri" w:cs="Times New Roman"/>
          <w:sz w:val="24"/>
          <w:szCs w:val="24"/>
        </w:rPr>
        <w:t xml:space="preserve"> учитывается посредством применения к стоимости мероприятия в целом (в том числе и стоимости оборудования) значений индекса-дефлятора «Темп роста индекса-дефлятора валового накопления основного капитала (инвестиций)», содержащихся в составе прогноза социально-экономического развития Российской Федерации, опубликованного Минэкономразвития </w:t>
      </w:r>
      <w:r>
        <w:rPr>
          <w:rFonts w:ascii="Times New Roman" w:hAnsi="Times New Roman" w:eastAsia="Calibri" w:cs="Times New Roman"/>
          <w:sz w:val="24"/>
          <w:szCs w:val="24"/>
        </w:rPr>
        <w:t xml:space="preserve">России на момент составления сметной документации, дифференцировано по статьям затрат: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при определении стоимости оборудования значение индекса-дефлятора определяется исходя из сроков проведения закупочных процедур (расчетный период – квартал);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при определении стоимости проектно-изыскательских работ значение индекса-дефлятора учитывается на середину срока выполнения работ (расчетный период – квартал);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при определении стоимости строительно-монтажных, пусконаладочных и прочих работ значение индекса-дефлятора определяется на основании графика выполнения работ и (или) иных исходных данных (расчетный период – квартал), в случае отсутствия поквартальных данных значение индекса-дефлятора определяется на середину периода.</w:t>
      </w:r>
    </w:p>
    <w:p>
      <w:pPr>
        <w:pStyle w:val="a5"/>
        <w:numPr>
          <w:numId w:val="3"/>
          <w:ilvl w:val="1"/>
        </w:numPr>
        <w:tabs>
          <w:tab w:val="clear" w:pos="360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Расчетные значения индексов-дефляторов отражаются наглядно в ССР (с указанием формул расчета и ссылок на источники информации).</w:t>
      </w:r>
    </w:p>
    <w:p>
      <w:pPr>
        <w:pStyle w:val="a5"/>
        <w:numPr>
          <w:numId w:val="3"/>
          <w:ilvl w:val="1"/>
        </w:numPr>
        <w:tabs>
          <w:tab w:val="clear" w:pos="360"/>
        </w:tabs>
        <w:ind w:left="0" w:firstLine="851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Уровень предельных значений поправочных индексов для пересчета в текущие (прогнозные) цены к ценам сборников БЦ РЭО, Прейскурантов и иных Ведомственных сборников (ОРГРЭС, ВУЕР, ВСН и т.п.) при подаче предложений принимается на уровне, не выше установленного заказчиком.</w:t>
      </w:r>
    </w:p>
    <w:p>
      <w:pPr>
        <w:keepNext/>
        <w:keepLines/>
        <w:numPr>
          <w:numId w:val="3"/>
          <w:ilvl w:val="0"/>
        </w:numPr>
        <w:spacing w:before="480" w:line="276" w:lineRule="auto"/>
        <w:jc w:val="both"/>
        <w:outlineLvl w:val="0"/>
        <w:rPr>
          <w:rFonts w:eastAsiaTheme="majorEastAsia"/>
          <w:smallCaps/>
          <w:spacing w:val="5"/>
        </w:rPr>
      </w:pPr>
      <w:r>
        <w:rPr>
          <w:rFonts w:eastAsiaTheme="majorEastAsia"/>
          <w:smallCaps/>
          <w:spacing w:val="5"/>
        </w:rPr>
        <w:t xml:space="preserve">ИСХОДНЫЕ ДАННЫЕ ДЛЯ ОПРЕДЕЛЕНИЯ СМЕТНОЙ СТОИМОСТИ РАБОТ ПО </w:t>
      </w:r>
      <w:r>
        <w:rPr>
          <w:rFonts w:eastAsiaTheme="majorEastAsia"/>
          <w:smallCaps/>
          <w:spacing w:val="5"/>
        </w:rPr>
        <w:t xml:space="preserve">ТПиР</w:t>
      </w:r>
    </w:p>
    <w:p>
      <w:pPr>
        <w:tabs>
          <w:tab w:val="left" w:pos="1560"/>
        </w:tabs>
        <w:ind w:firstLine="709"/>
        <w:contextualSpacing/>
        <w:jc w:val="both"/>
        <w:rPr>
          <w:rFonts w:eastAsia="Calibri"/>
        </w:rPr>
      </w:pPr>
      <w:r>
        <w:rPr>
          <w:rFonts w:eastAsia="Calibri"/>
          <w:color w:val="000000"/>
        </w:rPr>
        <w:t xml:space="preserve">Основанием для определения сметной стоимости объектов </w:t>
      </w:r>
      <w:r>
        <w:rPr>
          <w:rFonts w:eastAsia="Calibri"/>
          <w:color w:val="000000"/>
        </w:rPr>
        <w:t xml:space="preserve">ТПиР</w:t>
      </w:r>
      <w:r>
        <w:rPr>
          <w:rFonts w:eastAsia="Calibri"/>
          <w:color w:val="000000"/>
        </w:rPr>
        <w:t xml:space="preserve"> являются: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  <w:color w:val="000000"/>
        </w:rPr>
        <w:t xml:space="preserve">проектная </w:t>
      </w:r>
      <w:r>
        <w:rPr>
          <w:rFonts w:eastAsia="Calibri"/>
        </w:rPr>
        <w:t xml:space="preserve">документация;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рабочая документация, включая рабочие чертежи, спецификации оборудования и изделий;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задание на проектирование;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техническое задание;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ведомости объемов работ (ВОР), утверждённые техническим руководителем (главным инженером либо лицом, им уполномоченным), с указанием наименований работ, их единиц измерения и количества, ссылок на чертежи и спецификации (в случае формирования стоимости на основании проектной и (или) иной технической документации), расчета объемов работ и расхода материальных ресурсов (с приведением формул расчета);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утвержденные заказчиком программа и график производства работ для определения сметной стоимости ПНР;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данные об отпускных ценах и расходах по транспортировке отдельных материалов, изделий и конструкций, оборудования, запасных частей, мебели, инструмента, производственного и хозяйственного инвентаря;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адресные ТКП, полученные от поставщиков, информация о которых имеется в свободном доступе и обладающих необходимым уровнем квалификации и опытом поставок, со сроком давности на момент формирования/актуализации материалов, обосновывающих стоимость объекта </w:t>
      </w:r>
      <w:r>
        <w:rPr>
          <w:rFonts w:eastAsia="Calibri"/>
        </w:rPr>
        <w:t xml:space="preserve">ТПиР</w:t>
      </w:r>
      <w:r>
        <w:rPr>
          <w:rFonts w:eastAsia="Calibri"/>
        </w:rPr>
        <w:t xml:space="preserve">, не превышающим 1 год;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проект производства работ, технологические карты (при наличии), утверждённые техническим руководителем (главным инженером либо лицом, им уполномоченным), документация заводов-изготовителей основного оборудования;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  <w:color w:val="000000"/>
        </w:rPr>
      </w:pPr>
      <w:r>
        <w:rPr>
          <w:rFonts w:eastAsia="Calibri"/>
        </w:rPr>
        <w:t xml:space="preserve">иные исходные данные</w:t>
      </w:r>
      <w:r>
        <w:rPr>
          <w:rFonts w:eastAsia="Calibri"/>
          <w:color w:val="000000"/>
        </w:rPr>
        <w:t xml:space="preserve">, необходимые для определения стоимости работ.</w:t>
      </w:r>
    </w:p>
    <w:p>
      <w:pPr>
        <w:keepNext/>
        <w:keepLines/>
        <w:numPr>
          <w:numId w:val="3"/>
          <w:ilvl w:val="0"/>
        </w:numPr>
        <w:spacing w:before="480" w:line="276" w:lineRule="auto"/>
        <w:jc w:val="both"/>
        <w:outlineLvl w:val="0"/>
      </w:pPr>
      <w:r>
        <w:rPr>
          <w:rFonts w:eastAsiaTheme="majorEastAsia"/>
        </w:rPr>
        <w:t xml:space="preserve">ОСОБЕННОСТИ ПРИМЕНЕНИЯ </w:t>
      </w:r>
      <w:r>
        <w:rPr>
          <w:rFonts w:eastAsiaTheme="majorEastAsia"/>
        </w:rPr>
        <w:t xml:space="preserve">СМЕТНЫХ НОРМ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Для опред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еления сметной стоимости строительных и специальных строительных, ремонтно-строительных и пусконаладочных работ, работ по монтажу оборудования мероприятий по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ТПиР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приоритетным является применение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ФСНБ-2022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Calibri" w:cs="Times New Roman"/>
          <w:sz w:val="24"/>
          <w:szCs w:val="24"/>
          <w:highlight w:val="white"/>
          <w:lang w:eastAsia="ru-RU"/>
        </w:rPr>
        <w:t xml:space="preserve">приказом Минстроя России от 27 декабря 2022 года № 1133/</w:t>
      </w:r>
      <w:r>
        <w:rPr>
          <w:rFonts w:ascii="Times New Roman" w:hAnsi="Times New Roman" w:eastAsia="Calibri" w:cs="Times New Roman"/>
          <w:sz w:val="24"/>
          <w:szCs w:val="24"/>
          <w:highlight w:val="white"/>
          <w:lang w:eastAsia="ru-RU"/>
        </w:rPr>
        <w:t xml:space="preserve">пр</w:t>
      </w:r>
      <w:r>
        <w:rPr>
          <w:rFonts w:ascii="Times New Roman" w:hAnsi="Times New Roman" w:eastAsia="Calibri" w:cs="Times New Roman"/>
          <w:sz w:val="24"/>
          <w:szCs w:val="24"/>
          <w:highlight w:val="white"/>
          <w:lang w:eastAsia="ru-RU"/>
        </w:rPr>
        <w:t xml:space="preserve">)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Порядок и особенности применения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регламентируются Методи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кой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применени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я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 (</w:t>
      </w:r>
      <w:r>
        <w:rPr>
          <w:rFonts w:ascii="Times New Roman" w:hAnsi="Times New Roman" w:eastAsia="Calibri" w:cs="Times New Roman"/>
          <w:sz w:val="24"/>
          <w:szCs w:val="24"/>
          <w:highlight w:val="white"/>
          <w:lang w:eastAsia="ru-RU"/>
        </w:rPr>
        <w:t xml:space="preserve">приказ Минстроя России от 14.07.2022 № 571/</w:t>
      </w:r>
      <w:r>
        <w:rPr>
          <w:rFonts w:ascii="Times New Roman" w:hAnsi="Times New Roman" w:eastAsia="Calibri" w:cs="Times New Roman"/>
          <w:sz w:val="24"/>
          <w:szCs w:val="24"/>
          <w:highlight w:val="white"/>
          <w:lang w:eastAsia="ru-RU"/>
        </w:rPr>
        <w:t xml:space="preserve">пр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), положениями технических частей сборников.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Стоимость строительных и специальных строительных, ремонтно-строительных и пусконаладочных работ, работ по монтажу оборудования включает сметные прямые затраты (сметная стоимость материалов, изделий, конструкций и оборудования, средства на оплату труда рабочих, стоимость эксплуатации машин и механизмов, включая оплату труда рабочих, управляющих машинами), накладные расходы и сметную прибыль, а также отдельные виды затрат, относимые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на стоимость СМР.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Сметные нормы разработаны на основе принципа усреднения с определением нормативного количества строительных ресурсов, необходимого и достаточного для выполнения соответствующего вида строительных, специальных строительных, ремонтно-строительных, монтажных работ.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Выбор сметных нормативов,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и составляющих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для определения СМР и ПНР осуществляется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исходя из соответствия технологии производства работ, принятой в проектной и (или) иной технической документации, состава работ, перечня, характеристик и расхода строительных ресурсов, учтенных сметными нормами.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Внесение изменений в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сметные нормы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не допускается, в том числе в случаях, когда проектной и (или) иной технической документацией предусмотрено: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использование строительных машин и механизмов, не учтенных в сметных нормах, но при этом принципиально не меняю</w:t>
      </w:r>
      <w:r>
        <w:rPr>
          <w:rFonts w:eastAsia="Calibri"/>
        </w:rPr>
        <w:t xml:space="preserve">щих</w:t>
      </w:r>
      <w:r>
        <w:rPr>
          <w:rFonts w:eastAsia="Calibri"/>
        </w:rPr>
        <w:t xml:space="preserve"> технологические и организационные схемы производства работ;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использование в соответствии с ПОС машин и механизмов, технические характеристики которых отличаются от учтенных сметными нормами,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но при этом принципиально не меняю</w:t>
      </w:r>
      <w:r>
        <w:rPr>
          <w:rFonts w:eastAsia="Calibri"/>
        </w:rPr>
        <w:t xml:space="preserve">щих</w:t>
      </w:r>
      <w:r>
        <w:rPr>
          <w:rFonts w:eastAsia="Calibri"/>
        </w:rPr>
        <w:t xml:space="preserve"> технологические и организационные схемы производства работ;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выполнение работ вручную и (или) с использованием средств малой механизации. При этом сметными нормами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учтено применение машин и механизмов или иных технических средств;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применение МТР, характеристики которых отличаются от учтенных сметными нормами, и их применение не меняет технологические и организационные схемы производства работ, не снижает эксплуатационные характеристики конструктивных решений, принятые в проектной и (или) иной технической документации.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Положения о применении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одного сборника, отдела, раздела или подраздела, а также коэффициенты, приведенные в технической части, не применяются к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о сметным нормам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других сборников, отделов, разделов и подразделов.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 применении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учитывается, что параметры отдельных характеристик видов работ, МТР (масса, длина, емкость, диаметр и др.), приведенные со словом "до", понимается включительно, со словом "от" - исключая указанную величину, т.е. свыше.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Корректировка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в сметной документации допускается в части замены подъемного крана в случаях, когда проектной и (или) иной технической документацией обосновано применение подъемного крана, технические характеристики которого отличаются от учтенных сметными нормами в связи с отличием технологических и организационных схем производства работ, принятых при реконструкции, техническом перевооружении по сравнению с учтенными при разработке сметных норм, если это предусмотрено положениями разделов соответствующих сборников сметных норм.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В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ах, включенных в сборники на строительные и специальные строительные работы, не учтены затраты на работу отдельных строительных машин и механизмов (проходческие щиты,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тюбинго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- и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блокоукладчики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и т.п.). Способ определения затрат на эксплуатацию не учтенных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сметными нормами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механизмов изложен в Общих положениях соответствующих сборников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на строительные и специальные строительные работы.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Перечень машин и механизмов, в сметных ценах которых не учтены затраты на перебазировку и учитываемых в сметах отдельной строкой, а также порядок определения затрат на перебазировку приведены в Методических рекомендациях по определению сметных цен на эксплуатацию машин и механизмов, утвержденных приказом Минстроя России от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13.12.2021 № 916/пр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По некоторым материалам, изделиям и конструкциям для строительных, специальных строительных и ремонтно-строительных работ, расход которых зависит от проектных решений, в таблицах сметных норм указываются только наименование материалов, а вместо нормативного показателя расхода соответствующего ресурса приводится литера "П". Расход таких материальных ресурсов при составлении сметной документации определяется по проектным данным и (или) данным иной технической документации с учетом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трудноустранимых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потерь и отходов, связанных с перемещением материалов от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приобъектного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склада до рабочей зоны (зоны монтажа) и их обработкой при производстве соответствующих видов работ.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Перечень оборудования и материальных ресурсов с нормами отходов, которые не учтены в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ных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ах на монтаж оборудования, приведены в Общих положениях и Приложениях сборников на монтаж оборудования.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ыми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норма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ми учтена стоимость электрической и тепловой энергии, сжатого воздуха и воды от постоянных источников снабжения. При получении указанных ресурсов от передвижных источников снабжения разница в их стоимости учитывается непосредственно в локальных сметных расчетах (сметах), включая затраты на сушку зданий, а также на отопление зданий в зимний период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электрокалориферами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при получении электроэнергии от передвижных электростанций.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Затраты на электроэнергию, потребляемую ручным инструментом, относятся к сметной стоимости материальных ресурсов, учитываются в локальных сметных расчетах дополнительно в случаях и размерах, указанных в Общих положениях" и Приложениях сметных норм.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Сметными нормами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учтены затраты на горизонтальное и вертикальное перемещение МТР от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приобъектного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склада до места производства работ на расстояния, приведенные в Общих положениях соответствующих сборников.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В случае, когда проектом предусмотрено перемещение МТР на расстояние, превышающее учтенное сметными нормами, затраты на перемещение определяются по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сметным 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ам сборника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ГЭСН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81-03-40-... "Дополнительное перемещение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оборудования и материальных ресурсов сверх предусмотренного в сборниках единичных расценках на монтаж оборудования".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В случае, если проектной и (или) иной технической документацией предусмотрено приготовление (изготовление) отдельных материальных ресурсов (бетон, раствор, битум, асфальтобетонные и черные щебеночные смеси, битумные эмульсии, металлические конструкции и другие) в построечных условиях или условиях производственных баз, указанные затраты определяются в локальных сметных расчетах (сметах) по соответствующим сметным нормам, сведения о которых включены в ФРСН.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метными нормами не учтены затраты на работы, связанные с подвозкой деталей наружных и внутренних лесов до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приобъектного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склада. Указанные затраты учитываются непосредственно в сметных расчетах (сметах) в соответствии с методическими документами.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Сметная стоимость работ по монтажу оборудования, отсутствующего в действующих сборниках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ГЭСНм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, определяется по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ым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ам ближайшего по массе оборудования при условии, что масса монтируемого оборудования (с учетом массы электродвигателей и приводов) не превышает 10% массы оборудования, при разнице в массе более чем на 10% - применением к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ным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ам ближайшего по массе оборудования коэффициентов, приведенных в Таблице 1 Методических рекомендаций 5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71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/пр.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Если в технической характеристике оборудования масса приведена со словом "до", корректировка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ных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по массе допускается только сверх последнего значения массы, а если "от" и "до" – за рамками крайних пределов.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Корректировка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по массе не производится по электрическим установкам, оборудованию связи, приборам, средствам автоматизации и вычислительной техники, по оборудованию, по которому сметные нормы в сборнике имеют измеритель "т", а также в случае, если в наименовании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ной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нормы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приведена масса оборудования.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В тех случаях, когда в технических характеристиках оборудования не указан материал, из которого оно изготовлено, в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ных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ах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ГЭСН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принято, что оборудование изготовлено из углеродистой стали или серого чугуна.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Сметная стоимость демонтажных работ определяется по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ным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ам сборников на строительные, специальные строительные, монтаж оборудования и ремонтно-строительные работы в порядке следующей приоритетности: 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сборник ГЭСН 81-02-46-... "Работы при реконструкции зданий и сооружений";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сборники </w:t>
      </w:r>
      <w:r>
        <w:rPr>
          <w:rFonts w:eastAsia="Calibri"/>
        </w:rPr>
        <w:t xml:space="preserve">ГЭСНр</w:t>
      </w:r>
      <w:r>
        <w:rPr>
          <w:rFonts w:eastAsia="Calibri"/>
        </w:rPr>
        <w:t xml:space="preserve"> на ремонтно-строительные работы;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сборники ГЭСН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на строительные и монтажные работы с применением понижающих коэффициентов на демонтаж, указанных в таблицах 1 и 2 настоящих рекомендаций.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 отсутствии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ых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на работы по демонтажу зданий, сооружений, строительных конструкций, элементов систем и сетей инженерно-технического обеспечения в сборниках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на строительные, специальные строительные и ремонтно-строительные работы при определении сметной стоимости применяются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сметные нормы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на строительные и специальные строительные работы на устройство, установку строительных конструкций, элементов систем и сетей инженерно-технического обеспечения с применением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коэффициентов, приведенных в таблице 2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Методи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ки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применени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я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 (</w:t>
      </w:r>
      <w:r>
        <w:rPr>
          <w:rFonts w:ascii="Times New Roman" w:hAnsi="Times New Roman" w:eastAsia="Calibri" w:cs="Times New Roman"/>
          <w:sz w:val="24"/>
          <w:szCs w:val="24"/>
          <w:highlight w:val="white"/>
          <w:lang w:eastAsia="ru-RU"/>
        </w:rPr>
        <w:t xml:space="preserve">приказ Минстроя России от 14.07.2022 № 571/</w:t>
      </w:r>
      <w:r>
        <w:rPr>
          <w:rFonts w:ascii="Times New Roman" w:hAnsi="Times New Roman" w:eastAsia="Calibri" w:cs="Times New Roman"/>
          <w:sz w:val="24"/>
          <w:szCs w:val="24"/>
          <w:highlight w:val="white"/>
          <w:lang w:eastAsia="ru-RU"/>
        </w:rPr>
        <w:t xml:space="preserve">пр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)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:</w:t>
      </w:r>
    </w:p>
    <w:p>
      <w:pPr>
        <w:pStyle w:val="a5"/>
        <w:tabs>
          <w:tab w:val="left" w:pos="1560"/>
        </w:tabs>
        <w:spacing w:after="0"/>
        <w:ind w:left="0" w:firstLine="851"/>
        <w:jc w:val="right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Таблица 1</w:t>
      </w:r>
    </w:p>
    <w:tbl>
      <w:tblPr>
        <w:tblStyle w:val="a4"/>
        <w:tblW w:w="9808" w:type="dxa"/>
        <w:jc w:val="right"/>
        <w:tblLook w:val="04A0" w:firstRow="1" w:lastRow="0" w:firstColumn="1" w:lastColumn="0" w:noHBand="0" w:noVBand="1"/>
      </w:tblPr>
      <w:tblGrid>
        <w:gridCol w:w="671"/>
        <w:gridCol w:w="6634"/>
        <w:gridCol w:w="2503"/>
      </w:tblGrid>
      <w:tr>
        <w:trPr>
          <w:jc w:val="right"/>
          <w:trHeight w:val="990"/>
        </w:trPr>
        <w:tc>
          <w:tcPr>
            <w:tcW w:w="671" w:type="dxa"/>
            <w:vAlign w:val="center"/>
          </w:tcPr>
          <w:p>
            <w:pPr>
              <w:pStyle w:val="a5"/>
              <w:tabs>
                <w:tab w:val="left" w:pos="1560"/>
              </w:tabs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 п/п.</w:t>
            </w:r>
          </w:p>
        </w:tc>
        <w:tc>
          <w:tcPr>
            <w:tcW w:w="6634" w:type="dxa"/>
            <w:vAlign w:val="center"/>
          </w:tcPr>
          <w:p>
            <w:pPr>
              <w:pStyle w:val="a5"/>
              <w:tabs>
                <w:tab w:val="left" w:pos="1560"/>
              </w:tabs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 демонтируемых (разбираемых) строительных конструкций, элементов систем и сетей инженерно-технического обеспечения</w:t>
            </w:r>
          </w:p>
        </w:tc>
        <w:tc>
          <w:tcPr>
            <w:tcW w:w="2503" w:type="dxa"/>
            <w:vAlign w:val="center"/>
          </w:tcPr>
          <w:p>
            <w:pPr>
              <w:pStyle w:val="a5"/>
              <w:tabs>
                <w:tab w:val="left" w:pos="1560"/>
              </w:tabs>
              <w:ind w:left="0" w:firstLine="443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Коэффициенты</w:t>
            </w:r>
          </w:p>
        </w:tc>
      </w:tr>
      <w:tr>
        <w:trPr>
          <w:jc w:val="right"/>
          <w:trHeight w:val="864"/>
        </w:trPr>
        <w:tc>
          <w:tcPr>
            <w:tcW w:w="671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1</w:t>
            </w:r>
          </w:p>
        </w:tc>
        <w:tc>
          <w:tcPr>
            <w:tcW w:w="6634" w:type="dxa"/>
            <w:vAlign w:val="center"/>
          </w:tcPr>
          <w:p>
            <w:pPr>
              <w:pStyle w:val="a5"/>
              <w:tabs>
                <w:tab w:val="left" w:pos="1560"/>
              </w:tabs>
              <w:ind w:left="0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Сборные бетонные и железобетонные строительные конструкции</w:t>
            </w:r>
          </w:p>
        </w:tc>
        <w:tc>
          <w:tcPr>
            <w:tcW w:w="2503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0,8</w:t>
            </w:r>
          </w:p>
        </w:tc>
      </w:tr>
      <w:tr>
        <w:trPr>
          <w:jc w:val="right"/>
          <w:trHeight w:val="330"/>
        </w:trPr>
        <w:tc>
          <w:tcPr>
            <w:tcW w:w="671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2</w:t>
            </w:r>
          </w:p>
        </w:tc>
        <w:tc>
          <w:tcPr>
            <w:tcW w:w="6634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both"/>
              <w:rPr>
                <w:rFonts w:eastAsia="Calibri"/>
              </w:rPr>
            </w:pPr>
            <w:r>
              <w:t xml:space="preserve">Сборные деревянные конструкции</w:t>
            </w:r>
          </w:p>
        </w:tc>
        <w:tc>
          <w:tcPr>
            <w:tcW w:w="2503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0,8</w:t>
            </w:r>
          </w:p>
        </w:tc>
      </w:tr>
      <w:tr>
        <w:trPr>
          <w:jc w:val="right"/>
          <w:trHeight w:val="660"/>
        </w:trPr>
        <w:tc>
          <w:tcPr>
            <w:tcW w:w="671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3</w:t>
            </w:r>
          </w:p>
        </w:tc>
        <w:tc>
          <w:tcPr>
            <w:tcW w:w="6634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both"/>
              <w:rPr>
                <w:rFonts w:eastAsia="Calibri"/>
              </w:rPr>
            </w:pPr>
            <w:r>
              <w:t xml:space="preserve">Системы инженерно-технического обеспечения, тепловая изоляция</w:t>
            </w:r>
          </w:p>
        </w:tc>
        <w:tc>
          <w:tcPr>
            <w:tcW w:w="2503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0,4</w:t>
            </w:r>
          </w:p>
        </w:tc>
      </w:tr>
      <w:tr>
        <w:trPr>
          <w:jc w:val="right"/>
          <w:trHeight w:val="330"/>
        </w:trPr>
        <w:tc>
          <w:tcPr>
            <w:tcW w:w="671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4</w:t>
            </w:r>
          </w:p>
        </w:tc>
        <w:tc>
          <w:tcPr>
            <w:tcW w:w="6634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both"/>
              <w:rPr>
                <w:rFonts w:eastAsia="Calibri"/>
              </w:rPr>
            </w:pPr>
            <w:r>
              <w:t xml:space="preserve">Металлические</w:t>
            </w:r>
            <w:r>
              <w:t xml:space="preserve">, </w:t>
            </w:r>
            <w:r>
              <w:t xml:space="preserve">металлокомпозитные</w:t>
            </w:r>
            <w:r>
              <w:t xml:space="preserve">, композитные</w:t>
            </w:r>
            <w:r>
              <w:t xml:space="preserve"> конструкции</w:t>
            </w:r>
          </w:p>
        </w:tc>
        <w:tc>
          <w:tcPr>
            <w:tcW w:w="2503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0,7</w:t>
            </w:r>
          </w:p>
        </w:tc>
      </w:tr>
      <w:tr>
        <w:trPr>
          <w:jc w:val="right"/>
          <w:trHeight w:val="330"/>
        </w:trPr>
        <w:tc>
          <w:tcPr>
            <w:tcW w:w="671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5</w:t>
            </w:r>
          </w:p>
        </w:tc>
        <w:tc>
          <w:tcPr>
            <w:tcW w:w="6634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both"/>
              <w:rPr>
                <w:rFonts w:eastAsia="Calibri"/>
              </w:rPr>
            </w:pPr>
            <w:r>
              <w:t xml:space="preserve">Сети инженерно-технического обеспечения</w:t>
            </w:r>
          </w:p>
        </w:tc>
        <w:tc>
          <w:tcPr>
            <w:tcW w:w="2503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0,6</w:t>
            </w:r>
          </w:p>
        </w:tc>
      </w:tr>
    </w:tbl>
    <w:p>
      <w:pPr>
        <w:pStyle w:val="a5"/>
        <w:tabs>
          <w:tab w:val="left" w:pos="1560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 отсутствии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на работы по демонтажу оборудования применяются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сметные нормы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на монтаж оборудования, включенные в сборники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на монтаж оборудования, с применением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коэффициентов, приведенных в таблице 3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Методи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ки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применени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я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 (</w:t>
      </w:r>
      <w:r>
        <w:rPr>
          <w:rFonts w:ascii="Times New Roman" w:hAnsi="Times New Roman" w:eastAsia="Calibri" w:cs="Times New Roman"/>
          <w:sz w:val="24"/>
          <w:szCs w:val="24"/>
          <w:highlight w:val="white"/>
          <w:lang w:eastAsia="ru-RU"/>
        </w:rPr>
        <w:t xml:space="preserve">приказ Минстроя России от 14.07.2022 № 571/</w:t>
      </w:r>
      <w:r>
        <w:rPr>
          <w:rFonts w:ascii="Times New Roman" w:hAnsi="Times New Roman" w:eastAsia="Calibri" w:cs="Times New Roman"/>
          <w:sz w:val="24"/>
          <w:szCs w:val="24"/>
          <w:highlight w:val="white"/>
          <w:lang w:eastAsia="ru-RU"/>
        </w:rPr>
        <w:t xml:space="preserve">пр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)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:</w:t>
      </w:r>
    </w:p>
    <w:p>
      <w:pPr>
        <w:pStyle w:val="a5"/>
        <w:tabs>
          <w:tab w:val="left" w:pos="851"/>
        </w:tabs>
        <w:spacing w:after="0"/>
        <w:ind w:left="142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</w:p>
    <w:p>
      <w:pPr>
        <w:pStyle w:val="a5"/>
        <w:tabs>
          <w:tab w:val="left" w:pos="1560"/>
        </w:tabs>
        <w:spacing w:after="0"/>
        <w:ind w:left="-567" w:firstLine="709"/>
        <w:jc w:val="right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Таблица 2</w:t>
      </w:r>
    </w:p>
    <w:tbl>
      <w:tblPr>
        <w:tblStyle w:val="a4"/>
        <w:tblW w:w="9924" w:type="dxa"/>
        <w:jc w:val="right"/>
        <w:tblLook w:val="04A0" w:firstRow="1" w:lastRow="0" w:firstColumn="1" w:lastColumn="0" w:noHBand="0" w:noVBand="1"/>
      </w:tblPr>
      <w:tblGrid>
        <w:gridCol w:w="852"/>
        <w:gridCol w:w="7087"/>
        <w:gridCol w:w="1985"/>
      </w:tblGrid>
      <w:tr>
        <w:trPr>
          <w:jc w:val="right"/>
          <w:tblHeader/>
        </w:trPr>
        <w:tc>
          <w:tcPr>
            <w:tcW w:w="852" w:type="dxa"/>
            <w:vAlign w:val="center"/>
          </w:tcPr>
          <w:p>
            <w:pPr>
              <w:pStyle w:val="a5"/>
              <w:tabs>
                <w:tab w:val="left" w:pos="1560"/>
              </w:tabs>
              <w:ind w:left="-567" w:firstLine="599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№п/п</w:t>
            </w:r>
          </w:p>
        </w:tc>
        <w:tc>
          <w:tcPr>
            <w:tcW w:w="7087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ind w:left="-567" w:firstLine="709"/>
              <w:jc w:val="center"/>
              <w:rPr>
                <w:rFonts w:eastAsia="Calibri"/>
              </w:rPr>
            </w:pPr>
            <w:r>
              <w:t xml:space="preserve">Условия демонтажа оборудования</w:t>
            </w:r>
          </w:p>
        </w:tc>
        <w:tc>
          <w:tcPr>
            <w:tcW w:w="1985" w:type="dxa"/>
            <w:vAlign w:val="center"/>
          </w:tcPr>
          <w:p>
            <w:pPr>
              <w:tabs>
                <w:tab w:val="left" w:pos="1560"/>
              </w:tabs>
              <w:spacing w:line="276" w:lineRule="auto"/>
              <w:ind w:left="-567" w:firstLine="709"/>
              <w:jc w:val="center"/>
              <w:rPr>
                <w:rFonts w:eastAsia="Calibri"/>
              </w:rPr>
            </w:pPr>
            <w:r>
              <w:t xml:space="preserve">Коэффициенты</w:t>
            </w:r>
          </w:p>
        </w:tc>
      </w:tr>
      <w:tr>
        <w:trPr>
          <w:jc w:val="right"/>
        </w:trPr>
        <w:tc>
          <w:tcPr>
            <w:tcW w:w="852" w:type="dxa"/>
          </w:tcPr>
          <w:p>
            <w:pPr>
              <w:tabs>
                <w:tab w:val="left" w:pos="1560"/>
              </w:tabs>
              <w:spacing w:line="276" w:lineRule="auto"/>
              <w:ind w:left="-567" w:firstLine="709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1</w:t>
            </w:r>
          </w:p>
        </w:tc>
        <w:tc>
          <w:tcPr>
            <w:tcW w:w="7087" w:type="dxa"/>
          </w:tcPr>
          <w:p>
            <w:pPr>
              <w:pStyle w:val="a5"/>
              <w:tabs>
                <w:tab w:val="left" w:pos="1560"/>
              </w:tabs>
              <w:ind w:left="37" w:hanging="37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Оборудование, пригодное для дальнейшего использования, со снятием с места установки, необходимой (частичной) разборкой и консервированием с целью длительного или кратковременного хранения</w:t>
            </w:r>
          </w:p>
        </w:tc>
        <w:tc>
          <w:tcPr>
            <w:tcW w:w="1985" w:type="dxa"/>
          </w:tcPr>
          <w:p>
            <w:pPr>
              <w:pStyle w:val="a5"/>
              <w:tabs>
                <w:tab w:val="left" w:pos="1560"/>
              </w:tabs>
              <w:ind w:left="-567" w:firstLine="709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0,7</w:t>
            </w:r>
          </w:p>
        </w:tc>
      </w:tr>
      <w:tr>
        <w:trPr>
          <w:jc w:val="right"/>
        </w:trPr>
        <w:tc>
          <w:tcPr>
            <w:tcW w:w="852" w:type="dxa"/>
          </w:tcPr>
          <w:p>
            <w:pPr>
              <w:tabs>
                <w:tab w:val="left" w:pos="1560"/>
              </w:tabs>
              <w:spacing w:line="276" w:lineRule="auto"/>
              <w:ind w:left="-567" w:firstLine="709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2</w:t>
            </w:r>
          </w:p>
        </w:tc>
        <w:tc>
          <w:tcPr>
            <w:tcW w:w="7087" w:type="dxa"/>
          </w:tcPr>
          <w:p>
            <w:pPr>
              <w:pStyle w:val="a5"/>
              <w:tabs>
                <w:tab w:val="left" w:pos="1560"/>
              </w:tabs>
              <w:ind w:left="37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Оборудование, пригодное для дальнейшего использования, со снятием с места установки, необходимой (частичной) разборкой без надобности хранения (перемещается на другое место установки и т.п.)</w:t>
            </w:r>
          </w:p>
        </w:tc>
        <w:tc>
          <w:tcPr>
            <w:tcW w:w="1985" w:type="dxa"/>
          </w:tcPr>
          <w:p>
            <w:pPr>
              <w:pStyle w:val="a5"/>
              <w:tabs>
                <w:tab w:val="left" w:pos="1560"/>
              </w:tabs>
              <w:ind w:left="-567" w:firstLine="709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0,6</w:t>
            </w:r>
          </w:p>
        </w:tc>
      </w:tr>
      <w:tr>
        <w:trPr>
          <w:jc w:val="right"/>
        </w:trPr>
        <w:tc>
          <w:tcPr>
            <w:tcW w:w="852" w:type="dxa"/>
          </w:tcPr>
          <w:p>
            <w:pPr>
              <w:tabs>
                <w:tab w:val="left" w:pos="1560"/>
              </w:tabs>
              <w:spacing w:line="276" w:lineRule="auto"/>
              <w:ind w:left="-567" w:firstLine="709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3</w:t>
            </w:r>
          </w:p>
        </w:tc>
        <w:tc>
          <w:tcPr>
            <w:tcW w:w="7087" w:type="dxa"/>
          </w:tcPr>
          <w:p>
            <w:pPr>
              <w:pStyle w:val="a5"/>
              <w:tabs>
                <w:tab w:val="left" w:pos="1560"/>
              </w:tabs>
              <w:ind w:left="37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Оборудование, не пригодное для дальнейшего использования, (предназначено в лом) с разборкой и резкой на части</w:t>
            </w:r>
          </w:p>
        </w:tc>
        <w:tc>
          <w:tcPr>
            <w:tcW w:w="1985" w:type="dxa"/>
          </w:tcPr>
          <w:p>
            <w:pPr>
              <w:pStyle w:val="a5"/>
              <w:tabs>
                <w:tab w:val="left" w:pos="1560"/>
              </w:tabs>
              <w:ind w:left="-567" w:firstLine="709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0,5</w:t>
            </w:r>
          </w:p>
        </w:tc>
      </w:tr>
      <w:tr>
        <w:trPr>
          <w:jc w:val="right"/>
        </w:trPr>
        <w:tc>
          <w:tcPr>
            <w:tcW w:w="852" w:type="dxa"/>
          </w:tcPr>
          <w:p>
            <w:pPr>
              <w:tabs>
                <w:tab w:val="left" w:pos="1560"/>
              </w:tabs>
              <w:spacing w:line="276" w:lineRule="auto"/>
              <w:ind w:left="-567" w:firstLine="709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4</w:t>
            </w:r>
          </w:p>
        </w:tc>
        <w:tc>
          <w:tcPr>
            <w:tcW w:w="7087" w:type="dxa"/>
          </w:tcPr>
          <w:p>
            <w:pPr>
              <w:pStyle w:val="a5"/>
              <w:tabs>
                <w:tab w:val="left" w:pos="1560"/>
              </w:tabs>
              <w:ind w:left="37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Оборудование, не пригодное для дальнейшего использования, (предназначено в лом) без разборки и резки</w:t>
            </w:r>
          </w:p>
        </w:tc>
        <w:tc>
          <w:tcPr>
            <w:tcW w:w="1985" w:type="dxa"/>
          </w:tcPr>
          <w:p>
            <w:pPr>
              <w:pStyle w:val="a5"/>
              <w:tabs>
                <w:tab w:val="left" w:pos="1560"/>
              </w:tabs>
              <w:ind w:left="-567" w:firstLine="709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0,3</w:t>
            </w:r>
          </w:p>
        </w:tc>
      </w:tr>
    </w:tbl>
    <w:p>
      <w:pPr>
        <w:pStyle w:val="a5"/>
        <w:tabs>
          <w:tab w:val="left" w:pos="1560"/>
        </w:tabs>
        <w:spacing w:after="0"/>
        <w:ind w:left="-567" w:firstLine="709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Условия демонтажа оборудования, указанные в Таблице 2, подлежат обоснованию в проектной и (или) иной технической документации.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Понижающие коэффициенты на демонтаж применяются к затратам труда и оплате труда рабочих и машинистов и к затратам на эксплуатацию машин и механизмов, включенным в соответствующие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сметные нормы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, в зависимости от вида разбираемых строительных конструкций, элементов систем и сетей инженерно-технического обеспечения, назначения демонтируемого оборудования. Стоимость материальных ресурсов в расчете не учитывается.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Коэффициенты, указанные в Таблице 1 и Таблице 2, учитывают условия демонтажа строительных конструкций, элементов систем и сетей инженерно-технического обеспечения и оборудования в незакрепленном состоянии, освобожденных от заделки в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стены и другие конструкции, а также от сварки или иного крепления с другими конструктивными элементами.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 наличии строительных конструкций, элементов систем и сетей инженерно-технического обеспечения и оборудования, находящихся в закрепленном состоянии, дополнительные затраты, связанные с пробивкой и заделкой борозд, ниш, гнезд в существующих конструкциях, а также срезка закладных деталей или элементов металлоконструкций, к которым они приварены, учитываются дополнительно в сметных расчетах (сметах) на основании проектной и (или) иной технической документации по соответствующим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сметным нормам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В тех случаях, когда проектной и (или) иной технической документацией при производстве демонтажных работ установлена необходимость устройства лесов для поддержки демонтируемых (разбираемых) строительных конструкций, элементов систем и сетей инженерно-технического обеспечения и оборудования, дополнительные сметные затраты по установке и разборке поддерживающих лесов надлежит учитывать дополнительно в сметных расчетах (сметах) по соответствующим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сметным нормам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в соответствии с положениями методических документов, сведения о которых включены в ФРСН.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В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нормах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не учтены затраты по погрузке, вывозке и разгрузке строительного мусора и материалов, не годных для дальнейшего применения, получаемых при разборке конструктивных элементов зданий и сооружений и оборудования. Эти затраты в сметных расчетах (сметах) должны определяться дополнительно исходя из действующих сметных норм на погрузо-разгрузочные работы, перевозку грузов, массы и расстояний от строительной площадки до места складирования материальных ресурсов или размещения мусора (согласно данным проектной и (или) иной технической документации) на специальных полигонах с учетом положений соответствующих методических документов.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Наименование, перечень, масса и расстояние перевозки строительного мусора и материалов, полученных при разборке, определяются на основании проектной и (или) иной технической документации, проекта организации работ по сносу объекта капитального строительства.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В случае отсутствия в проектной документации необходимых данных о массе разбираемых строительных конструкций, элементов систем и сетей инженерно-технического обеспечения объемный вес строительного мусора может быть принят по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пункту 89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Методи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ки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применени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я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сметных норм (</w:t>
      </w:r>
      <w:r>
        <w:rPr>
          <w:rFonts w:ascii="Times New Roman" w:hAnsi="Times New Roman" w:eastAsia="Calibri" w:cs="Times New Roman"/>
          <w:sz w:val="24"/>
          <w:szCs w:val="24"/>
          <w:highlight w:val="white"/>
          <w:lang w:eastAsia="ru-RU"/>
        </w:rPr>
        <w:t xml:space="preserve">приказ Минстроя России от 14.07.2022 № 571/</w:t>
      </w:r>
      <w:r>
        <w:rPr>
          <w:rFonts w:ascii="Times New Roman" w:hAnsi="Times New Roman" w:eastAsia="Calibri" w:cs="Times New Roman"/>
          <w:sz w:val="24"/>
          <w:szCs w:val="24"/>
          <w:highlight w:val="white"/>
          <w:lang w:eastAsia="ru-RU"/>
        </w:rPr>
        <w:t xml:space="preserve">пр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)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: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при разборке бетонных конструкций и покрытий из асфальтобетона с применением отбойных молотков - 2400 кг/м3;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при разборке покрытий из асфальтобетона методом фрезерования - 1980 кг/м3;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при разборке цементных покрытий - 2200 кг/м3;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при разборке железобетонных конструкций - 2500 кг/м3,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при разборке конструкций из кирпича, камня, отбивке штукатурки и облицовочной плитки - 1800 кг/м3;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при разборке конструкций деревянных и каркасно-засыпных - 600 кг/м3;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при выполнении прочих работ по разборке (кроме работ по разборке металлоконструкций и оборудования) - 1200 кг/м3.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eastAsia="Calibri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Объемный вес строительного мусора от разборки строительных конструкций приведен из учета их в плотном теле конструкций. Масса демонтируемых металлоконструкций и оборудования принимается по данным технической документации</w:t>
      </w:r>
      <w:r>
        <w:rPr>
          <w:rFonts w:eastAsia="Calibri"/>
        </w:rPr>
        <w:t xml:space="preserve">.</w:t>
      </w:r>
    </w:p>
    <w:p>
      <w:pPr>
        <w:pStyle w:val="1"/>
        <w:numPr>
          <w:numId w:val="3"/>
          <w:ilvl w:val="0"/>
        </w:numPr>
        <w:spacing w:line="276" w:lineRule="auto"/>
        <w:jc w:val="both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a3"/>
          <w:rFonts w:ascii="Times New Roman" w:hAnsi="Times New Roman" w:cs="Times New Roman"/>
          <w:color w:val="auto"/>
        </w:rPr>
        <w:t xml:space="preserve">Определение стоимости материально-технических ресурсов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 определении стоимости МТР в сметной документации на основании СНБ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-2022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Минстроя России необходимо руководствоваться следующей приоритетностью: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данные о текущих сметных ценах материальных ресурсов и оборудования, размещенные в ФГИС ЦС;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данные ФСБЦ 81-01-2022 «Федеральные сметные цены на материалы, изделия и конструкции, применяемые в строительстве в базисном уровне цен» с </w:t>
      </w:r>
      <w:r>
        <w:rPr>
          <w:rFonts w:eastAsia="Calibri"/>
        </w:rPr>
        <w:t xml:space="preserve">применением</w:t>
      </w:r>
      <w:r>
        <w:rPr>
          <w:rFonts w:eastAsia="Calibri"/>
        </w:rPr>
        <w:t xml:space="preserve"> индексов изменения сметной стоимости строительства по группам однородных строительных ресурсов, </w:t>
      </w:r>
      <w:r>
        <w:rPr>
          <w:rFonts w:eastAsia="Calibri"/>
        </w:rPr>
        <w:t xml:space="preserve">размещённых</w:t>
      </w:r>
      <w:r>
        <w:rPr>
          <w:rFonts w:eastAsia="Calibri"/>
        </w:rPr>
        <w:t xml:space="preserve"> в ФГИС ЦС;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данные о текущей стоимости МТР, учтенных в сметной документации по текущей стоимости</w:t>
      </w:r>
      <w:r>
        <w:rPr>
          <w:rFonts w:eastAsia="Calibri"/>
        </w:rPr>
        <w:t xml:space="preserve">, если данные отсутствуют в ФГИС ЦС и ФСБЦ.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В случае, если проектной и (или) иной технической документацией предусмотрено применение годных для повторного использования ранее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использованных один и более раз МТР, их стоимость в текущем уровне цен определяется заказчиком с учетом оценки их возможного повторного использования.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Сметная стоимость МТР, используемых несколько раз при выполнении отдельных видов работ в соответствии с технологией строительного производства (оборачиваемые ресурсы), определяется на основании данных об их количестве с учетом неоднократной оборачиваемости, приведенных в сметных нормах.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Сметная стоимость оборачиваемых ресурсов, учтенных в сметных нормах с обобщенным наименованием и указанием кода группы или не учтенных в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ных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норм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ах и приведенных с литерой "П", определяется с учетом их нормативной оборачиваемости, указанной в соответствующих разделах сборников сметных норм.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Стоимость МТР по ФГИС ЦС и стоимость МТР по ФСБЦ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учитыва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е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т все расходы, связанные с приобретением и доставкой МТР от поставщиков (производителей) до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приобъектного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склада объекта (цена франко-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приобъектный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склад). Транспортные затраты приняты из условия перевозки грузов автомобильным транспортом на расстояние до 30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километров.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Затраты на перевозку грузов на дополнительное расстояние сверх учтенного сметными ценами (при соответствующем обосновании проектной и (или) иной технической документацией) определяются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исключением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затрат на перевозку грузов для строительства автомобильным транспортом в пределах территории субъекта РФ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, учтенных сметными ценами,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и включением отдельн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ыми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строк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ами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затрат на перевозку грузов соответствующим видом транспорта на расстояние, указанное в проектной и иной технической документации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, по каждому виду покрытия.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Затраты на перевозку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грузов для строительства, а также на грузовые операции в местах перевалки грузов,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паромные, понтонные и иные переправы, на возмездное пользование объектами транспортной инфраструктуры, в случаях, предусмотренных сметными нормативами, сведения о которых включены в ФРСН, приводятся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в локальных сметных расчетах (сметах) отдельными строками с одновременным указанием кода строительного ресурса, к которому относятся указанные затраты. Дополнительные затраты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на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услуги по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перевозк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е грузов для строительства автомобильным, железнодорожным транспортом, судами внутреннего водного или воздушного транспорта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на грузовые операции в местах перевалки грузов для строительства, паромные, понтонные и иные переправы для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материальных ресурсов в локальных сметных расчетах (сметах) относятся к сметной стоимости материальных ресурсов.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Дополнительные затраты на услуги, связанные с перевозкой грузов, для оборудования в локальных сметных расчетах (сметах) включаются в сметную стоимост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ь оборудования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. 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Предельный уровень ТЗСР к текущей стоимости МТР может быть применен в размере не более 5% от стоимости материалов, не более 3% от стоимости оборудования и запасных частей в случае, если указанные затраты не учтены в текущей цене МТР</w:t>
      </w:r>
      <w:bookmarkStart w:id="4" w:name="_Hlk109288942"/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. Уровень ТЗСР, превышающий указанные предельные значения, возможно использовать в исключительных случаях, например: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t xml:space="preserve">при </w:t>
      </w:r>
      <w:r>
        <w:rPr>
          <w:rFonts w:eastAsia="Calibri"/>
        </w:rPr>
        <w:t xml:space="preserve">доставке импортного и/или негабаритного оборудования от завода-изготовителя, подтверждённой транспортной схемой, документами логистических компаний и т.п.;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в случае особой</w:t>
      </w:r>
      <w:r>
        <w:t xml:space="preserve"> удалённости и труднодоступности объекта, при соответствующем обосновании.</w:t>
      </w:r>
      <w:bookmarkStart w:id="5" w:name="_Hlk109289126"/>
      <w:bookmarkEnd w:id="4"/>
    </w:p>
    <w:bookmarkEnd w:id="5"/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Для обоснования стоимости МТР, учтенных в составе сметной документации по текущим ценам, рекомендуется формировать сводный перечень, сформированный на основе конъюнктурного анализа.  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Метод определения сметной стоимости МТР по наиболее экономичному варианту, определенному на основании сбора информации о текущих ценах (конъюнктурный анализ – КА) применяется при отсутствии данных о сметных ценах на отдельные материалы, изделия, конструкции и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оборудование в Ф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ГИС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ЦС.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Порядок сбора информации о текущих ценах (конъюнктурный анализ) определен положениями Методики определения стоимости строительства, реконструкции, капитального ремонта, сноса объектов капитального строительства, работ по сохранению объектов культурного наследия (памятников истории и культуры) народов Российской Федерации на территории Российской Федерации, утвержденной приказом Минстроя России от 04.08.2020 № 421/пр.</w:t>
      </w:r>
      <w:bookmarkStart w:id="6" w:name="_GoBack"/>
      <w:bookmarkEnd w:id="6"/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Документы производителей и (или) поставщиков соответствующих МТР, обосновывающие их цену, должны содержать следующую информацию: дата составления документа, дата и (или) сроки действия ценовых предложений, информация об учете (или не учете) в ценах отдельных затрат (перевозка, шефмонтаж,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шефналадка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и тому подобное), а также налога на добавленную стоимость, и должны быть получены в период, не превышающий 1 года до момента определения сметной стоимости.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Характеристики МТР, содержащиеся в ТКП, должны соответствовать техническим требованиям, содержащимся в проектной, рабочей и (или) иной технической документации.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 необходимости приведения стоимости МТР, учтенных в сметной документации в текущем уровне цен предыдущих периодов, к уровню цен сметной документации, учет инфляции возможен посредством использования следующих вариантов расчета: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посредством деления указанной в обосновывающем документе цены МТР на соответствующий индекс пересчета, регламентированный Минстроем России на момент </w:t>
      </w:r>
      <w:r>
        <w:rPr>
          <w:rFonts w:eastAsia="Calibri"/>
        </w:rPr>
        <w:t xml:space="preserve">действия цены МТР, с дальнейшим пересчетом в текущий уровень с применением регламентированного индекса на планируемый период или актуального на момент составления сметной документации индекса Минстроя России;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посредством применения к текущей стоимости МТР, включая оборудование, показателя индекса-дефлятора «Темп роста индекса-дефлятора валового накопления основного капитала (инвестиций)», определяемого согласно данным, содержащимся в составе прогноза социально-экономического развития Российской Федерации, опубликованного Минэкономразвития России, с учетом сроков реализации мероприятия.  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В случае, если текущая стоимость МТР определена с использованием ценовой информации в валюте иностранного государства, то стоимость таких МТР определяется на основании актуальных курсов валют на момент формирования сметной стоимости. На этапе реализации стоимость таких МТР определяется в соответствии с условиями договора.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 соответствующем обосновании в задании на изготовление и поставку оборудования в сметную стоимость оборудования включаются затраты на: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шефмонтаж и (или) </w:t>
      </w:r>
      <w:r>
        <w:rPr>
          <w:rFonts w:eastAsia="Calibri"/>
        </w:rPr>
        <w:t xml:space="preserve">шефналадку</w:t>
      </w:r>
      <w:r>
        <w:rPr>
          <w:rFonts w:eastAsia="Calibri"/>
        </w:rPr>
        <w:t xml:space="preserve">, осуществляемые представителями производителя оборудования или по его поручению специализированными организациями;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доводку (калибровку) на месте установки крупного металлургического, угольного, горнорудного и другого технологического оборудования, осуществляемую в технологической цепи совместно с другим оборудованием или при отсутствии у производителя стендов и испытательных станций;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доизготовление</w:t>
      </w:r>
      <w:r>
        <w:rPr>
          <w:rFonts w:eastAsia="Calibri"/>
        </w:rPr>
        <w:t xml:space="preserve"> (доработку и укрупнительную сборку) в построечных условиях оборудования, как правило, крупногабаритного и тяжеловесного, поставляемого на стройку производителем в виде отдельных узлов и деталей (за исключением </w:t>
      </w:r>
      <w:r>
        <w:rPr>
          <w:rFonts w:eastAsia="Calibri"/>
        </w:rPr>
        <w:t xml:space="preserve">доизготовления</w:t>
      </w:r>
      <w:r>
        <w:rPr>
          <w:rFonts w:eastAsia="Calibri"/>
        </w:rPr>
        <w:t xml:space="preserve">, учитываемого в составе сметных норм на монтаж оборудования);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изготовление специальной оснастки в индивидуальном исполнении, необходимой для монтажа крупногабаритного, тяжеловесного или технически сложного при производстве работ по монтажу оборудования;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предварительно установленное программное обеспечение;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затраты по оценке соответствия оборудования 1, 2, 3 класса безопасности в процессе его изготовления и иные расходы, связанные с обязательными требованиями по его проверке, сертификации и аттестации;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приобретение комплекта запасных частей на гарантийный срок эксплуатации;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другие затраты, необходимые для доведения его до состояния, в котором оборудование пригодно для использования, за исключением затрат, учитываемых отдельно в ССР.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В случае, если указанные в пункте 4.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16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затраты не учтены в сметной цене оборудования, их стоимость учитывается в локальных сметных расчетах (сметах) дополнительно на основании отдельных расчетов.</w:t>
      </w:r>
    </w:p>
    <w:p>
      <w:pPr>
        <w:pStyle w:val="1"/>
        <w:numPr>
          <w:numId w:val="3"/>
          <w:ilvl w:val="0"/>
        </w:numPr>
        <w:spacing w:line="276" w:lineRule="auto"/>
        <w:jc w:val="both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a3"/>
          <w:rFonts w:ascii="Times New Roman" w:hAnsi="Times New Roman" w:cs="Times New Roman"/>
          <w:color w:val="auto"/>
        </w:rPr>
        <w:t xml:space="preserve">Порядок начисления накладных расходов и сметной прибыли в локальных сметных расчётах при применении СНБ Минстроя России</w:t>
      </w:r>
    </w:p>
    <w:p>
      <w:pPr>
        <w:pStyle w:val="a5"/>
        <w:numPr>
          <w:numId w:val="3"/>
          <w:ilvl w:val="1"/>
        </w:numPr>
        <w:tabs>
          <w:tab w:val="left" w:pos="709"/>
          <w:tab w:val="left" w:pos="851"/>
          <w:tab w:val="left" w:pos="993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Накладные расходы и сметная прибыль в составе сметной стоимости мероприятий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ТПиР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, определенной с применением сметных норм, сведения о которых включены в ФРСН, определяются в процентах от размера средств на оплату труда, включая оплату труда механизаторов (фонда оплаты труда – ФОТ), учитываемого в составе сметных прямых затрат в соответствии с Методикой по разработке и применению нормативов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накладных расходов при определении сметной стоимости строительства, реконструкции, капитального ремонта, сноса объектов капитального строительства, утвержденной приказом Минстроя России от 21.12.2020 № 812/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(далее – Методика 812/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) и Методикой по разработке и применению нормативов сметной прибыли при определении сметной стоимости строительства, реконструкции, капитального ремонта, сноса объектов капитального строительства, утвержденной приказом Минстроя России от 11.12.2020 № 774/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(далее – Методика 774/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).</w:t>
      </w:r>
    </w:p>
    <w:p>
      <w:pPr>
        <w:pStyle w:val="a5"/>
        <w:numPr>
          <w:numId w:val="3"/>
          <w:ilvl w:val="1"/>
        </w:numPr>
        <w:tabs>
          <w:tab w:val="left" w:pos="709"/>
          <w:tab w:val="left" w:pos="851"/>
          <w:tab w:val="left" w:pos="993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Нормативы накладных расходов по видам работ, связанные с экономико-географическими и природно-климатическими условиями, дифференцируются по территории строительства: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для территории Российской Федерации, не относящейся к РКС и МПРКС;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для территории Российской Федерации, относящейся к РКС;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для территории Российской Федерации, относящейся МПРКС.</w:t>
      </w:r>
    </w:p>
    <w:p>
      <w:pPr>
        <w:pStyle w:val="a5"/>
        <w:numPr>
          <w:numId w:val="3"/>
          <w:ilvl w:val="1"/>
        </w:numPr>
        <w:tabs>
          <w:tab w:val="left" w:pos="709"/>
          <w:tab w:val="left" w:pos="851"/>
          <w:tab w:val="left" w:pos="993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Перечень РКС и МПРКС установлен Правительством РФ в соответствии со статьей 2 Закона Российской Федерации от 19.02.1993 № 4520-1 «О государственных гарантиях и компенсациях для лиц, работающих и проживающих в районах Крайнего Севера и приравненных к ним местностях».</w:t>
      </w:r>
    </w:p>
    <w:p>
      <w:pPr>
        <w:pStyle w:val="a5"/>
        <w:numPr>
          <w:numId w:val="3"/>
          <w:ilvl w:val="1"/>
        </w:numPr>
        <w:tabs>
          <w:tab w:val="left" w:pos="709"/>
          <w:tab w:val="left" w:pos="851"/>
          <w:tab w:val="left" w:pos="993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Затраты, учитываемые при определении нормативов накладных расходов по видам работ, и затраты, относимые к накладным расходам в строительстве, но не включенные в нормативы накладных расходов по видам работ, приведены в разделах III и IV Методики 812/пр.</w:t>
      </w:r>
    </w:p>
    <w:p>
      <w:pPr>
        <w:pStyle w:val="a5"/>
        <w:numPr>
          <w:numId w:val="3"/>
          <w:ilvl w:val="1"/>
        </w:numPr>
        <w:tabs>
          <w:tab w:val="left" w:pos="709"/>
          <w:tab w:val="left" w:pos="851"/>
          <w:tab w:val="left" w:pos="993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Затраты, относимые к накладным расходам, но не включенные в нормативы накладных расходов по видам работ, при составлении сметной документации учитываются дополнительно в соответствии с положениями сметных нормативов, сведения о которых включены в ФРСН.</w:t>
      </w:r>
    </w:p>
    <w:p>
      <w:pPr>
        <w:pStyle w:val="a5"/>
        <w:numPr>
          <w:numId w:val="3"/>
          <w:ilvl w:val="1"/>
        </w:numPr>
        <w:tabs>
          <w:tab w:val="left" w:pos="709"/>
          <w:tab w:val="left" w:pos="851"/>
          <w:tab w:val="left" w:pos="993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Затраты, приведенные в разделе III Методики 774/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, учтены в нормативах сметной прибыли.</w:t>
      </w:r>
    </w:p>
    <w:p>
      <w:pPr>
        <w:pStyle w:val="a5"/>
        <w:numPr>
          <w:numId w:val="3"/>
          <w:ilvl w:val="1"/>
        </w:numPr>
        <w:tabs>
          <w:tab w:val="left" w:pos="709"/>
          <w:tab w:val="left" w:pos="851"/>
          <w:tab w:val="left" w:pos="993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Затраты, приведенные в разделе </w:t>
      </w:r>
      <w:r>
        <w:rPr>
          <w:rFonts w:ascii="Times New Roman" w:hAnsi="Times New Roman" w:eastAsia="Calibri" w:cs="Times New Roman"/>
          <w:sz w:val="24"/>
          <w:szCs w:val="24"/>
          <w:lang w:val="en-US" w:eastAsia="ru-RU"/>
        </w:rPr>
        <w:t xml:space="preserve">IV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Методики 774/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, в сметной документации дополнительно не учитываются.</w:t>
      </w:r>
    </w:p>
    <w:p>
      <w:pPr>
        <w:pStyle w:val="1"/>
        <w:keepNext w:val="0"/>
        <w:keepLines w:val="0"/>
        <w:numPr>
          <w:numId w:val="3"/>
          <w:ilvl w:val="0"/>
        </w:numPr>
        <w:tabs>
          <w:tab w:val="left" w:pos="709"/>
        </w:tabs>
        <w:spacing w:before="240" w:after="24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7" w:name="_Toc85038845"/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ПОРЯДОК УЧЕТА УСЛОЖНЯЮЩИХ ФАКТОРОВ И УСЛОВИЙ ПРОИЗВОДСТВА РАБОТ</w:t>
      </w:r>
      <w:bookmarkEnd w:id="7"/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Сметными нормами учтены оптимальные технологические и организационные схемы производства работ, набор (перечень) машин, механизмов и материальных ресурсов при рациональной организации труда и производства, современного развития техники и технологии, соблюдения требований безопасности в нормальных (стандартных) условиях, не осложненных внешними факторами (стесненность, загазованность и т.п.) и положительных значениях температуры воздуха.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К "усложняющим" относятся факторы, которые влияют на условия выполнения работ, связанные с технологическими особенностями их выполнения (разработка мокрого грунта, кирпичная кладка закругленных стен, и т.п.). Коэффициенты, учитывающие усложняющие факторы производства работ, приведены в Общих положениях, Технических частях и Приложениях соответствующих сборников.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Коэффициенты, учитывающие влияние условий производства работ, дифференцированы в зависимости от вида применяемых сметных норм для строительства, реконструкции, капитального ремонта, ПНР и сохранения объектов культурного наследия.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По объектам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ТПиР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для учета влияния условий производства работ, указанных в проектной и (или) иной технической документации, применяются коэффициенты к сметным нормам, в том числе их отдельным составляющим, приведенные в Приложении № 10 к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Методике определения сметной стоимости (далее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МОСС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)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для реконструкции и ПНР.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В случае отсутствия возможности применения технологических схем производства работ, принятых в сметных нормах, включенных в сборники ГЭСН, и при необходимости проведения работ отдельными малыми участками с ограниченным объемом работ, в том числе снижения производительности машин и механизмов, при определении стоимости работ по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ТПиР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по сметным нормам, включенным в ГЭСН, аналогичным технологическим процессам в новом строительстве, в том числе по возведению новых конструктивных элементов, в сметной документации могут быть учтены коэффициенты 1,15 к нормам затрат труда и 1,25 к нормам времени эксплуатации строительных машин (в том числе к оплате труда машинистов).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Указанные коэффициенты</w:t>
      </w:r>
      <w:r>
        <w:rPr>
          <w:rFonts w:ascii="Times New Roman" w:hAnsi="Times New Roman" w:cs="Times New Roman"/>
          <w:sz w:val="24"/>
          <w:szCs w:val="24"/>
        </w:rPr>
        <w:t xml:space="preserve"> не применяются: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к сметным нормам сборника ГЭСН 81-02-46-... "Работы при реконструкции зданий и сооружений";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к сметным нормам </w:t>
      </w:r>
      <w:r>
        <w:rPr>
          <w:rFonts w:eastAsia="Calibri"/>
        </w:rPr>
        <w:t xml:space="preserve">ГЭСНм</w:t>
      </w:r>
      <w:r>
        <w:rPr>
          <w:rFonts w:eastAsia="Calibri"/>
        </w:rPr>
        <w:t xml:space="preserve">, </w:t>
      </w:r>
      <w:r>
        <w:rPr>
          <w:rFonts w:eastAsia="Calibri"/>
        </w:rPr>
        <w:t xml:space="preserve">ГЭСНмр</w:t>
      </w:r>
      <w:r>
        <w:rPr>
          <w:rFonts w:eastAsia="Calibri"/>
        </w:rPr>
        <w:t xml:space="preserve">, </w:t>
      </w:r>
      <w:r>
        <w:rPr>
          <w:rFonts w:eastAsia="Calibri"/>
        </w:rPr>
        <w:t xml:space="preserve">ГЭСНр</w:t>
      </w:r>
      <w:r>
        <w:rPr>
          <w:rFonts w:eastAsia="Calibri"/>
        </w:rPr>
        <w:t xml:space="preserve">, </w:t>
      </w:r>
      <w:r>
        <w:rPr>
          <w:rFonts w:eastAsia="Calibri"/>
        </w:rPr>
        <w:t xml:space="preserve">ГЭСНрр</w:t>
      </w:r>
      <w:r>
        <w:rPr>
          <w:rFonts w:eastAsia="Calibri"/>
        </w:rPr>
        <w:t xml:space="preserve">, </w:t>
      </w:r>
      <w:r>
        <w:rPr>
          <w:rFonts w:eastAsia="Calibri"/>
        </w:rPr>
        <w:t xml:space="preserve">ГЭСНп</w:t>
      </w:r>
      <w:r>
        <w:rPr>
          <w:rFonts w:eastAsia="Calibri"/>
        </w:rPr>
        <w:t xml:space="preserve">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на работы по демонтажу строительных конструкций, систем и сетей инженерно-технического обеспечения;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на работы по реконструкции дорог, в том числе автомобильных дорог (за исключением внутриквартальных площадок, проездов и дорожек) и искусственных дорожных сооружений в условиях полного ограничения (закрытия) движения сторонних транспортных средств и исключения других факторов, ограничивающих производство указанных работ;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на работы по реконструкции инженерных сооружений, в том числе гидротехнических сооружений, мостов, путепроводов и тому подобное в объемах, обеспечивающих работы полноценными захватками, сметная стоимость которых определена по сметным нормам ГЭСН;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</w:rPr>
        <w:t xml:space="preserve">на работы по реконструкции (с полной заменой) наружных (магистральных) инженерных сетей (за исключением – внутриквартальных в границах красных линий кварталов, а также капитального ремонта магистральных сетей со сменой отдельных участков трубопровода до 200 м на 1 км сети).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Особые условия производства работ и усложняющие факторы в обязательном порядке подлежат обоснованию в проектной и (или) иной технической документации. Для более точного отражения условий производства работ в сметной документации рекомендуется в проектной и (или) иной технической документации указывать перечень и объемы работ, выполняемых в стесненных условиях.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При одновременном применении нескольких коэффициентов, учитывающих снижение производительности труда, приведенных в таблицах 3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, 5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и 7 Приложения № 10 к МОСС, результирующее значение коэффициента определяется путем суммирования дробных частей таких коэффициентов и единицы по следующей формуле:</w:t>
      </w:r>
    </w:p>
    <w:p>
      <w:pPr>
        <w:spacing w:before="240" w:after="240"/>
        <w:contextualSpacing/>
        <w:jc w:val="center"/>
      </w:pPr>
      <w:r>
        <w:t xml:space="preserve">К = (ДК1 + ДК2 + .... + </w:t>
      </w:r>
      <w:r>
        <w:t xml:space="preserve">ДКn</w:t>
      </w:r>
      <w:r>
        <w:t xml:space="preserve"> + 1),</w:t>
      </w:r>
    </w:p>
    <w:p>
      <w:pPr>
        <w:spacing w:before="240" w:after="240"/>
        <w:contextualSpacing/>
        <w:jc w:val="both"/>
      </w:pPr>
      <w:r>
        <w:t xml:space="preserve">где:</w:t>
      </w:r>
    </w:p>
    <w:p>
      <w:pPr>
        <w:spacing w:before="80" w:after="80"/>
        <w:ind w:firstLine="851"/>
        <w:contextualSpacing/>
        <w:jc w:val="both"/>
      </w:pPr>
      <w:r>
        <w:t xml:space="preserve">К - общий коэффициент к составляющим сметной нормы при наличии двух и более условий производства работ, учитывающих снижение их производительности;</w:t>
      </w:r>
    </w:p>
    <w:p>
      <w:pPr>
        <w:spacing w:before="80" w:after="80"/>
        <w:ind w:firstLine="851"/>
        <w:contextualSpacing/>
        <w:jc w:val="both"/>
      </w:pPr>
      <w:r>
        <w:t xml:space="preserve">ДК1, ДК2, </w:t>
      </w:r>
      <w:r>
        <w:t xml:space="preserve">ДКn</w:t>
      </w:r>
      <w:r>
        <w:t xml:space="preserve"> - дробные части каждого коэффициента, выбранного из таблицы, приведенной в Приложении N 10 к МОСС</w:t>
      </w:r>
      <w:r>
        <w:t xml:space="preserve">:</w:t>
      </w:r>
      <w:r>
        <w:t xml:space="preserve"> таблица 3 – при реконструкции объектов </w:t>
      </w:r>
      <w:r>
        <w:t xml:space="preserve">капитального строительства, таблица 5 – при капитальном ремонте, таблица 7 – при пусконаладочных работах;</w:t>
      </w:r>
    </w:p>
    <w:p>
      <w:pPr>
        <w:spacing w:before="80" w:after="80"/>
        <w:ind w:firstLine="851"/>
        <w:contextualSpacing/>
        <w:jc w:val="both"/>
      </w:pPr>
      <w:r>
        <w:t xml:space="preserve">n=1÷N, где:</w:t>
      </w:r>
    </w:p>
    <w:p>
      <w:pPr>
        <w:spacing w:before="80" w:after="80"/>
        <w:ind w:firstLine="851"/>
        <w:contextualSpacing/>
        <w:jc w:val="both"/>
      </w:pPr>
      <w:r>
        <w:t xml:space="preserve">где: N - количество коэффициентов, учитывающих снижение производительности труда.</w:t>
      </w:r>
    </w:p>
    <w:p>
      <w:pPr>
        <w:tabs>
          <w:tab w:val="left" w:pos="0"/>
          <w:tab w:val="left" w:pos="851"/>
          <w:tab w:val="left" w:pos="1134"/>
        </w:tabs>
        <w:ind w:firstLine="851"/>
        <w:jc w:val="both"/>
        <w:rPr>
          <w:rFonts w:eastAsia="Calibri"/>
        </w:rPr>
      </w:pPr>
      <w:r>
        <w:rPr>
          <w:rFonts w:eastAsia="Calibri"/>
        </w:rPr>
        <w:t xml:space="preserve">Коэффициент, приведенный в таблицах 3, 5 Приложения № 10 к МОСС или рассчитанный в соответствии с настоящим пунктом Методики, применяется к затратам труда рабочих, времени эксплуатации машин и механизмов и затратам труда машинистов.</w:t>
      </w:r>
    </w:p>
    <w:p>
      <w:pPr>
        <w:tabs>
          <w:tab w:val="left" w:pos="0"/>
          <w:tab w:val="left" w:pos="851"/>
          <w:tab w:val="left" w:pos="1134"/>
        </w:tabs>
        <w:ind w:firstLine="851"/>
        <w:jc w:val="both"/>
        <w:rPr>
          <w:rFonts w:eastAsia="Calibri"/>
        </w:rPr>
      </w:pPr>
      <w:r>
        <w:rPr>
          <w:rFonts w:eastAsia="Calibri"/>
        </w:rPr>
        <w:t xml:space="preserve">Коэффициент, приведенный в таблице 7 Приложения № 10 к МОСС или рассчитанный в соответствии с настоящим пунктом Методики, применяется к затратам труда пусконаладочного персонала, затратам труда рабочих.</w:t>
      </w:r>
    </w:p>
    <w:p>
      <w:pPr>
        <w:tabs>
          <w:tab w:val="left" w:pos="0"/>
          <w:tab w:val="left" w:pos="851"/>
          <w:tab w:val="left" w:pos="1134"/>
        </w:tabs>
        <w:ind w:firstLine="851"/>
        <w:jc w:val="both"/>
        <w:rPr>
          <w:rFonts w:eastAsia="Calibri"/>
        </w:rPr>
      </w:pPr>
      <w:r>
        <w:rPr>
          <w:rFonts w:eastAsia="Calibri"/>
        </w:rPr>
        <w:t xml:space="preserve">Коэффициент, учитывающий повышенный размер оплаты труда, приведенный в таблице 4 Приложения № 10 к МОСС (при реконструкции объектов капитального строительства), применяется к показателям оплаты труда рабочих, машинистов, коэффициент, приведенный в таблице 8 Приложения №10 к МОСС (при пусконаладочных работах), применяется к показателям оплаты труда пусконаладочного персонала, рабочих.</w:t>
      </w:r>
    </w:p>
    <w:p>
      <w:pPr>
        <w:tabs>
          <w:tab w:val="left" w:pos="0"/>
          <w:tab w:val="left" w:pos="851"/>
          <w:tab w:val="left" w:pos="1134"/>
        </w:tabs>
        <w:ind w:firstLine="851"/>
        <w:jc w:val="both"/>
        <w:rPr>
          <w:rFonts w:eastAsia="Calibri"/>
        </w:rPr>
      </w:pPr>
      <w:r>
        <w:rPr>
          <w:rFonts w:eastAsia="Calibri"/>
        </w:rPr>
        <w:t xml:space="preserve">Коэффициенты, учитывающие усложняющие факторы и условия производства работ, применяются одновременно с другими коэффициентами в порядке, установленном МОСС. При одновременном применении коэффициенты перемножаются, результат округляется до семи знаков после запятой.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Дополнительные затраты при производстве работ в условиях отрицательной температуры воздуха учитываются в главе 9 ССР в установленном порядке.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1418"/>
        </w:tabs>
        <w:spacing w:after="0"/>
        <w:ind w:left="0" w:firstLine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Для ПНР учет дополнительных затрат при производстве работ в зимнее время возможен при температуре воздуха на рабочем месте ниже 0°C посредством применения коэффициента, указанного в пункте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9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Таблицы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7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Приложения № 10 к МОСС.</w:t>
      </w:r>
    </w:p>
    <w:p>
      <w:pPr>
        <w:pStyle w:val="1"/>
        <w:numPr>
          <w:numId w:val="3"/>
          <w:ilvl w:val="0"/>
        </w:numPr>
        <w:spacing w:line="276" w:lineRule="auto"/>
        <w:jc w:val="both"/>
        <w:rPr>
          <w:rFonts w:eastAsia="Calibri"/>
        </w:rPr>
      </w:pPr>
      <w:r>
        <w:rPr>
          <w:rStyle w:val="a3"/>
          <w:rFonts w:ascii="Times New Roman" w:hAnsi="Times New Roman" w:cs="Times New Roman"/>
          <w:color w:val="auto"/>
        </w:rPr>
        <w:t xml:space="preserve">сводный сметный расчет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ССР разрабатывается в текущем/прогнозном уровне цен.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Сметные затраты в ССР распределяются по главам в соответствии с Положением о составе разделов проектной документации и требованиях к их содержанию, утвержденным постановлением Правительства РФ от 16.02.2008 № 87.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В главу 8 ССР включаются затраты на устройство и ликвидацию титульных временных зданий и сооружений (далее –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ВЗиС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), перечень которых приведен в Методике определения затрат на строительство временных зданий и сооружений, включаемых в сводный сметный расчет стоимости строительства объектов капитального строительства, утвержденной приказом Минстроя России от 19.06.2020 № 332/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пр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 (далее – Методика 332/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пр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).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Размер средств, предназначенных на строительство и разборку титульных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ВЗиС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, по главе 8 ССР определяется:</w:t>
      </w:r>
    </w:p>
    <w:p>
      <w:pPr>
        <w:pStyle w:val="a5"/>
        <w:numPr>
          <w:numId w:val="3"/>
          <w:ilvl w:val="2"/>
        </w:numPr>
        <w:tabs>
          <w:tab w:val="left" w:pos="851"/>
        </w:tabs>
        <w:spacing w:before="60" w:after="60"/>
        <w:ind w:left="0" w:firstLine="840"/>
        <w:jc w:val="both"/>
        <w:rPr>
          <w:rFonts w:ascii="Times New Roman" w:hAnsi="Times New Roman" w:eastAsia="Calibri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color w:val="000000"/>
          <w:sz w:val="24"/>
          <w:szCs w:val="24"/>
          <w:lang w:eastAsia="ru-RU"/>
        </w:rPr>
        <w:t xml:space="preserve">По сметным нормативам от итога строительных-монтажных работ по главам 1-7 ССР, установленным приложением 1 к Методике 332/</w:t>
      </w:r>
      <w:r>
        <w:rPr>
          <w:rFonts w:ascii="Times New Roman" w:hAnsi="Times New Roman" w:eastAsia="Calibri" w:cs="Times New Roman"/>
          <w:bCs/>
          <w:color w:val="000000"/>
          <w:sz w:val="24"/>
          <w:szCs w:val="24"/>
          <w:lang w:eastAsia="ru-RU"/>
        </w:rPr>
        <w:t xml:space="preserve">пр</w:t>
      </w:r>
      <w:r>
        <w:rPr>
          <w:rFonts w:ascii="Times New Roman" w:hAnsi="Times New Roman" w:eastAsia="Calibri" w:cs="Times New Roman"/>
          <w:bCs/>
          <w:color w:val="000000"/>
          <w:sz w:val="24"/>
          <w:szCs w:val="24"/>
          <w:lang w:eastAsia="ru-RU"/>
        </w:rPr>
        <w:t xml:space="preserve">, с применением коэффициента 0,8 для объектов реконструкции, технического перевооружения, а также при строительстве вторых и последующих очередей, новых цехов, производств и коммуникаций на территории действующих предприятий и (или) примыкающей к ним территории, а также подлежащим согласованию с заказчиком.</w:t>
      </w:r>
    </w:p>
    <w:p>
      <w:pPr>
        <w:pStyle w:val="a5"/>
        <w:numPr>
          <w:numId w:val="3"/>
          <w:ilvl w:val="2"/>
        </w:numPr>
        <w:tabs>
          <w:tab w:val="left" w:pos="851"/>
        </w:tabs>
        <w:spacing w:before="60" w:after="60"/>
        <w:ind w:left="0" w:firstLine="840"/>
        <w:jc w:val="both"/>
        <w:rPr>
          <w:rFonts w:ascii="Times New Roman" w:hAnsi="Times New Roman" w:eastAsia="Calibri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color w:val="000000"/>
          <w:sz w:val="24"/>
          <w:szCs w:val="24"/>
          <w:lang w:eastAsia="ru-RU"/>
        </w:rPr>
        <w:t xml:space="preserve">Расчетным методом на основании данных ПОС, в соответствии с указанным в нем перечнем и характеристиками титульных </w:t>
      </w:r>
      <w:r>
        <w:rPr>
          <w:rFonts w:ascii="Times New Roman" w:hAnsi="Times New Roman" w:eastAsia="Calibri" w:cs="Times New Roman"/>
          <w:bCs/>
          <w:color w:val="000000"/>
          <w:sz w:val="24"/>
          <w:szCs w:val="24"/>
          <w:lang w:eastAsia="ru-RU"/>
        </w:rPr>
        <w:t xml:space="preserve">ВЗиС</w:t>
      </w:r>
      <w:r>
        <w:rPr>
          <w:rFonts w:ascii="Times New Roman" w:hAnsi="Times New Roman" w:eastAsia="Calibri" w:cs="Times New Roman"/>
          <w:bCs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hAnsi="Times New Roman" w:eastAsia="Calibri" w:cs="Times New Roman"/>
          <w:color w:val="000000"/>
          <w:sz w:val="24"/>
          <w:szCs w:val="24"/>
          <w:lang w:eastAsia="ru-RU"/>
        </w:rPr>
        <w:t xml:space="preserve">на основании локальных </w:t>
      </w:r>
      <w:r>
        <w:rPr>
          <w:rFonts w:ascii="Times New Roman" w:hAnsi="Times New Roman" w:eastAsia="Calibri" w:cs="Times New Roman"/>
          <w:color w:val="000000"/>
          <w:sz w:val="24"/>
          <w:szCs w:val="24"/>
          <w:lang w:eastAsia="ru-RU"/>
        </w:rPr>
        <w:t xml:space="preserve">сметных расчетов (смет) и калькуляций, составленных с применением сметных нормативов, сведения о которых включены в ФРСН: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rPr>
          <w:rFonts w:eastAsia="Calibri"/>
          <w:bCs/>
          <w:color w:val="000000"/>
        </w:rPr>
        <w:t xml:space="preserve"> в случае </w:t>
      </w:r>
      <w:r>
        <w:rPr>
          <w:rFonts w:eastAsia="Calibri"/>
        </w:rPr>
        <w:t xml:space="preserve">отсутствия сметных нормативов в Приложении № 1 к Методике 332/</w:t>
      </w:r>
      <w:r>
        <w:rPr>
          <w:rFonts w:eastAsia="Calibri"/>
        </w:rPr>
        <w:t xml:space="preserve">пр</w:t>
      </w:r>
      <w:r>
        <w:rPr>
          <w:rFonts w:eastAsia="Calibri"/>
        </w:rPr>
        <w:t xml:space="preserve">;</w:t>
      </w:r>
    </w:p>
    <w:p>
      <w:pPr>
        <w:numPr>
          <w:numId w:val="2"/>
          <w:ilvl w:val="0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  <w:bCs/>
        </w:rPr>
      </w:pPr>
      <w:r>
        <w:rPr>
          <w:rFonts w:eastAsia="Calibri"/>
        </w:rPr>
        <w:t xml:space="preserve">в случае принятия расчетного метода в качестве приоритетного при определении затрат на титульные </w:t>
      </w:r>
      <w:r>
        <w:rPr>
          <w:rFonts w:eastAsia="Calibri"/>
        </w:rPr>
        <w:t xml:space="preserve">ВЗиС</w:t>
      </w:r>
      <w:r>
        <w:rPr>
          <w:rFonts w:eastAsia="Calibri"/>
        </w:rPr>
        <w:t xml:space="preserve">, но не</w:t>
      </w:r>
      <w:r>
        <w:rPr>
          <w:rFonts w:eastAsia="Calibri"/>
          <w:bCs/>
        </w:rPr>
        <w:t xml:space="preserve"> выше лимита средств, определенному по нормативу.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Метод определения затрат на строительство и разборку титульных временных зданий и сооружений устанавливается при подготовке технического задания на разработку проектной документации. Одновременное использование нормативного и расчетного метода не допускается.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Затраты на возведение, демонтаж, амортизацию, текущий ремонт, эксплуатацию, содержание и перемещение нетитульных временных зданий и сооружений учитываются нормативами накладных расходов.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Перечень иных временных сооружений и специальных вспомогательных сооружений и устройств, не учтенных нормативами затрат на строительство титульных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ВЗиС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, а также порядок определения затрат на их устройство и ликвидацию, снос объекта капитального строительства приведены в Методике 332/пр.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Расчеты между заказчиком и подрядчиком производятся за фактически построенные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ВЗиС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, подтвержденные сметными расчетами, составленными с применением сметных нормативов, сведения о которых включены в ФРСН, в пределах лимита по главе 8 ССР.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В главу 9 ССР включается сметная стоимость прочих работ и затрат, не учитываемых в других главах ССР, рекомендуемый перечень которых приведен в Приложении № 9 к МОСС.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При отрицательных значениях температуры воздуха, когда производство работ осуществляется как на открытых строительных площадках, так и в закрытых помещениях, соответствующие дополнительные затраты учитываются нормативами дополнительных затрат, связанных с выполнением работ в зимнее время (далее - НДЗ) в порядке, установленном Методикой определения дополнительных затрат при производстве работ в зимнее время, утвержденной приказом Минстроя России от 25.05.2021 № 325/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пр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 (далее – Методика 325/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пр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), включенной в ФРСН.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НДЗ не предназначены для определения сметной стоимости ПНР и не применяются при определении сметной стоимости мероприятий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ТПиР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, осуществляемых исключительно в летний период, а также при определении сметной стоимости отдельных видов ремонтно-строительных работ в случае, если выполнение таких работ осуществляется при положительной температуре воздуха в отапливаемых помещениях.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Дополнительные затраты при производстве работ в зимнее время определяются расчетом по нормам таблицы приложения 1 Методики 325/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пр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 по видам строительства от итога строительных и монтажных работ по главам 1-8 ССР, при производстве СМР в зимнее время на объектах промышленного строительства, в соответствии с температурной зоной и продолжительностью расчетного зимнего периода для каждого конкретного объекта.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В исключительных случаях допускается возмещение затрат при производстве работ в зимнее время по конструкциям и видам работ в соответствии с таблицей Приложения 3 Методики 325/пр.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Затраты подрядной организации, связанные с выездом рабочего персонала (командировочные расходы, стоимость проезда, проживания, провоз инструментов,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приборов, приспособлений и т.д.), определяются расчетом на основании трудоемкости основных рабочих и механизаторов не выше сметной с учетом времени нахождения в пути.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Рекомендуется принимать суточные, выплачиваемые в соответствии с законодательством Российской Федерации, но не более 700 рублей за каждый день нахождения в командировке на территории Российской Федерации.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Затраты на проезд и проживание рекомендуется учитывать по наиболее экономичному варианту, определенному на основании сбора информации о текущих ценах в регионе.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Затраты на проведение ПНР определяются на основании сметных расчетов, сформированных с учетом положений настоящих рекомендаций. При разработке сметной документации для объектов производственного и непроизводственного назначения, связанных с получением дохода от реализации товаров и (или) услуг, сметная стоимость ПНР разделяется на затраты «вхолостую» и «под нагрузкой» в соответствии со структурой ПНР, приведенной в Приложении 8 к МОСС. Необходимость разработки Программы ПНР и, соответственно, составления сметной документации на ПНР должны быть отражены заказчиком в задании на проектирование.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Затраты, связанные с проведением на территории строительства специальных мероприятий по обеспечению нормальных условий труда, соответствующих требованиям охраны труда и безопасности производства (в том числе затраты на мероприятия по предотвращению вирусных инфекций), определяются расчетом в соответствии с пунктом 13 МОСС, но не выше 0,3 % от стоимости СМР по главам1-8.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Затраты, связанные с предоставлением обязательной банковской гарантии в качестве обеспечения исполнения контракта и гарантийных обязательств, в случаях, когда указанные затраты являются обязательными по требованию заказчика, учитываются по расчету в соответствии с пунктом 161 МОСС с учетом требований заказчика.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Затраты на страхование объекта строительства, осуществляемое в соответствии с законодательством Российской Федерации, включаются в ССР согласно ценам и тарифам специализированных организаций в соответствии с пунктом 13 МОСС с учетом требований заказчика.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В главу 10 ССР включаются затраты на содержание технического заказчика и затраты заказчика на проведение строительного контроля.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Средства на содержание технического заказчика определяются на основании расчета в соответствии с положениями Методики определения затрат на осуществление функций технического заказчика, утвержденной приказом Минстроя России от 02.06.2020 № 297/пр.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Размер затрат на осуществление строительного контроля определяется исходя из общей стоимости строительства на основании расчета с применением нормативов, приведенных в приложении к «Положению о проведении строительного контроля при осуществлении строительства, реконструкции и капитального ремонта объектов капитального строительства», утвержденного постановлением Правительства РФ от 21.06.2010 № 468.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В главу 11 ССР включаются затраты, связанные с подготовкой эксплуатационных кадров для реконструируемых объектов капитального строительства, определяемые по сметным расчетам на отдельный вид затрат на основании проектной и (или) иной технической документации.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Перечень работ и затрат, включаемых в главу 12 ССР, приведен в пункте 171 МОСС.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Включение затрат на осуществление авторского надзора производится по объектам, обязательное проведение авторского надзора по которым предусмотрено законодательством Российской Федерации, а также по решению заказчика.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Лимит затрат на проведение авторского надзора определяется в размере 0,2% от итога по графе 8 глав 1-9 ССР и включается в графы 7 и 8. В указанном размере затрат не учтена стоимость проезда лиц, осуществляющих авторский надзор, на объект строительства и обратно. Данные затраты определяются дополнительно в порядке, определенном нормативными правовыми актами Российской Федерации, и включаются в главу 12 ССР (графы 7 и 8).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Определение затрат на проведение государственной экспертизы проектной документации и результатов инженерных изысканий осуществляется в соответствии с постановлением Правительства РФ от 05.03.2007 № 145 «О порядке организации и проведения государственной экспертизы проектной документации и результатов инженерных изысканий».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При необходимости определения затрат на проведение государственной экологической экспертизы возможно использование полученных по официальному запросу ценовых параметров коммерческих организаций, занимающихся общественной экологической экспертизой, с учетом положений «Порядка определения сметы расходов на проведение государственной экологической экспертизы», утвержденного приказом Минприроды России от 12.05.2014 № 205.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Расчет средств на проведение технологического и ценового аудита рекомендуется определять в соответствии с постановлением Правительства РФ от 30.04.2013 № 382 «О 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Федерации», а также на основании калькуляций, составленных потенциальными участниками закупочных процедур по выбору экспертной организации в соответствии с положениями действующего законодательства Российской Федерации с учетом источников финансирования объекта строительства.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Приведенная в МОСС номенклатура работ и затрат, включаемых в главы 1, 9 и 12 ССР, не является исчерпывающей и может быть дополнена затратами, учитывающими специфические особенности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ТПиР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 и относимыми на капитальные вложения в случаях, предусмотренных законодательством Российской Федерации, а также при соответствующем обосновании проектной и (или) иной технической документацией либо техническим заданием на разработку такой документации.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Резерв средств на непредвиденные работы и затраты предназначен для возмещения стоимости работ и затрат, потребность в которых возникает в процессе разработки рабочей документации и (или) в ходе строительства в результате уточнения проектных решений и (или) условий строительства, предусмотренных проектной документацией.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Резерв средств на непредвиденные работы и затраты определяется от итогов по главам 1-12 ССР, отражается отдельной строкой с распределением по графам 4-8. Предельный уровень непредвиденных расходов и затрат составляет 2%. По факту в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обязательном порядке подтверждается расчетами Подрядчика. В случае отсутствия обоснования средства остаются у заказчика.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При расчетах между заказчиком и подрядчиком за фактически выполненные работы часть резерва на непредвиденные работы и затраты, которые подтверждены сметными расчетами передается подрядчику, а неподтвержденная часть остается в распоряжении заказчика.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При внесении изменений в сметную документацию разрабатывается ССР, определяющий общую сметную стоимость строительства с учетом произведенных изменений проектной и (или) иной технической документации на полный объем работ с учетом объемов корректировки (исключаемых и дополнительных). При необходимости дополнительно могут быть разработаны: отдельный ССР, определяющий сметную стоимость изменений, сопоставительные ведомости объемов работ и сопоставительные ведомости изменения сметной стоимости, подготовленные в соответствии с Приложениями № 12 и 13 к МОСС.</w:t>
      </w:r>
    </w:p>
    <w:p>
      <w:pPr>
        <w:pStyle w:val="1"/>
        <w:numPr>
          <w:numId w:val="3"/>
          <w:ilvl w:val="0"/>
        </w:numPr>
        <w:spacing w:line="276" w:lineRule="auto"/>
        <w:jc w:val="both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a3"/>
          <w:rFonts w:ascii="Times New Roman" w:hAnsi="Times New Roman" w:cs="Times New Roman"/>
          <w:color w:val="auto"/>
        </w:rPr>
        <w:t xml:space="preserve">Требования к оформлению сметной документации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При подготовке сметной документации следует руководствоваться требованиями к формату документов, представляемых в электронной форме, утверждаемыми Минстроем России в соответствии с пунктом 18 Положения о порядке организации и проведения государственной экспертизы проектной документации и результатов инженерных изысканий, утвержденного постановлением Правительства РФ от 05.03.2007 № 145.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Требования к формату электронных документов, представляемых для проведения государственной экспертизы проектной документации и (или) результатов инженерных изысканий и проверки достоверности определения сметной стоимости строительства, реконструкции, капитального ремонта объектов капитального строительства установлены приказом Минстроя России от 12.05.2017 № 783/пр.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Сметные расчеты разрабатываются по рекомендуемым образцам, приведенным в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 Приложениях №№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2-7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 МОСС.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Согласно п. 27 МОСС к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 сметной документации прилагаются:</w:t>
      </w:r>
    </w:p>
    <w:p>
      <w:pPr>
        <w:tabs>
          <w:tab w:val="left" w:pos="851"/>
          <w:tab w:val="left" w:pos="993"/>
          <w:tab w:val="left" w:pos="1418"/>
        </w:tabs>
        <w:ind w:left="851"/>
        <w:jc w:val="both"/>
        <w:rPr>
          <w:rFonts w:eastAsia="Calibri"/>
          <w:bCs/>
        </w:rPr>
      </w:pPr>
      <w:r>
        <w:rPr>
          <w:rFonts w:eastAsia="Calibri"/>
          <w:bCs/>
        </w:rPr>
        <w:t xml:space="preserve">- пояснительная записка;</w:t>
      </w:r>
    </w:p>
    <w:p>
      <w:pPr>
        <w:tabs>
          <w:tab w:val="left" w:pos="851"/>
          <w:tab w:val="left" w:pos="993"/>
          <w:tab w:val="left" w:pos="1418"/>
        </w:tabs>
        <w:ind w:left="851"/>
        <w:jc w:val="both"/>
        <w:rPr>
          <w:rFonts w:eastAsia="Calibri"/>
          <w:bCs/>
        </w:rPr>
      </w:pPr>
      <w:r>
        <w:rPr>
          <w:rFonts w:eastAsia="Calibri"/>
          <w:bCs/>
        </w:rPr>
        <w:t xml:space="preserve">- ведомость объемов работ;</w:t>
      </w:r>
    </w:p>
    <w:p>
      <w:pPr>
        <w:tabs>
          <w:tab w:val="left" w:pos="851"/>
          <w:tab w:val="left" w:pos="993"/>
          <w:tab w:val="left" w:pos="1418"/>
        </w:tabs>
        <w:ind w:left="851"/>
        <w:jc w:val="both"/>
        <w:rPr>
          <w:rFonts w:eastAsia="Calibri"/>
          <w:bCs/>
        </w:rPr>
      </w:pPr>
      <w:r>
        <w:rPr>
          <w:rFonts w:eastAsia="Calibri"/>
          <w:bCs/>
        </w:rPr>
        <w:t xml:space="preserve">- обосновывающие документы.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Позицией локального сметного расчета является совокупность нормы и неучтенных ею ресурсов, но при этом в составе позиции для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смет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ных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норм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 выводятся как исходные неучтенные ресурсы (с обобщенными наименованиями и кодами групп), так и ресурсы, на которые они были заменены. Производится сквозная нумерация позиций сметного расчета, к которым относятся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сметные нормы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, а также связанные с ними неучтенные материальные ресурсы.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Наименования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сметных норм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 в смете указываются полностью, без сокращений, наименования МТР должны содержать максимально полное описание характеристик в соответствии с проектной и (или) иной технической документацией и соответствовать наименованию 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ФГИС ЦС</w:t>
      </w: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 или обосновывающим сметную цену МТР документам.</w:t>
      </w:r>
    </w:p>
    <w:p>
      <w:pPr>
        <w:pStyle w:val="a5"/>
        <w:numPr>
          <w:numId w:val="3"/>
          <w:ilvl w:val="1"/>
        </w:numPr>
        <w:tabs>
          <w:tab w:val="left" w:pos="851"/>
          <w:tab w:val="left" w:pos="993"/>
          <w:tab w:val="left" w:pos="1418"/>
        </w:tabs>
        <w:ind w:left="0" w:firstLine="851"/>
        <w:jc w:val="both"/>
        <w:rPr>
          <w:rFonts w:ascii="Times New Roman" w:hAnsi="Times New Roman" w:eastAsia="Calibri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Cs/>
          <w:sz w:val="24"/>
          <w:szCs w:val="24"/>
          <w:lang w:eastAsia="ru-RU"/>
        </w:rPr>
        <w:t xml:space="preserve">При составлении локальных сметных расчетов (смет) детализация объекта капитального строительства на конструктивные решения (элементы) и (или) комплексы (виды) работ определяется заказчиком исходя из архитектурных, функционально-технологических, конструктивных и инженерно-технических решений, содержащихся в проектной и (или) иной технической документации, в зависимости от специфических особенностей объекта капитального строительства.</w:t>
      </w:r>
    </w:p>
    <w:bookmarkEnd w:id="3"/>
    <w:p>
      <w:pPr>
        <w:spacing w:line="276" w:lineRule="auto"/>
        <w:ind w:firstLine="709"/>
        <w:jc w:val="both"/>
      </w:pPr>
    </w:p>
    <w:p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 w:tplc="7958C538"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w:ilvl="1" w:tentative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 w:tplc="041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 w:tplc="041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 w:tplc="041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 w:tplc="041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 w:tplc="041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 w:tplc="810E59A2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 w:ascii="Courier New" w:hAnsi="Courier New"/>
      </w:rPr>
    </w:lvl>
    <w:lvl w:ilvl="1" w:tplc="04190019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hint="default" w:ascii="Courier New" w:hAnsi="Courier New"/>
      </w:rPr>
    </w:lvl>
    <w:lvl w:ilvl="2" w:tentative="1" w:tplc="0419001B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hint="default" w:ascii="Wingdings" w:hAnsi="Wingdings"/>
      </w:rPr>
    </w:lvl>
    <w:lvl w:ilvl="3" w:tentative="1" w:tplc="0419000F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hint="default" w:ascii="Symbol" w:hAnsi="Symbol"/>
      </w:rPr>
    </w:lvl>
    <w:lvl w:ilvl="4" w:tentative="1" w:tplc="04190019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hint="default" w:ascii="Courier New" w:hAnsi="Courier New"/>
      </w:rPr>
    </w:lvl>
    <w:lvl w:ilvl="5" w:tentative="1" w:tplc="0419001B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hint="default" w:ascii="Wingdings" w:hAnsi="Wingdings"/>
      </w:rPr>
    </w:lvl>
    <w:lvl w:ilvl="6" w:tentative="1" w:tplc="0419000F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hint="default" w:ascii="Symbol" w:hAnsi="Symbol"/>
      </w:rPr>
    </w:lvl>
    <w:lvl w:ilvl="7" w:tentative="1" w:tplc="04190019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hint="default" w:ascii="Courier New" w:hAnsi="Courier New"/>
      </w:rPr>
    </w:lvl>
    <w:lvl w:ilvl="8" w:tentative="1" w:tplc="0419001B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 w:tplc="6748AD78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entative="1" w:tplc="041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1" w:tplc="041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1" w:tplc="041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1" w:tplc="041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1" w:tplc="041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1" w:tplc="041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1" w:tplc="041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1" w:tplc="041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570" w:hanging="57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1279" w:hanging="57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 w:ascii="Times New Roman" w:hAnsi="Times New Roman" w:cs="Times New Roman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 w:ascii="Times New Roman" w:hAnsi="Times New Roman" w:cs="Times New Roman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  <w:b w:val="0"/>
        <w:i w:val="0"/>
        <w:color w:val="000000"/>
        <w:sz w:val="24"/>
        <w:szCs w:val="24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tabs>
          <w:tab w:val="num" w:pos="1713"/>
        </w:tabs>
        <w:ind w:left="1713" w:hanging="720"/>
      </w:pPr>
      <w:rPr>
        <w:rFonts w:hint="default" w:cs="Times New Roman"/>
        <w:b w:val="0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 w:cs="Times New Roman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 w:cs="Times New Roman"/>
      </w:rPr>
    </w:lvl>
  </w:abstractNum>
  <w:abstractNum w:abstractNumId="5">
    <w:multiLevelType w:val="hybridMultilevel"/>
    <w:lvl w:ilvl="0" w:tplc="E048AF86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5672E59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4DC271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882755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75EFBF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3E4125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1EE41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37E1A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D844206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  <w:b w:val="0"/>
        <w:i w:val="0"/>
        <w:color w:val="000000"/>
        <w:sz w:val="24"/>
        <w:szCs w:val="24"/>
      </w:rPr>
    </w:lvl>
    <w:lvl w:ilvl="1">
      <w:start w:val="1"/>
      <w:numFmt w:val="decimal"/>
      <w:isLgl/>
      <w:lvlText w:val="%1.%2."/>
      <w:lvlJc w:val="left"/>
      <w:pPr>
        <w:tabs>
          <w:tab w:val="num" w:pos="643"/>
        </w:tabs>
        <w:ind w:left="643" w:hanging="360"/>
      </w:pPr>
      <w:rPr>
        <w:rFonts w:hint="default" w:ascii="Times New Roman" w:hAnsi="Times New Roman" w:cs="Times New Roman"/>
        <w:b w:val="0"/>
        <w:i w:val="0"/>
        <w:color w:val="00000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tabs>
          <w:tab w:val="num" w:pos="1713"/>
        </w:tabs>
        <w:ind w:left="1713" w:hanging="720"/>
      </w:pPr>
      <w:rPr>
        <w:rFonts w:hint="default" w:cs="Times New Roman"/>
        <w:b w:val="0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 w:cs="Times New Roman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 w:cs="Times New Roman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  <w:b w:val="0"/>
        <w:i w:val="0"/>
        <w:color w:val="000000"/>
        <w:sz w:val="24"/>
        <w:szCs w:val="24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  <w:b w:val="0"/>
        <w:i w:val="0"/>
        <w:color w:val="00000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tabs>
          <w:tab w:val="num" w:pos="1713"/>
        </w:tabs>
        <w:ind w:left="1713" w:hanging="720"/>
      </w:pPr>
      <w:rPr>
        <w:rFonts w:hint="default" w:cs="Times New Roman"/>
        <w:b w:val="0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 w:cs="Times New Roman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 w:cs="Times New Roman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0"/>
  </w:num>
  <w:num w:numId="5">
    <w:abstractNumId w:val="1"/>
  </w:num>
  <w:num w:numId="6">
    <w:abstractNumId w:val="6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  <w:lang w:eastAsia="ru-RU"/>
    </w:rPr>
  </w:style>
  <w:style w:type="character" w:styleId="a3">
    <w:name w:val="Book Title"/>
    <w:basedOn w:val="a0"/>
    <w:uiPriority w:val="33"/>
    <w:qFormat/>
    <w:rPr>
      <w:b/>
      <w:bCs/>
      <w:smallCaps/>
      <w:spacing w:val="5"/>
    </w:rPr>
  </w:style>
  <w:style w:type="table" w:styleId="a4">
    <w:name w:val="Table Grid"/>
    <w:basedOn w:val="a1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5">
    <w:name w:val="List Paragraph"/>
    <w:aliases w:val="Булет 1,Bullet List,numbered,FooterText,Bullet Number,Нумерованый список,List Paragraph1,lp1,lp11,List Paragraph11,Bullet 1,Use Case List Paragraph,Paragraphe de liste1,-Абзац списка"/>
    <w:basedOn w:val="a"/>
    <w:link w:val="a6"/>
    <w:uiPriority w:val="34"/>
    <w:qFormat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a6" w:customStyle="1">
    <w:name w:val="Абзац списка Знак"/>
    <w:aliases w:val="Булет 1 Знак,Bullet List Знак,numbered Знак,FooterText Знак,Bullet Number Знак,Нумерованый список Знак,List Paragraph1 Знак,lp1 Знак,lp11 Знак,List Paragraph11 Знак,Bullet 1 Знак,Use Case List Paragraph Знак,Paragraphe de liste1 Знак"/>
    <w:link w:val="a5"/>
    <w:uiPriority w:val="34"/>
    <w:qFormat/>
    <w:locked/>
  </w:style>
  <w:style w:type="paragraph" w:styleId="a7">
    <w:name w:val="TOC Heading"/>
    <w:basedOn w:val="1"/>
    <w:next w:val="a"/>
    <w:uiPriority w:val="39"/>
    <w:unhideWhenUsed/>
    <w:qFormat/>
    <w:pPr>
      <w:spacing w:before="240" w:line="256" w:lineRule="auto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Liberation Sans"/>
        <a:cs typeface="Liberation Sans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Liberation Sans"/>
        <a:cs typeface="Liberation Sans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Characters>43279</Characters>
  <CharactersWithSpaces>50770</CharactersWithSpaces>
  <Company/>
  <DocSecurity>0</DocSecurity>
  <HyperlinksChanged>false</HyperlinksChanged>
  <Lines>360</Lines>
  <LinksUpToDate>false</LinksUpToDate>
  <Pages>1</Pages>
  <Paragraphs>101</Paragraphs>
  <ScaleCrop>false</ScaleCrop>
  <SharedDoc>false</SharedDoc>
  <Template>Normal.dotm</Template>
  <TotalTime>1</TotalTime>
  <Words>7592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Офицеров Дмитрий Валентинович</dc:creator>
  <cp:keywords/>
  <dc:description/>
  <cp:lastModifiedBy>avdeeva_ovl</cp:lastModifiedBy>
  <cp:revision>4</cp:revision>
  <dcterms:created xsi:type="dcterms:W3CDTF">2025-09-10T11:02:00Z</dcterms:created>
  <dcterms:modified xsi:type="dcterms:W3CDTF">2025-09-10T11:04:00Z</dcterms:modified>
</cp:coreProperties>
</file>