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40" w:lineRule="auto"/>
        <w:rPr>
          <w:rFonts w:ascii="Times New Roman" w:hAnsi="Times New Roman" w:eastAsia="Calibri" w:cs="Times New Roman"/>
          <w:b/>
          <w:bCs/>
          <w:sz w:val="24"/>
          <w:szCs w:val="28"/>
          <w:lang w:eastAsia="ru-RU"/>
        </w:rPr>
      </w:pPr>
      <w:r>
        <w:rPr>
          <w:rFonts w:ascii="Times New Roman" w:hAnsi="Times New Roman" w:eastAsia="Calibri" w:cs="Times New Roman"/>
          <w:b/>
          <w:bCs/>
          <w:sz w:val="24"/>
          <w:szCs w:val="28"/>
          <w:lang w:eastAsia="ru-RU"/>
        </w:rPr>
        <w:t xml:space="preserve">Приложение № 5</w:t>
      </w:r>
      <w:r>
        <w:rPr>
          <w:rFonts w:ascii="Times New Roman" w:hAnsi="Times New Roman" w:eastAsia="Calibri" w:cs="Times New Roman"/>
          <w:b/>
          <w:bCs/>
          <w:sz w:val="24"/>
          <w:szCs w:val="28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 w:eastAsia="Calibri" w:cs="Times New Roman"/>
          <w:bCs/>
          <w:lang w:eastAsia="ru-RU"/>
        </w:rPr>
      </w:pPr>
      <w:r>
        <w:rPr>
          <w:rFonts w:ascii="Times New Roman" w:hAnsi="Times New Roman" w:eastAsia="Calibri" w:cs="Times New Roman"/>
          <w:bCs/>
          <w:lang w:eastAsia="ru-RU"/>
        </w:rPr>
        <w:t xml:space="preserve">                                                                   к ТЗ </w:t>
      </w:r>
      <w:bookmarkStart w:id="0" w:name="_Hlk106036603"/>
      <w:r>
        <w:rPr>
          <w:rFonts w:ascii="Times New Roman" w:hAnsi="Times New Roman" w:eastAsia="Calibri" w:cs="Times New Roman"/>
          <w:bCs/>
          <w:lang w:eastAsia="ru-RU"/>
        </w:rPr>
        <w:t xml:space="preserve">на выполнение работ по модернизации напорных трубопроводов циркуляционной воды №1 и №2 </w:t>
      </w:r>
      <w:r>
        <w:rPr>
          <w:rFonts w:ascii="Times New Roman" w:hAnsi="Times New Roman" w:eastAsia="Calibri" w:cs="Times New Roman"/>
          <w:bCs/>
          <w:lang w:eastAsia="ru-RU"/>
        </w:rPr>
      </w:r>
    </w:p>
    <w:p>
      <w:pPr>
        <w:jc w:val="right"/>
        <w:spacing w:after="0" w:line="240" w:lineRule="auto"/>
      </w:pPr>
      <w:r>
        <w:rPr>
          <w:rFonts w:ascii="Times New Roman" w:hAnsi="Times New Roman" w:eastAsia="Calibri" w:cs="Times New Roman"/>
          <w:bCs/>
          <w:lang w:eastAsia="ru-RU"/>
        </w:rPr>
        <w:t xml:space="preserve">на Уфимской ТЭЦ-4 филиала ООО «БГК».</w:t>
      </w:r>
      <w:bookmarkEnd w:id="0"/>
      <w:r/>
      <w:r/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 xml:space="preserve">Задание на проектирование </w:t>
      </w:r>
      <w:r>
        <w:rPr>
          <w:rFonts w:ascii="Times New Roman" w:hAnsi="Times New Roman" w:eastAsia="Calibri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 xml:space="preserve">на выполнение работ по модернизации напорных трубопроводов циркуляционной воды №1 и №2 на Уфимской ТЭЦ-4 филиала ООО «БГК».</w:t>
      </w:r>
      <w:r>
        <w:rPr>
          <w:rFonts w:ascii="Times New Roman" w:hAnsi="Times New Roman" w:eastAsia="Calibri" w:cs="Times New Roman"/>
          <w:b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 xml:space="preserve">.</w:t>
      </w:r>
      <w:r>
        <w:rPr>
          <w:rFonts w:ascii="Times New Roman" w:hAnsi="Times New Roman" w:eastAsia="Calibri" w:cs="Times New Roman"/>
          <w:b/>
          <w:sz w:val="24"/>
          <w:szCs w:val="24"/>
        </w:rPr>
      </w:r>
    </w:p>
    <w:tbl>
      <w:tblPr>
        <w:tblStyle w:val="846"/>
        <w:tblW w:w="10485" w:type="dxa"/>
        <w:tblInd w:w="-851" w:type="dxa"/>
        <w:tblLook w:val="04A0" w:firstRow="1" w:lastRow="0" w:firstColumn="1" w:lastColumn="0" w:noHBand="0" w:noVBand="1"/>
      </w:tblPr>
      <w:tblGrid>
        <w:gridCol w:w="562"/>
        <w:gridCol w:w="9923"/>
      </w:tblGrid>
      <w:tr>
        <w:tblPrEx/>
        <w:trPr/>
        <w:tc>
          <w:tcPr>
            <w:tcW w:w="56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923" w:type="dxa"/>
            <w:textDirection w:val="lrTb"/>
            <w:noWrap w:val="false"/>
          </w:tcPr>
          <w:p>
            <w:pPr>
              <w:ind w:firstLine="181"/>
              <w:jc w:val="both"/>
              <w:spacing w:line="23" w:lineRule="atLeast"/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  <w:t xml:space="preserve">«Модернизация напорных трубопроводов циркуляционной воды №1 и №2 на Уфимской ТЭЦ-4 филиала ООО «БГК».</w:t>
            </w:r>
            <w:r>
              <w:rPr>
                <w:rFonts w:ascii="Times New Roman" w:hAnsi="Times New Roman" w:cs="Times New Roman" w:eastAsiaTheme="majorEastAsia"/>
                <w:b/>
                <w:sz w:val="24"/>
                <w:szCs w:val="24"/>
              </w:rPr>
            </w:r>
          </w:p>
          <w:p>
            <w:pPr>
              <w:pStyle w:val="847"/>
              <w:numPr>
                <w:ilvl w:val="0"/>
                <w:numId w:val="6"/>
              </w:numPr>
              <w:ind w:left="0" w:firstLine="0"/>
              <w:jc w:val="both"/>
              <w:tabs>
                <w:tab w:val="left" w:pos="284" w:leader="none"/>
              </w:tabs>
            </w:pPr>
            <w:r>
              <w:t xml:space="preserve">Разработка проектной документации по </w:t>
            </w:r>
            <w:r>
              <w:rPr>
                <w:bCs/>
              </w:rPr>
              <w:t xml:space="preserve">модернизации </w:t>
            </w:r>
            <w:bookmarkStart w:id="1" w:name="_Hlk166429528"/>
            <w:r>
              <w:rPr>
                <w:bCs/>
                <w:color w:val="000000"/>
              </w:rPr>
              <w:t xml:space="preserve">напорных трубопроводов циркуляционной воды №1 и №2</w:t>
            </w:r>
            <w:bookmarkEnd w:id="1"/>
            <w:r>
              <w:rPr>
                <w:bCs/>
              </w:rPr>
              <w:t xml:space="preserve"> Уфимской ТЭЦ-4 ООО «БГК».</w:t>
            </w:r>
            <w:r/>
          </w:p>
        </w:tc>
      </w:tr>
      <w:tr>
        <w:tblPrEx/>
        <w:trPr/>
        <w:tc>
          <w:tcPr>
            <w:tcW w:w="56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923" w:type="dxa"/>
            <w:textDirection w:val="lrTb"/>
            <w:noWrap w:val="false"/>
          </w:tcPr>
          <w:p>
            <w:pPr>
              <w:pStyle w:val="849"/>
              <w:ind w:right="3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Требования к инженерным изысканиям</w:t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849"/>
              <w:numPr>
                <w:ilvl w:val="0"/>
                <w:numId w:val="2"/>
              </w:numPr>
              <w:ind w:left="323" w:righ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Изыскания выполнить в соответствии со СНиП 11-02-96, СП 11-102-97, СП 11-103-97, СП 11-104-97, СП 11-105-97 и ВСН 34.72.111-92, РСН 60-86, РСН 65-87 и другими нормами, необходимыми для разработки рабочей документации.</w:t>
            </w:r>
            <w:r>
              <w:rPr>
                <w:sz w:val="24"/>
                <w:szCs w:val="24"/>
              </w:rPr>
            </w:r>
          </w:p>
          <w:p>
            <w:pPr>
              <w:pStyle w:val="849"/>
              <w:numPr>
                <w:ilvl w:val="0"/>
                <w:numId w:val="2"/>
              </w:numPr>
              <w:ind w:left="323" w:righ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Подрядчик разрабатывает программу инженерных изысканий. Необходимость выполнения отдельных видов инженерных изысканий, а также их состав, объем, и метод выполнения устанавливаются программой инженерных изысканий. </w:t>
            </w:r>
            <w:r>
              <w:rPr>
                <w:sz w:val="24"/>
                <w:szCs w:val="24"/>
              </w:rPr>
            </w:r>
          </w:p>
          <w:p>
            <w:pPr>
              <w:pStyle w:val="849"/>
              <w:numPr>
                <w:ilvl w:val="0"/>
                <w:numId w:val="2"/>
              </w:numPr>
              <w:ind w:left="323" w:righ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Выполнить обследования, необходимые для разработки Проектной документации.</w:t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56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92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Требования к стадийности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Стадия «Проектная документация»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Стадия «Рабочая документация»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6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92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Границы проектирования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contextualSpacing/>
              <w:jc w:val="both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Указаны в приложении №8 к техническому заданию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56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92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Требования к выполнению работ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 На основе сбора исходных данных, геодезических изысканий и технических условий выполнить проектирование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модернизации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 участков напорных трубопроводов циркуляционной воды №1 и №2 (Ø1800мм), расположенных в осях 22-24 светового коридора турбинного цеха, 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модернизация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 напорных 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трубопроводов циркуляционной воды к насосам сырой воды Н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СВ-1 и НСВ-2 (Ø800мм на Ø300мм).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Выбор диаметров трубопроводов осуществить на основании расчета пропускной способности данных трубопроводов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осуществить выбор материалов трубопроводов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Выполнить проектирование с 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учетом установки новых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задвижек БГ-1-Ц, БГ-1-П, БГ-2-Ц, БГ-2-П, БГ-3-Ц, БГ-3-П, БГ-4-Ц, БГ-4-П с электроприводами во влагозащитном исполнении с выводом их из камер задвижек на поверхность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грунта для удобства обслуживания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,</w:t>
            </w:r>
            <w:r>
              <w:t xml:space="preserve"> 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монтаж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 4-х камер с установкой дренажных насосов и 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монтаж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 4-х колодцев быстрого доступа к 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люкам, расположенным на напорных трубопроводах циркуляционной воды №1 и №2, а также монтаж дренажных линий (Ø200мм) для проведения быстрого опорожнения  трубопроводов перед производством работ по ремонту и техническому диагностированию данных трубопроводов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darkGray"/>
              </w:rPr>
              <w:t xml:space="preserve"> 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Инвестиционным проектом предполагается выполнить проект по прокладке и 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модернизации 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трубопроводов и 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установке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 задвижек с выводом их из камер задвижек на поверхность грунта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3.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Предусмотреть наличие затворных механизмов.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4. Этапы разработки проектной документации: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    1 Этап - Предпроектное обследование объекта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техперевооружения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 Уточнение границ проектирования.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    2 Этап - Разработка и согласование проекта стадии ПД и РД (проектная и рабочая документация, включая сметную документацию). Геодезические работы.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    3 Этап - Утверждение проектной документации Заказчиком.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    4 Этап -Передача проектной документации Заказчику.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5. В составе проекта, на основании ГОСТ 2.102-2013 ЕСКД. «Виды и комплектность конструкторских документов», выполнить следующие разделы: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- пояснительная записка;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- проект стадии ПД (проектная документация)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- проект стадии РД (рабочий проект);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- технологические решения;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- опросные листы на все оборудование (характеристики согласно проектному решению);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- спецификации материалов;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- мероприятия по охране окружающей среды;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- сметная документация.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 также другие разделы необходимые для выполнения задач по проектированию.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widowControl w:val="off"/>
              <w:tabs>
                <w:tab w:val="left" w:pos="142" w:leader="none"/>
                <w:tab w:val="left" w:pos="900" w:leader="none"/>
              </w:tabs>
              <w:rPr>
                <w:rFonts w:ascii="Times New Roman" w:hAnsi="Times New Roman" w:eastAsia="Calibri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6. </w:t>
            </w:r>
            <w:r>
              <w:rPr>
                <w:rFonts w:ascii="Times New Roman" w:hAnsi="Times New Roman" w:eastAsia="Calibri" w:cs="Times New Roman"/>
                <w:sz w:val="24"/>
              </w:rPr>
              <w:t xml:space="preserve">При проектировании (стадия РД) необходимо выполнить монтажные чертежи в объёме требований НТД. Состав РД может быть уточнен при согласовании разработанного Подрядчиком Задания на проектирование.</w:t>
            </w:r>
            <w:r>
              <w:rPr>
                <w:rFonts w:ascii="Times New Roman" w:hAnsi="Times New Roman" w:eastAsia="Calibri" w:cs="Times New Roman"/>
                <w:sz w:val="24"/>
              </w:rPr>
            </w:r>
          </w:p>
          <w:p>
            <w:pPr>
              <w:jc w:val="both"/>
              <w:widowControl w:val="off"/>
              <w:tabs>
                <w:tab w:val="left" w:pos="900" w:leader="none"/>
              </w:tabs>
              <w:rPr>
                <w:rFonts w:ascii="Times New Roman" w:hAnsi="Times New Roman" w:eastAsia="Calibri" w:cs="Times New Roman"/>
                <w:sz w:val="24"/>
              </w:rPr>
            </w:pPr>
            <w:r>
              <w:rPr>
                <w:rFonts w:ascii="Times New Roman" w:hAnsi="Times New Roman" w:eastAsia="Calibri" w:cs="Times New Roman"/>
                <w:sz w:val="24"/>
              </w:rPr>
              <w:t xml:space="preserve">7. При необходимости уто</w:t>
            </w:r>
            <w:r>
              <w:rPr>
                <w:rFonts w:ascii="Times New Roman" w:hAnsi="Times New Roman" w:eastAsia="Calibri" w:cs="Times New Roman"/>
                <w:sz w:val="24"/>
              </w:rPr>
              <w:t xml:space="preserve">чнения и обобщения объема выполнения проектных и изыскательских работ, Подрядчик по согласованию с Заказчиком обязан в течение 15 рабочих дней со дня заключения договора разработать и передать на утверждение Заказчику Задание на выполнение проектных работ.</w:t>
            </w:r>
            <w:r>
              <w:rPr>
                <w:rFonts w:ascii="Times New Roman" w:hAnsi="Times New Roman" w:eastAsia="Calibri" w:cs="Times New Roman"/>
                <w:sz w:val="24"/>
              </w:rPr>
            </w:r>
          </w:p>
          <w:p>
            <w:pPr>
              <w:jc w:val="both"/>
              <w:widowControl w:val="off"/>
              <w:tabs>
                <w:tab w:val="left" w:pos="900" w:leader="none"/>
              </w:tabs>
              <w:rPr>
                <w:rFonts w:ascii="Times New Roman" w:hAnsi="Times New Roman" w:eastAsia="Calibri" w:cs="Times New Roman"/>
                <w:sz w:val="24"/>
              </w:rPr>
            </w:pPr>
            <w:r>
              <w:rPr>
                <w:rFonts w:ascii="Times New Roman" w:hAnsi="Times New Roman" w:eastAsia="Calibri" w:cs="Times New Roman"/>
                <w:sz w:val="24"/>
              </w:rPr>
              <w:t xml:space="preserve">8. В составе документации необходимо представить (но не ограничиваясь):</w:t>
            </w:r>
            <w:r>
              <w:rPr>
                <w:rFonts w:ascii="Times New Roman" w:hAnsi="Times New Roman" w:eastAsia="Calibri" w:cs="Times New Roman"/>
                <w:sz w:val="24"/>
              </w:rPr>
            </w:r>
          </w:p>
          <w:p>
            <w:pPr>
              <w:jc w:val="both"/>
              <w:tabs>
                <w:tab w:val="left" w:pos="742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ПОС, ППР.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Ведомость объемов работ на строительно-монтажные работы. Ведомость объемов работ выполнить в соответствии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приложением №7 к ТЗ.  </w:t>
            </w:r>
            <w:r>
              <w:rPr>
                <w:rStyle w:val="851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tabs>
                <w:tab w:val="left" w:pos="742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Опросные листы на оборудование. Технические требования на изготовление и поставку основного, вспомогательного оборудования, изделий и материалов.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tabs>
                <w:tab w:val="left" w:pos="742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Программу гидравлических испытаний.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tabs>
                <w:tab w:val="left" w:pos="742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Спецификации на оборудование и материалы.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tabs>
                <w:tab w:val="left" w:pos="142" w:leader="none"/>
                <w:tab w:val="left" w:pos="709" w:leader="none"/>
                <w:tab w:val="left" w:pos="993" w:leader="none"/>
                <w:tab w:val="left" w:pos="126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Сметную документацию.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tabs>
                <w:tab w:val="left" w:pos="142" w:leader="none"/>
                <w:tab w:val="left" w:pos="709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Комплект технологических документов для строительно-монтажных работ.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42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Проектную документацию, в том числе на сооружение подмостей, грузоподъёмных устройств, технологическую оснастку и др.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tabs>
                <w:tab w:val="left" w:pos="142" w:leader="none"/>
                <w:tab w:val="left" w:pos="709" w:leader="none"/>
                <w:tab w:val="left" w:pos="993" w:leader="none"/>
                <w:tab w:val="left" w:pos="126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Пояснительную записку, включающую обязательный раздел «Требования безопасности при выполнении строительно-монтажных работ».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tabs>
                <w:tab w:val="left" w:pos="742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сетевой детальный график проведения работ.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6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92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Технические требования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pStyle w:val="847"/>
              <w:numPr>
                <w:ilvl w:val="0"/>
                <w:numId w:val="4"/>
              </w:numPr>
              <w:ind w:left="39" w:firstLine="0"/>
              <w:jc w:val="both"/>
              <w:tabs>
                <w:tab w:val="left" w:pos="323" w:leader="none"/>
                <w:tab w:val="left" w:pos="748" w:leader="none"/>
              </w:tabs>
            </w:pPr>
            <w:r>
              <w:t xml:space="preserve">Используемое при проектировании основное оборудование должно иметь гарантию завода изготовителя не менее 12 мес.</w:t>
            </w:r>
            <w:r/>
          </w:p>
          <w:p>
            <w:pPr>
              <w:pStyle w:val="847"/>
              <w:numPr>
                <w:ilvl w:val="0"/>
                <w:numId w:val="4"/>
              </w:numPr>
              <w:ind w:left="39" w:firstLine="0"/>
              <w:jc w:val="both"/>
              <w:tabs>
                <w:tab w:val="left" w:pos="323" w:leader="none"/>
                <w:tab w:val="left" w:pos="748" w:leader="none"/>
              </w:tabs>
            </w:pPr>
            <w:r>
              <w:t xml:space="preserve">Проектные решения и технические характеристики выбранного оборудования должны подтверждаться прилагаемой заводской документацией производителей данного оборудования.</w:t>
            </w:r>
            <w:r/>
          </w:p>
        </w:tc>
      </w:tr>
      <w:tr>
        <w:tblPrEx/>
        <w:trPr/>
        <w:tc>
          <w:tcPr>
            <w:tcW w:w="56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92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Требования по согласованиям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pStyle w:val="847"/>
              <w:numPr>
                <w:ilvl w:val="3"/>
                <w:numId w:val="3"/>
              </w:numPr>
              <w:ind w:left="181" w:firstLine="0"/>
              <w:jc w:val="both"/>
              <w:tabs>
                <w:tab w:val="left" w:pos="0" w:leader="none"/>
                <w:tab w:val="left" w:pos="607" w:leader="none"/>
                <w:tab w:val="left" w:pos="851" w:leader="none"/>
              </w:tabs>
            </w:pPr>
            <w:r>
              <w:t xml:space="preserve">В случае несоответствия предлагаемого Подрядчиком оборудования требуемому условиями ТЗ по техническим причинам, Подрядчик в этом случае обеспечивает согласование изменений с Заказчиком.</w:t>
            </w:r>
            <w:r/>
          </w:p>
          <w:p>
            <w:pPr>
              <w:pStyle w:val="847"/>
              <w:numPr>
                <w:ilvl w:val="3"/>
                <w:numId w:val="3"/>
              </w:numPr>
              <w:ind w:left="181" w:firstLine="0"/>
              <w:tabs>
                <w:tab w:val="left" w:pos="607" w:leader="none"/>
              </w:tabs>
              <w:rPr>
                <w:color w:val="ff0000"/>
                <w:szCs w:val="22"/>
              </w:rPr>
            </w:pPr>
            <w:r>
              <w:t xml:space="preserve">Подрядчик обязан согласовывать замену оборудования, предлагаемого Заказчиком при его обращении с внесением изменения в проектную документацию.</w:t>
            </w:r>
            <w:r>
              <w:rPr>
                <w:color w:val="ff0000"/>
                <w:szCs w:val="22"/>
              </w:rPr>
            </w:r>
          </w:p>
          <w:p>
            <w:pPr>
              <w:pStyle w:val="847"/>
              <w:numPr>
                <w:ilvl w:val="3"/>
                <w:numId w:val="3"/>
              </w:numPr>
              <w:ind w:left="181" w:firstLine="0"/>
              <w:tabs>
                <w:tab w:val="left" w:pos="607" w:leader="none"/>
              </w:tabs>
              <w:rPr>
                <w:szCs w:val="22"/>
              </w:rPr>
            </w:pPr>
            <w:r>
              <w:rPr>
                <w:szCs w:val="22"/>
              </w:rPr>
              <w:t xml:space="preserve">Обеспечение </w:t>
            </w:r>
            <w:r>
              <w:t xml:space="preserve">согласования надзорных и регулирующих органов необходимых при проектировании, производстве работ и вводе в эксплуатацию результата работ.</w:t>
            </w:r>
            <w:r>
              <w:rPr>
                <w:szCs w:val="22"/>
              </w:rPr>
            </w:r>
          </w:p>
        </w:tc>
      </w:tr>
      <w:tr>
        <w:tblPrEx/>
        <w:trPr/>
        <w:tc>
          <w:tcPr>
            <w:tcW w:w="56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92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Требования к оформлению проектной документации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pStyle w:val="847"/>
              <w:numPr>
                <w:ilvl w:val="0"/>
                <w:numId w:val="5"/>
              </w:numPr>
              <w:ind w:right="34"/>
              <w:jc w:val="both"/>
              <w:tabs>
                <w:tab w:val="left" w:pos="742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Проектную документацию разработ</w:t>
            </w:r>
            <w:r>
              <w:rPr>
                <w:color w:val="000000"/>
              </w:rPr>
              <w:t xml:space="preserve">ать в соответствии с Градостроительным кодексом РФ, Положением о составе разделов проектной документации и требованиях к их содержанию (утв. постановлением Правительства РФ от 16.02.2008 № 87), ГОСТ Р 21.101-2020 Национальный стандарт Российской Федерации.</w:t>
            </w:r>
            <w:r>
              <w:rPr>
                <w:color w:val="ff0000"/>
              </w:rPr>
              <w:t xml:space="preserve"> </w:t>
            </w:r>
            <w:r>
              <w:rPr>
                <w:color w:val="000000"/>
              </w:rPr>
              <w:t xml:space="preserve">«Система проектной документации для строительства. Основные требования к проектной и рабочей документации».  </w:t>
            </w:r>
            <w:r>
              <w:rPr>
                <w:color w:val="000000"/>
              </w:rPr>
            </w:r>
          </w:p>
          <w:p>
            <w:pPr>
              <w:pStyle w:val="847"/>
              <w:numPr>
                <w:ilvl w:val="0"/>
                <w:numId w:val="5"/>
              </w:numPr>
              <w:rPr>
                <w:color w:val="000000"/>
              </w:rPr>
            </w:pPr>
            <w:r>
              <w:rPr>
                <w:color w:val="000000"/>
              </w:rPr>
              <w:t xml:space="preserve">ПОС, ППР разработать в соответствии с требованиями нормативных документов РФ. В составе ПОС разработать раздел «Контроль качества строительства». </w:t>
            </w:r>
            <w:r>
              <w:rPr>
                <w:color w:val="000000"/>
              </w:rPr>
            </w:r>
          </w:p>
          <w:p>
            <w:pPr>
              <w:pStyle w:val="847"/>
              <w:numPr>
                <w:ilvl w:val="0"/>
                <w:numId w:val="5"/>
              </w:numPr>
              <w:ind w:right="34"/>
              <w:jc w:val="both"/>
              <w:tabs>
                <w:tab w:val="left" w:pos="742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Спецификация к оборудованию, изделиям и материалам должна быть составлена ко всем основным комплектам рабочих чертежей. В спецификациях проектной документации должны быть заполнены все предназначенные графы, комплектация оборудования должна быть </w:t>
            </w:r>
            <w:r>
              <w:rPr>
                <w:color w:val="000000"/>
              </w:rPr>
              <w:t xml:space="preserve">обозначена, кодирование оборудования и материалов должно соответствовать маркировкам производителей и ГОСТ.  В спецификацию должны быть включены все оборудование, изделия и материалы, предусмотренные рабочими чертежами соответствующего основного комплекта.</w:t>
            </w:r>
            <w:r>
              <w:rPr>
                <w:color w:val="000000"/>
              </w:rPr>
            </w:r>
          </w:p>
          <w:p>
            <w:pPr>
              <w:pStyle w:val="847"/>
              <w:numPr>
                <w:ilvl w:val="0"/>
                <w:numId w:val="5"/>
              </w:numPr>
              <w:ind w:right="34"/>
              <w:jc w:val="both"/>
              <w:tabs>
                <w:tab w:val="left" w:pos="742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Если в проектируемых системах участвует существующее оборудование, то его необходимо отразить в проектной документации.</w:t>
            </w:r>
            <w:r>
              <w:rPr>
                <w:color w:val="000000"/>
              </w:rPr>
            </w:r>
          </w:p>
          <w:p>
            <w:pPr>
              <w:pStyle w:val="847"/>
              <w:numPr>
                <w:ilvl w:val="0"/>
                <w:numId w:val="5"/>
              </w:numPr>
              <w:ind w:right="34"/>
              <w:jc w:val="both"/>
              <w:tabs>
                <w:tab w:val="left" w:pos="742" w:leader="none"/>
              </w:tabs>
              <w:rPr>
                <w:color w:val="000000"/>
              </w:rPr>
            </w:pPr>
            <w:r>
              <w:rPr>
                <w:iCs/>
              </w:rPr>
              <w:t xml:space="preserve">Проектная документация Заказчику передается в 4-х экземплярах на бумажной основе и 2 экземпляра на электронном носителе (</w:t>
            </w:r>
            <w:r>
              <w:rPr>
                <w:color w:val="000000"/>
              </w:rPr>
              <w:t xml:space="preserve">при этом диск должен быть защищен от записи, на диске не должна устанавливаться опция запрета печати содержимого) </w:t>
            </w:r>
            <w:r>
              <w:rPr>
                <w:iCs/>
              </w:rPr>
              <w:t xml:space="preserve">в редактируемом формате и электронной версии с визами и печатями проектной организации) до начала производства строительно-монтажных работ, согласно графику работ (Приложение №4 к ТЗ).</w:t>
            </w:r>
            <w:r>
              <w:rPr>
                <w:color w:val="000000"/>
              </w:rPr>
            </w:r>
          </w:p>
          <w:p>
            <w:pPr>
              <w:pStyle w:val="847"/>
              <w:numPr>
                <w:ilvl w:val="0"/>
                <w:numId w:val="5"/>
              </w:numPr>
              <w:ind w:right="34"/>
              <w:jc w:val="both"/>
              <w:tabs>
                <w:tab w:val="left" w:pos="742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Проектную и рабочую документацию выполнить при помощи программного обеспечения </w:t>
            </w:r>
            <w:r>
              <w:rPr>
                <w:color w:val="000000"/>
              </w:rPr>
              <w:t xml:space="preserve">AutoCad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 xml:space="preserve">Microsoft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Office</w:t>
            </w:r>
            <w:r>
              <w:rPr>
                <w:color w:val="000000"/>
              </w:rPr>
              <w:t xml:space="preserve">, </w:t>
            </w:r>
            <w:r>
              <w:rPr>
                <w:bCs/>
              </w:rPr>
              <w:t xml:space="preserve">«Гранд-Смета» и </w:t>
            </w:r>
            <w:r>
              <w:rPr>
                <w:color w:val="000000"/>
              </w:rPr>
              <w:t xml:space="preserve">других.</w:t>
            </w:r>
            <w:r>
              <w:rPr>
                <w:color w:val="000000"/>
              </w:rPr>
            </w:r>
          </w:p>
          <w:p>
            <w:pPr>
              <w:pStyle w:val="847"/>
              <w:numPr>
                <w:ilvl w:val="0"/>
                <w:numId w:val="5"/>
              </w:numPr>
              <w:ind w:right="34"/>
              <w:jc w:val="both"/>
              <w:tabs>
                <w:tab w:val="left" w:pos="742" w:leader="none"/>
              </w:tabs>
              <w:rPr>
                <w:color w:val="000000"/>
              </w:rPr>
            </w:pPr>
            <w:r>
              <w:t xml:space="preserve">Передать электронную версию комплекта проектной и рабочей документации на СD-R или DVD дисках. При этом диск должен быть защищен от записи, на диске не должна устанавливаться опция запрета печати содержимого. </w:t>
            </w:r>
            <w:r>
              <w:rPr>
                <w:color w:val="000000"/>
              </w:rPr>
              <w:t xml:space="preserve">Состав и содержание электронного носителя должны соответствовать комплекту документации, при этом должна быть предусмотрена интерактивная электронная на</w:t>
            </w:r>
            <w:r>
              <w:rPr>
                <w:color w:val="000000"/>
              </w:rPr>
              <w:t xml:space="preserve">вигационная оболочка для удобства поиска и доступа к находящейся на носителе информации. Каждый раздел комплекта должен быть представлен в отдельном каталоге диска с файлом электронного документа. Название каталога должно соответствовать названию раздела. </w:t>
            </w:r>
            <w:r>
              <w:rPr>
                <w:color w:val="000000"/>
              </w:rPr>
            </w:r>
          </w:p>
          <w:p>
            <w:pPr>
              <w:pStyle w:val="847"/>
              <w:ind w:left="742" w:right="34" w:hanging="7"/>
              <w:jc w:val="both"/>
              <w:tabs>
                <w:tab w:val="left" w:pos="742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Электронную версию представить в формате .</w:t>
            </w:r>
            <w:r>
              <w:rPr>
                <w:color w:val="000000"/>
                <w:lang w:val="en-US"/>
              </w:rPr>
              <w:t xml:space="preserve">pdf</w:t>
            </w:r>
            <w:r>
              <w:rPr>
                <w:color w:val="000000"/>
              </w:rPr>
              <w:t xml:space="preserve"> и в редактируемых форматах:</w:t>
            </w:r>
            <w:r>
              <w:rPr>
                <w:color w:val="000000"/>
              </w:rPr>
            </w:r>
          </w:p>
          <w:p>
            <w:pPr>
              <w:pStyle w:val="847"/>
              <w:ind w:left="742" w:right="34" w:hanging="7"/>
              <w:jc w:val="both"/>
              <w:tabs>
                <w:tab w:val="left" w:pos="742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Текстовую часть в формате .</w:t>
            </w:r>
            <w:r>
              <w:rPr>
                <w:color w:val="000000"/>
              </w:rPr>
              <w:t xml:space="preserve">doc</w:t>
            </w:r>
            <w:r>
              <w:rPr>
                <w:color w:val="000000"/>
              </w:rPr>
            </w:r>
          </w:p>
          <w:p>
            <w:pPr>
              <w:pStyle w:val="847"/>
              <w:ind w:left="742" w:right="34"/>
              <w:jc w:val="both"/>
              <w:tabs>
                <w:tab w:val="left" w:pos="742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Графическую часть в формате .</w:t>
            </w:r>
            <w:r>
              <w:rPr>
                <w:color w:val="000000"/>
              </w:rPr>
              <w:t xml:space="preserve">dwg</w:t>
            </w:r>
            <w:r>
              <w:rPr>
                <w:color w:val="000000"/>
              </w:rPr>
              <w:t xml:space="preserve"> (</w:t>
            </w:r>
            <w:r>
              <w:rPr>
                <w:szCs w:val="26"/>
              </w:rPr>
              <w:t xml:space="preserve">ACAD, .</w:t>
            </w:r>
            <w:r>
              <w:rPr>
                <w:szCs w:val="26"/>
                <w:lang w:val="en-US"/>
              </w:rPr>
              <w:t xml:space="preserve">VSD</w:t>
            </w:r>
            <w:r>
              <w:rPr>
                <w:szCs w:val="26"/>
              </w:rPr>
              <w:t xml:space="preserve">,</w:t>
            </w:r>
            <w:r>
              <w:rPr>
                <w:color w:val="000000"/>
              </w:rPr>
              <w:t xml:space="preserve">.</w:t>
            </w:r>
            <w:r>
              <w:rPr>
                <w:color w:val="000000"/>
              </w:rPr>
              <w:t xml:space="preserve">cdw</w:t>
            </w:r>
            <w:r>
              <w:rPr>
                <w:rFonts w:ascii="Georgia" w:hAnsi="Georgia"/>
                <w:color w:val="333333"/>
              </w:rPr>
              <w:t xml:space="preserve">).</w:t>
            </w:r>
            <w:r>
              <w:rPr>
                <w:color w:val="000000"/>
              </w:rPr>
            </w:r>
          </w:p>
          <w:p>
            <w:pPr>
              <w:pStyle w:val="847"/>
              <w:ind w:left="742" w:right="34"/>
              <w:jc w:val="both"/>
              <w:tabs>
                <w:tab w:val="left" w:pos="742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Табличную часть в формате .</w:t>
            </w:r>
            <w:r>
              <w:rPr>
                <w:color w:val="000000"/>
              </w:rPr>
              <w:t xml:space="preserve">xls</w:t>
            </w:r>
            <w:r>
              <w:rPr>
                <w:color w:val="000000"/>
              </w:rPr>
              <w:t xml:space="preserve"> (</w:t>
            </w:r>
            <w:bookmarkStart w:id="3" w:name="_GoBack"/>
            <w:r/>
            <w:bookmarkEnd w:id="3"/>
            <w:r>
              <w:rPr>
                <w:color w:val="000000"/>
              </w:rPr>
              <w:t xml:space="preserve">с активными формулами).</w:t>
            </w:r>
            <w:r>
              <w:rPr>
                <w:color w:val="000000"/>
              </w:rPr>
            </w:r>
          </w:p>
          <w:p>
            <w:pPr>
              <w:pStyle w:val="847"/>
              <w:ind w:left="742" w:right="34"/>
              <w:jc w:val="both"/>
              <w:tabs>
                <w:tab w:val="left" w:pos="742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Сметную часть в формате. </w:t>
            </w:r>
            <w:r>
              <w:rPr>
                <w:color w:val="000000"/>
              </w:rPr>
              <w:t xml:space="preserve">gsf</w:t>
            </w:r>
            <w:r>
              <w:rPr>
                <w:color w:val="000000"/>
              </w:rPr>
              <w:t xml:space="preserve"> </w:t>
            </w:r>
            <w:r>
              <w:t xml:space="preserve">и </w:t>
            </w:r>
            <w:r>
              <w:t xml:space="preserve">excel</w:t>
            </w:r>
            <w:r>
              <w:t xml:space="preserve">.</w:t>
            </w:r>
            <w:r>
              <w:rPr>
                <w:color w:val="000000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Проектную и рабочую документацию выполнить в объеме, необходимом для выполнения строительных работ и ввода объекта в эксплуатацию.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56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92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Требования к формированию сметной документации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В соответствии с приложением №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технического задания.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>
      <w:pPr>
        <w:ind w:left="-851"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r/>
      <w:r/>
    </w:p>
    <w:sectPr>
      <w:footnotePr/>
      <w:endnotePr/>
      <w:type w:val="nextPage"/>
      <w:pgSz w:w="11906" w:h="16838" w:orient="portrait"/>
      <w:pgMar w:top="567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3050406030204"/>
  </w:font>
  <w:font w:name="Symbol">
    <w:panose1 w:val="05010000000000000000"/>
  </w:font>
  <w:font w:name="Courier New">
    <w:panose1 w:val="02070409020205020404"/>
  </w:font>
  <w:font w:name="Calibri">
    <w:panose1 w:val="020F0502020204030204"/>
  </w:font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color w:val="auto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676"/>
    <w:link w:val="667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676"/>
    <w:link w:val="668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676"/>
    <w:link w:val="669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676"/>
    <w:link w:val="67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676"/>
    <w:link w:val="67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676"/>
    <w:link w:val="672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676"/>
    <w:link w:val="673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676"/>
    <w:link w:val="674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676"/>
    <w:link w:val="67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6">
    <w:name w:val="Title Char"/>
    <w:basedOn w:val="676"/>
    <w:link w:val="689"/>
    <w:uiPriority w:val="10"/>
    <w:rPr>
      <w:sz w:val="48"/>
      <w:szCs w:val="48"/>
    </w:rPr>
  </w:style>
  <w:style w:type="character" w:styleId="38">
    <w:name w:val="Subtitle Char"/>
    <w:basedOn w:val="676"/>
    <w:link w:val="691"/>
    <w:uiPriority w:val="11"/>
    <w:rPr>
      <w:sz w:val="24"/>
      <w:szCs w:val="24"/>
    </w:rPr>
  </w:style>
  <w:style w:type="character" w:styleId="40">
    <w:name w:val="Quote Char"/>
    <w:link w:val="693"/>
    <w:uiPriority w:val="29"/>
    <w:rPr>
      <w:i/>
    </w:rPr>
  </w:style>
  <w:style w:type="character" w:styleId="42">
    <w:name w:val="Intense Quote Char"/>
    <w:link w:val="695"/>
    <w:uiPriority w:val="30"/>
    <w:rPr>
      <w:i/>
    </w:rPr>
  </w:style>
  <w:style w:type="character" w:styleId="44">
    <w:name w:val="Header Char"/>
    <w:basedOn w:val="676"/>
    <w:link w:val="697"/>
    <w:uiPriority w:val="99"/>
  </w:style>
  <w:style w:type="character" w:styleId="48">
    <w:name w:val="Caption Char"/>
    <w:basedOn w:val="676"/>
    <w:link w:val="701"/>
    <w:uiPriority w:val="35"/>
    <w:rPr>
      <w:b/>
      <w:bCs/>
      <w:color w:val="4f81bd" w:themeColor="accent1"/>
      <w:sz w:val="18"/>
      <w:szCs w:val="18"/>
    </w:rPr>
  </w:style>
  <w:style w:type="character" w:styleId="177">
    <w:name w:val="Footnote Text Char"/>
    <w:link w:val="829"/>
    <w:uiPriority w:val="99"/>
    <w:rPr>
      <w:sz w:val="18"/>
    </w:rPr>
  </w:style>
  <w:style w:type="character" w:styleId="180">
    <w:name w:val="Endnote Text Char"/>
    <w:link w:val="832"/>
    <w:uiPriority w:val="99"/>
    <w:rPr>
      <w:sz w:val="20"/>
    </w:rPr>
  </w:style>
  <w:style w:type="paragraph" w:styleId="666" w:default="1">
    <w:name w:val="Normal"/>
    <w:qFormat/>
  </w:style>
  <w:style w:type="paragraph" w:styleId="667">
    <w:name w:val="Heading 1"/>
    <w:basedOn w:val="666"/>
    <w:next w:val="666"/>
    <w:link w:val="67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68">
    <w:name w:val="Heading 2"/>
    <w:basedOn w:val="666"/>
    <w:next w:val="666"/>
    <w:link w:val="68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69">
    <w:name w:val="Heading 3"/>
    <w:basedOn w:val="666"/>
    <w:next w:val="666"/>
    <w:link w:val="68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70">
    <w:name w:val="Heading 4"/>
    <w:basedOn w:val="666"/>
    <w:next w:val="666"/>
    <w:link w:val="68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71">
    <w:name w:val="Heading 5"/>
    <w:basedOn w:val="666"/>
    <w:next w:val="666"/>
    <w:link w:val="68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72">
    <w:name w:val="Heading 6"/>
    <w:basedOn w:val="666"/>
    <w:next w:val="666"/>
    <w:link w:val="68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673">
    <w:name w:val="Heading 7"/>
    <w:basedOn w:val="666"/>
    <w:next w:val="666"/>
    <w:link w:val="68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674">
    <w:name w:val="Heading 8"/>
    <w:basedOn w:val="666"/>
    <w:next w:val="666"/>
    <w:link w:val="68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675">
    <w:name w:val="Heading 9"/>
    <w:basedOn w:val="666"/>
    <w:next w:val="666"/>
    <w:link w:val="68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6" w:default="1">
    <w:name w:val="Default Paragraph Font"/>
    <w:uiPriority w:val="1"/>
    <w:semiHidden/>
    <w:unhideWhenUsed/>
  </w:style>
  <w:style w:type="table" w:styleId="67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78" w:default="1">
    <w:name w:val="No List"/>
    <w:uiPriority w:val="99"/>
    <w:semiHidden/>
    <w:unhideWhenUsed/>
  </w:style>
  <w:style w:type="character" w:styleId="679" w:customStyle="1">
    <w:name w:val="Заголовок 1 Знак"/>
    <w:basedOn w:val="676"/>
    <w:link w:val="667"/>
    <w:uiPriority w:val="9"/>
    <w:rPr>
      <w:rFonts w:ascii="Arial" w:hAnsi="Arial" w:eastAsia="Arial" w:cs="Arial"/>
      <w:sz w:val="40"/>
      <w:szCs w:val="40"/>
    </w:rPr>
  </w:style>
  <w:style w:type="character" w:styleId="680" w:customStyle="1">
    <w:name w:val="Заголовок 2 Знак"/>
    <w:basedOn w:val="676"/>
    <w:link w:val="668"/>
    <w:uiPriority w:val="9"/>
    <w:rPr>
      <w:rFonts w:ascii="Arial" w:hAnsi="Arial" w:eastAsia="Arial" w:cs="Arial"/>
      <w:sz w:val="34"/>
    </w:rPr>
  </w:style>
  <w:style w:type="character" w:styleId="681" w:customStyle="1">
    <w:name w:val="Заголовок 3 Знак"/>
    <w:basedOn w:val="676"/>
    <w:link w:val="669"/>
    <w:uiPriority w:val="9"/>
    <w:rPr>
      <w:rFonts w:ascii="Arial" w:hAnsi="Arial" w:eastAsia="Arial" w:cs="Arial"/>
      <w:sz w:val="30"/>
      <w:szCs w:val="30"/>
    </w:rPr>
  </w:style>
  <w:style w:type="character" w:styleId="682" w:customStyle="1">
    <w:name w:val="Заголовок 4 Знак"/>
    <w:basedOn w:val="676"/>
    <w:link w:val="670"/>
    <w:uiPriority w:val="9"/>
    <w:rPr>
      <w:rFonts w:ascii="Arial" w:hAnsi="Arial" w:eastAsia="Arial" w:cs="Arial"/>
      <w:b/>
      <w:bCs/>
      <w:sz w:val="26"/>
      <w:szCs w:val="26"/>
    </w:rPr>
  </w:style>
  <w:style w:type="character" w:styleId="683" w:customStyle="1">
    <w:name w:val="Заголовок 5 Знак"/>
    <w:basedOn w:val="676"/>
    <w:link w:val="671"/>
    <w:uiPriority w:val="9"/>
    <w:rPr>
      <w:rFonts w:ascii="Arial" w:hAnsi="Arial" w:eastAsia="Arial" w:cs="Arial"/>
      <w:b/>
      <w:bCs/>
      <w:sz w:val="24"/>
      <w:szCs w:val="24"/>
    </w:rPr>
  </w:style>
  <w:style w:type="character" w:styleId="684" w:customStyle="1">
    <w:name w:val="Заголовок 6 Знак"/>
    <w:basedOn w:val="676"/>
    <w:link w:val="672"/>
    <w:uiPriority w:val="9"/>
    <w:rPr>
      <w:rFonts w:ascii="Arial" w:hAnsi="Arial" w:eastAsia="Arial" w:cs="Arial"/>
      <w:b/>
      <w:bCs/>
      <w:sz w:val="22"/>
      <w:szCs w:val="22"/>
    </w:rPr>
  </w:style>
  <w:style w:type="character" w:styleId="685" w:customStyle="1">
    <w:name w:val="Заголовок 7 Знак"/>
    <w:basedOn w:val="676"/>
    <w:link w:val="67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6" w:customStyle="1">
    <w:name w:val="Заголовок 8 Знак"/>
    <w:basedOn w:val="676"/>
    <w:link w:val="674"/>
    <w:uiPriority w:val="9"/>
    <w:rPr>
      <w:rFonts w:ascii="Arial" w:hAnsi="Arial" w:eastAsia="Arial" w:cs="Arial"/>
      <w:i/>
      <w:iCs/>
      <w:sz w:val="22"/>
      <w:szCs w:val="22"/>
    </w:rPr>
  </w:style>
  <w:style w:type="character" w:styleId="687" w:customStyle="1">
    <w:name w:val="Заголовок 9 Знак"/>
    <w:basedOn w:val="676"/>
    <w:link w:val="675"/>
    <w:uiPriority w:val="9"/>
    <w:rPr>
      <w:rFonts w:ascii="Arial" w:hAnsi="Arial" w:eastAsia="Arial" w:cs="Arial"/>
      <w:i/>
      <w:iCs/>
      <w:sz w:val="21"/>
      <w:szCs w:val="21"/>
    </w:rPr>
  </w:style>
  <w:style w:type="paragraph" w:styleId="688">
    <w:name w:val="No Spacing"/>
    <w:uiPriority w:val="1"/>
    <w:qFormat/>
    <w:pPr>
      <w:spacing w:after="0" w:line="240" w:lineRule="auto"/>
    </w:pPr>
  </w:style>
  <w:style w:type="paragraph" w:styleId="689">
    <w:name w:val="Title"/>
    <w:basedOn w:val="666"/>
    <w:next w:val="666"/>
    <w:link w:val="69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0" w:customStyle="1">
    <w:name w:val="Заголовок Знак"/>
    <w:basedOn w:val="676"/>
    <w:link w:val="689"/>
    <w:uiPriority w:val="10"/>
    <w:rPr>
      <w:sz w:val="48"/>
      <w:szCs w:val="48"/>
    </w:rPr>
  </w:style>
  <w:style w:type="paragraph" w:styleId="691">
    <w:name w:val="Subtitle"/>
    <w:basedOn w:val="666"/>
    <w:next w:val="666"/>
    <w:link w:val="692"/>
    <w:uiPriority w:val="11"/>
    <w:qFormat/>
    <w:pPr>
      <w:spacing w:before="200" w:after="200"/>
    </w:pPr>
    <w:rPr>
      <w:sz w:val="24"/>
      <w:szCs w:val="24"/>
    </w:rPr>
  </w:style>
  <w:style w:type="character" w:styleId="692" w:customStyle="1">
    <w:name w:val="Подзаголовок Знак"/>
    <w:basedOn w:val="676"/>
    <w:link w:val="691"/>
    <w:uiPriority w:val="11"/>
    <w:rPr>
      <w:sz w:val="24"/>
      <w:szCs w:val="24"/>
    </w:rPr>
  </w:style>
  <w:style w:type="paragraph" w:styleId="693">
    <w:name w:val="Quote"/>
    <w:basedOn w:val="666"/>
    <w:next w:val="666"/>
    <w:link w:val="694"/>
    <w:uiPriority w:val="29"/>
    <w:qFormat/>
    <w:pPr>
      <w:ind w:left="720" w:right="720"/>
    </w:pPr>
    <w:rPr>
      <w:i/>
    </w:rPr>
  </w:style>
  <w:style w:type="character" w:styleId="694" w:customStyle="1">
    <w:name w:val="Цитата 2 Знак"/>
    <w:link w:val="693"/>
    <w:uiPriority w:val="29"/>
    <w:rPr>
      <w:i/>
    </w:rPr>
  </w:style>
  <w:style w:type="paragraph" w:styleId="695">
    <w:name w:val="Intense Quote"/>
    <w:basedOn w:val="666"/>
    <w:next w:val="666"/>
    <w:link w:val="69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6" w:customStyle="1">
    <w:name w:val="Выделенная цитата Знак"/>
    <w:link w:val="695"/>
    <w:uiPriority w:val="30"/>
    <w:rPr>
      <w:i/>
    </w:rPr>
  </w:style>
  <w:style w:type="paragraph" w:styleId="697">
    <w:name w:val="Header"/>
    <w:basedOn w:val="666"/>
    <w:link w:val="69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8" w:customStyle="1">
    <w:name w:val="Верхний колонтитул Знак"/>
    <w:basedOn w:val="676"/>
    <w:link w:val="697"/>
    <w:uiPriority w:val="99"/>
  </w:style>
  <w:style w:type="paragraph" w:styleId="699">
    <w:name w:val="Footer"/>
    <w:basedOn w:val="666"/>
    <w:link w:val="70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0" w:customStyle="1">
    <w:name w:val="Footer Char"/>
    <w:basedOn w:val="676"/>
    <w:uiPriority w:val="99"/>
  </w:style>
  <w:style w:type="paragraph" w:styleId="701">
    <w:name w:val="Caption"/>
    <w:basedOn w:val="666"/>
    <w:next w:val="666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02" w:customStyle="1">
    <w:name w:val="Нижний колонтитул Знак"/>
    <w:link w:val="699"/>
    <w:uiPriority w:val="99"/>
  </w:style>
  <w:style w:type="table" w:styleId="703" w:customStyle="1">
    <w:name w:val="Table Grid Light"/>
    <w:basedOn w:val="67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04">
    <w:name w:val="Plain Table 1"/>
    <w:basedOn w:val="67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5">
    <w:name w:val="Plain Table 2"/>
    <w:basedOn w:val="67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6">
    <w:name w:val="Plain Table 3"/>
    <w:basedOn w:val="6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7">
    <w:name w:val="Plain Table 4"/>
    <w:basedOn w:val="6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Plain Table 5"/>
    <w:basedOn w:val="6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9">
    <w:name w:val="Grid Table 1 Light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 w:customStyle="1">
    <w:name w:val="Grid Table 1 Light - Accent 1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 w:customStyle="1">
    <w:name w:val="Grid Table 1 Light - Accent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 w:customStyle="1">
    <w:name w:val="Grid Table 1 Light - Accent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 w:customStyle="1">
    <w:name w:val="Grid Table 1 Light - Accent 4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 w:customStyle="1">
    <w:name w:val="Grid Table 1 Light - Accent 5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 w:customStyle="1">
    <w:name w:val="Grid Table 1 Light - Accent 6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 w:customStyle="1">
    <w:name w:val="Grid Table 2 - Accent 1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 w:customStyle="1">
    <w:name w:val="Grid Table 2 - Accent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 w:customStyle="1">
    <w:name w:val="Grid Table 2 - Accent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 w:customStyle="1">
    <w:name w:val="Grid Table 2 - Accent 4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 w:customStyle="1">
    <w:name w:val="Grid Table 2 - Accent 5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 w:customStyle="1">
    <w:name w:val="Grid Table 2 - Accent 6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 w:customStyle="1">
    <w:name w:val="Grid Table 3 - Accent 1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 w:customStyle="1">
    <w:name w:val="Grid Table 3 - Accent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 w:customStyle="1">
    <w:name w:val="Grid Table 3 - Accent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 w:customStyle="1">
    <w:name w:val="Grid Table 3 - Accent 4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 w:customStyle="1">
    <w:name w:val="Grid Table 3 - Accent 5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 w:customStyle="1">
    <w:name w:val="Grid Table 3 - Accent 6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4"/>
    <w:basedOn w:val="6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1" w:customStyle="1">
    <w:name w:val="Grid Table 4 - Accent 1"/>
    <w:basedOn w:val="6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32" w:customStyle="1">
    <w:name w:val="Grid Table 4 - Accent 2"/>
    <w:basedOn w:val="6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33" w:customStyle="1">
    <w:name w:val="Grid Table 4 - Accent 3"/>
    <w:basedOn w:val="6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34" w:customStyle="1">
    <w:name w:val="Grid Table 4 - Accent 4"/>
    <w:basedOn w:val="6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35" w:customStyle="1">
    <w:name w:val="Grid Table 4 - Accent 5"/>
    <w:basedOn w:val="6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36" w:customStyle="1">
    <w:name w:val="Grid Table 4 - Accent 6"/>
    <w:basedOn w:val="6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37">
    <w:name w:val="Grid Table 5 Dark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38" w:customStyle="1">
    <w:name w:val="Grid Table 5 Dark- Accent 1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39" w:customStyle="1">
    <w:name w:val="Grid Table 5 Dark - Accent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40" w:customStyle="1">
    <w:name w:val="Grid Table 5 Dark - Accent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41" w:customStyle="1">
    <w:name w:val="Grid Table 5 Dark- Accent 4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42" w:customStyle="1">
    <w:name w:val="Grid Table 5 Dark - Accent 5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43" w:customStyle="1">
    <w:name w:val="Grid Table 5 Dark - Accent 6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44">
    <w:name w:val="Grid Table 6 Colorful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45" w:customStyle="1">
    <w:name w:val="Grid Table 6 Colorful - Accent 1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46" w:customStyle="1">
    <w:name w:val="Grid Table 6 Colorful - Accent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47" w:customStyle="1">
    <w:name w:val="Grid Table 6 Colorful - Accent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48" w:customStyle="1">
    <w:name w:val="Grid Table 6 Colorful - Accent 4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49" w:customStyle="1">
    <w:name w:val="Grid Table 6 Colorful - Accent 5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50" w:customStyle="1">
    <w:name w:val="Grid Table 6 Colorful - Accent 6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51">
    <w:name w:val="Grid Table 7 Colorful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2" w:customStyle="1">
    <w:name w:val="Grid Table 7 Colorful - Accent 1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3" w:customStyle="1">
    <w:name w:val="Grid Table 7 Colorful - Accent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4" w:customStyle="1">
    <w:name w:val="Grid Table 7 Colorful - Accent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5" w:customStyle="1">
    <w:name w:val="Grid Table 7 Colorful - Accent 4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6" w:customStyle="1">
    <w:name w:val="Grid Table 7 Colorful - Accent 5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7" w:customStyle="1">
    <w:name w:val="Grid Table 7 Colorful - Accent 6"/>
    <w:basedOn w:val="6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8">
    <w:name w:val="List Table 1 Light"/>
    <w:basedOn w:val="6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List Table 1 Light - Accent 1"/>
    <w:basedOn w:val="6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List Table 1 Light - Accent 2"/>
    <w:basedOn w:val="6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List Table 1 Light - Accent 3"/>
    <w:basedOn w:val="6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List Table 1 Light - Accent 4"/>
    <w:basedOn w:val="6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List Table 1 Light - Accent 5"/>
    <w:basedOn w:val="6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List Table 1 Light - Accent 6"/>
    <w:basedOn w:val="6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66" w:customStyle="1">
    <w:name w:val="List Table 2 - Accent 1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67" w:customStyle="1">
    <w:name w:val="List Table 2 - Accent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68" w:customStyle="1">
    <w:name w:val="List Table 2 - Accent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69" w:customStyle="1">
    <w:name w:val="List Table 2 - Accent 4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70" w:customStyle="1">
    <w:name w:val="List Table 2 - Accent 5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71" w:customStyle="1">
    <w:name w:val="List Table 2 - Accent 6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72">
    <w:name w:val="List Table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 w:customStyle="1">
    <w:name w:val="List Table 3 - Accent 1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List Table 3 - Accent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List Table 3 - Accent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List Table 3 - Accent 4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List Table 3 - Accent 5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List Table 3 - Accent 6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List Table 4 - Accent 1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List Table 4 - Accent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List Table 4 - Accent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List Table 4 - Accent 4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List Table 4 - Accent 5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List Table 4 - Accent 6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5 Dark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7" w:customStyle="1">
    <w:name w:val="List Table 5 Dark - Accent 1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8" w:customStyle="1">
    <w:name w:val="List Table 5 Dark - Accent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9" w:customStyle="1">
    <w:name w:val="List Table 5 Dark - Accent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0" w:customStyle="1">
    <w:name w:val="List Table 5 Dark - Accent 4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1" w:customStyle="1">
    <w:name w:val="List Table 5 Dark - Accent 5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2" w:customStyle="1">
    <w:name w:val="List Table 5 Dark - Accent 6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3">
    <w:name w:val="List Table 6 Colorful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94" w:customStyle="1">
    <w:name w:val="List Table 6 Colorful - Accent 1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795" w:customStyle="1">
    <w:name w:val="List Table 6 Colorful - Accent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796" w:customStyle="1">
    <w:name w:val="List Table 6 Colorful - Accent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797" w:customStyle="1">
    <w:name w:val="List Table 6 Colorful - Accent 4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798" w:customStyle="1">
    <w:name w:val="List Table 6 Colorful - Accent 5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799" w:customStyle="1">
    <w:name w:val="List Table 6 Colorful - Accent 6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00">
    <w:name w:val="List Table 7 Colorful"/>
    <w:basedOn w:val="6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1" w:customStyle="1">
    <w:name w:val="List Table 7 Colorful - Accent 1"/>
    <w:basedOn w:val="6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2" w:customStyle="1">
    <w:name w:val="List Table 7 Colorful - Accent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3" w:customStyle="1">
    <w:name w:val="List Table 7 Colorful - Accent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4" w:customStyle="1">
    <w:name w:val="List Table 7 Colorful - Accent 4"/>
    <w:basedOn w:val="6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5" w:customStyle="1">
    <w:name w:val="List Table 7 Colorful - Accent 5"/>
    <w:basedOn w:val="6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6" w:customStyle="1">
    <w:name w:val="List Table 7 Colorful - Accent 6"/>
    <w:basedOn w:val="6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7" w:customStyle="1">
    <w:name w:val="Lined - Accent"/>
    <w:basedOn w:val="6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08" w:customStyle="1">
    <w:name w:val="Lined - Accent 1"/>
    <w:basedOn w:val="6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09" w:customStyle="1">
    <w:name w:val="Lined - Accent 2"/>
    <w:basedOn w:val="6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10" w:customStyle="1">
    <w:name w:val="Lined - Accent 3"/>
    <w:basedOn w:val="6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11" w:customStyle="1">
    <w:name w:val="Lined - Accent 4"/>
    <w:basedOn w:val="6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12" w:customStyle="1">
    <w:name w:val="Lined - Accent 5"/>
    <w:basedOn w:val="6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13" w:customStyle="1">
    <w:name w:val="Lined - Accent 6"/>
    <w:basedOn w:val="6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14" w:customStyle="1">
    <w:name w:val="Bordered &amp; Lined - Accent"/>
    <w:basedOn w:val="6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15" w:customStyle="1">
    <w:name w:val="Bordered &amp; Lined - Accent 1"/>
    <w:basedOn w:val="6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16" w:customStyle="1">
    <w:name w:val="Bordered &amp; Lined - Accent 2"/>
    <w:basedOn w:val="6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17" w:customStyle="1">
    <w:name w:val="Bordered &amp; Lined - Accent 3"/>
    <w:basedOn w:val="6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18" w:customStyle="1">
    <w:name w:val="Bordered &amp; Lined - Accent 4"/>
    <w:basedOn w:val="6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19" w:customStyle="1">
    <w:name w:val="Bordered &amp; Lined - Accent 5"/>
    <w:basedOn w:val="6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20" w:customStyle="1">
    <w:name w:val="Bordered &amp; Lined - Accent 6"/>
    <w:basedOn w:val="6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1" w:customStyle="1">
    <w:name w:val="Bordered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22" w:customStyle="1">
    <w:name w:val="Bordered - Accent 1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23" w:customStyle="1">
    <w:name w:val="Bordered - Accent 2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24" w:customStyle="1">
    <w:name w:val="Bordered - Accent 3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25" w:customStyle="1">
    <w:name w:val="Bordered - Accent 4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26" w:customStyle="1">
    <w:name w:val="Bordered - Accent 5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27" w:customStyle="1">
    <w:name w:val="Bordered - Accent 6"/>
    <w:basedOn w:val="6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28">
    <w:name w:val="Hyperlink"/>
    <w:uiPriority w:val="99"/>
    <w:unhideWhenUsed/>
    <w:rPr>
      <w:color w:val="0563c1" w:themeColor="hyperlink"/>
      <w:u w:val="single"/>
    </w:rPr>
  </w:style>
  <w:style w:type="paragraph" w:styleId="829">
    <w:name w:val="footnote text"/>
    <w:basedOn w:val="666"/>
    <w:link w:val="830"/>
    <w:uiPriority w:val="99"/>
    <w:semiHidden/>
    <w:unhideWhenUsed/>
    <w:pPr>
      <w:spacing w:after="40" w:line="240" w:lineRule="auto"/>
    </w:pPr>
    <w:rPr>
      <w:sz w:val="18"/>
    </w:rPr>
  </w:style>
  <w:style w:type="character" w:styleId="830" w:customStyle="1">
    <w:name w:val="Текст сноски Знак"/>
    <w:link w:val="829"/>
    <w:uiPriority w:val="99"/>
    <w:rPr>
      <w:sz w:val="18"/>
    </w:rPr>
  </w:style>
  <w:style w:type="character" w:styleId="831">
    <w:name w:val="footnote reference"/>
    <w:basedOn w:val="676"/>
    <w:uiPriority w:val="99"/>
    <w:unhideWhenUsed/>
    <w:rPr>
      <w:vertAlign w:val="superscript"/>
    </w:rPr>
  </w:style>
  <w:style w:type="paragraph" w:styleId="832">
    <w:name w:val="endnote text"/>
    <w:basedOn w:val="666"/>
    <w:link w:val="833"/>
    <w:uiPriority w:val="99"/>
    <w:semiHidden/>
    <w:unhideWhenUsed/>
    <w:pPr>
      <w:spacing w:after="0" w:line="240" w:lineRule="auto"/>
    </w:pPr>
    <w:rPr>
      <w:sz w:val="20"/>
    </w:rPr>
  </w:style>
  <w:style w:type="character" w:styleId="833" w:customStyle="1">
    <w:name w:val="Текст концевой сноски Знак"/>
    <w:link w:val="832"/>
    <w:uiPriority w:val="99"/>
    <w:rPr>
      <w:sz w:val="20"/>
    </w:rPr>
  </w:style>
  <w:style w:type="character" w:styleId="834">
    <w:name w:val="endnote reference"/>
    <w:basedOn w:val="676"/>
    <w:uiPriority w:val="99"/>
    <w:semiHidden/>
    <w:unhideWhenUsed/>
    <w:rPr>
      <w:vertAlign w:val="superscript"/>
    </w:rPr>
  </w:style>
  <w:style w:type="paragraph" w:styleId="835">
    <w:name w:val="toc 1"/>
    <w:basedOn w:val="666"/>
    <w:next w:val="666"/>
    <w:uiPriority w:val="39"/>
    <w:unhideWhenUsed/>
    <w:pPr>
      <w:spacing w:after="57"/>
    </w:pPr>
  </w:style>
  <w:style w:type="paragraph" w:styleId="836">
    <w:name w:val="toc 2"/>
    <w:basedOn w:val="666"/>
    <w:next w:val="666"/>
    <w:uiPriority w:val="39"/>
    <w:unhideWhenUsed/>
    <w:pPr>
      <w:ind w:left="283"/>
      <w:spacing w:after="57"/>
    </w:pPr>
  </w:style>
  <w:style w:type="paragraph" w:styleId="837">
    <w:name w:val="toc 3"/>
    <w:basedOn w:val="666"/>
    <w:next w:val="666"/>
    <w:uiPriority w:val="39"/>
    <w:unhideWhenUsed/>
    <w:pPr>
      <w:ind w:left="567"/>
      <w:spacing w:after="57"/>
    </w:pPr>
  </w:style>
  <w:style w:type="paragraph" w:styleId="838">
    <w:name w:val="toc 4"/>
    <w:basedOn w:val="666"/>
    <w:next w:val="666"/>
    <w:uiPriority w:val="39"/>
    <w:unhideWhenUsed/>
    <w:pPr>
      <w:ind w:left="850"/>
      <w:spacing w:after="57"/>
    </w:pPr>
  </w:style>
  <w:style w:type="paragraph" w:styleId="839">
    <w:name w:val="toc 5"/>
    <w:basedOn w:val="666"/>
    <w:next w:val="666"/>
    <w:uiPriority w:val="39"/>
    <w:unhideWhenUsed/>
    <w:pPr>
      <w:ind w:left="1134"/>
      <w:spacing w:after="57"/>
    </w:pPr>
  </w:style>
  <w:style w:type="paragraph" w:styleId="840">
    <w:name w:val="toc 6"/>
    <w:basedOn w:val="666"/>
    <w:next w:val="666"/>
    <w:uiPriority w:val="39"/>
    <w:unhideWhenUsed/>
    <w:pPr>
      <w:ind w:left="1417"/>
      <w:spacing w:after="57"/>
    </w:pPr>
  </w:style>
  <w:style w:type="paragraph" w:styleId="841">
    <w:name w:val="toc 7"/>
    <w:basedOn w:val="666"/>
    <w:next w:val="666"/>
    <w:uiPriority w:val="39"/>
    <w:unhideWhenUsed/>
    <w:pPr>
      <w:ind w:left="1701"/>
      <w:spacing w:after="57"/>
    </w:pPr>
  </w:style>
  <w:style w:type="paragraph" w:styleId="842">
    <w:name w:val="toc 8"/>
    <w:basedOn w:val="666"/>
    <w:next w:val="666"/>
    <w:uiPriority w:val="39"/>
    <w:unhideWhenUsed/>
    <w:pPr>
      <w:ind w:left="1984"/>
      <w:spacing w:after="57"/>
    </w:pPr>
  </w:style>
  <w:style w:type="paragraph" w:styleId="843">
    <w:name w:val="toc 9"/>
    <w:basedOn w:val="666"/>
    <w:next w:val="666"/>
    <w:uiPriority w:val="39"/>
    <w:unhideWhenUsed/>
    <w:pPr>
      <w:ind w:left="2268"/>
      <w:spacing w:after="57"/>
    </w:pPr>
  </w:style>
  <w:style w:type="paragraph" w:styleId="844">
    <w:name w:val="TOC Heading"/>
    <w:uiPriority w:val="39"/>
    <w:unhideWhenUsed/>
  </w:style>
  <w:style w:type="paragraph" w:styleId="845">
    <w:name w:val="table of figures"/>
    <w:basedOn w:val="666"/>
    <w:next w:val="666"/>
    <w:uiPriority w:val="99"/>
    <w:unhideWhenUsed/>
    <w:pPr>
      <w:spacing w:after="0"/>
    </w:pPr>
  </w:style>
  <w:style w:type="table" w:styleId="846">
    <w:name w:val="Table Grid"/>
    <w:basedOn w:val="677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47">
    <w:name w:val="List Paragraph"/>
    <w:basedOn w:val="666"/>
    <w:link w:val="848"/>
    <w:uiPriority w:val="34"/>
    <w:qFormat/>
    <w:pPr>
      <w:contextualSpacing/>
      <w:ind w:left="72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48" w:customStyle="1">
    <w:name w:val="Абзац списка Знак"/>
    <w:basedOn w:val="676"/>
    <w:link w:val="847"/>
    <w:uiPriority w:val="34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49" w:customStyle="1">
    <w:name w:val="Обычный + 11 pt"/>
    <w:basedOn w:val="666"/>
    <w:pPr>
      <w:jc w:val="both"/>
      <w:spacing w:after="0" w:line="240" w:lineRule="auto"/>
    </w:pPr>
    <w:rPr>
      <w:rFonts w:ascii="Times New Roman" w:hAnsi="Times New Roman" w:eastAsia="Times New Roman" w:cs="Times New Roman"/>
      <w:lang w:eastAsia="ru-RU"/>
    </w:rPr>
  </w:style>
  <w:style w:type="character" w:styleId="850" w:customStyle="1">
    <w:name w:val="norma-internal-link"/>
    <w:basedOn w:val="676"/>
  </w:style>
  <w:style w:type="character" w:styleId="851">
    <w:name w:val="annotation reference"/>
    <w:basedOn w:val="676"/>
    <w:uiPriority w:val="99"/>
    <w:semiHidden/>
    <w:unhideWhenUsed/>
    <w:rPr>
      <w:sz w:val="16"/>
      <w:szCs w:val="16"/>
    </w:rPr>
  </w:style>
  <w:style w:type="paragraph" w:styleId="852">
    <w:name w:val="annotation text"/>
    <w:basedOn w:val="666"/>
    <w:link w:val="853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853" w:customStyle="1">
    <w:name w:val="Текст примечания Знак"/>
    <w:basedOn w:val="676"/>
    <w:link w:val="852"/>
    <w:uiPriority w:val="99"/>
    <w:semiHidden/>
    <w:rPr>
      <w:sz w:val="20"/>
      <w:szCs w:val="20"/>
    </w:rPr>
  </w:style>
  <w:style w:type="paragraph" w:styleId="854">
    <w:name w:val="Balloon Text"/>
    <w:basedOn w:val="666"/>
    <w:link w:val="855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55" w:customStyle="1">
    <w:name w:val="Текст выноски Знак"/>
    <w:basedOn w:val="676"/>
    <w:link w:val="854"/>
    <w:uiPriority w:val="99"/>
    <w:semiHidden/>
    <w:rPr>
      <w:rFonts w:ascii="Segoe UI" w:hAnsi="Segoe UI" w:cs="Segoe UI"/>
      <w:sz w:val="18"/>
      <w:szCs w:val="18"/>
    </w:rPr>
  </w:style>
  <w:style w:type="paragraph" w:styleId="856">
    <w:name w:val="annotation subject"/>
    <w:basedOn w:val="852"/>
    <w:next w:val="852"/>
    <w:link w:val="857"/>
    <w:uiPriority w:val="99"/>
    <w:semiHidden/>
    <w:unhideWhenUsed/>
    <w:rPr>
      <w:b/>
      <w:bCs/>
    </w:rPr>
  </w:style>
  <w:style w:type="character" w:styleId="857" w:customStyle="1">
    <w:name w:val="Тема примечания Знак"/>
    <w:basedOn w:val="853"/>
    <w:link w:val="856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Любченко Константин Александрович</dc:creator>
  <cp:keywords/>
  <dc:description/>
  <cp:lastModifiedBy>stolyarenko_kg</cp:lastModifiedBy>
  <cp:revision>17</cp:revision>
  <dcterms:created xsi:type="dcterms:W3CDTF">2024-05-31T06:47:00Z</dcterms:created>
  <dcterms:modified xsi:type="dcterms:W3CDTF">2026-08-19T10:33:41Z</dcterms:modified>
</cp:coreProperties>
</file>