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before="411" w:after="274" w:line="343" w:lineRule="atLeast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lang w:eastAsia="ru-RU"/>
        </w:rPr>
        <w:pBdr>
          <w:bottom w:val="single" w:color="000000" w:sz="12" w:space="1"/>
        </w:pBdr>
        <w:outlineLvl w:val="1"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Обоснование начальной (максимальной) цены договора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jc w:val="center"/>
        <w:spacing w:before="411" w:after="274" w:line="343" w:lineRule="atLeast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pBdr>
          <w:bottom w:val="single" w:color="000000" w:sz="12" w:space="0"/>
        </w:pBdr>
        <w:outlineLvl w:val="1"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Поставка автогидроподъемника для нужд ПАО «Россети Московский регион» в 2026 году (Лот 1)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jc w:val="center"/>
        <w:spacing w:after="274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lang w:eastAsia="ru-RU"/>
        </w:rPr>
        <w:pBdr>
          <w:bottom w:val="single" w:color="000000" w:sz="12" w:space="1"/>
        </w:pBdr>
        <w:outlineLvl w:val="1"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Лот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062-00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965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ind w:firstLine="851"/>
        <w:jc w:val="center"/>
        <w:spacing w:after="0" w:line="343" w:lineRule="atLeast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vertAlign w:val="superscript"/>
          <w:lang w:eastAsia="ru-RU"/>
        </w:rPr>
        <w:outlineLvl w:val="1"/>
      </w:pP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eastAsia="ru-RU"/>
        </w:rPr>
        <w:t xml:space="preserve">(указывается предмет закупки)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eastAsia="ru-RU"/>
        </w:rPr>
      </w:r>
    </w:p>
    <w:tbl>
      <w:tblPr>
        <w:tblW w:w="5000" w:type="pct"/>
        <w:jc w:val="center"/>
        <w:tblBorders>
          <w:top w:val="single" w:color="DADADA" w:sz="6" w:space="0"/>
          <w:left w:val="single" w:color="DADADA" w:sz="6" w:space="0"/>
          <w:bottom w:val="single" w:color="DADADA" w:sz="6" w:space="0"/>
          <w:right w:val="single" w:color="DADADA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797"/>
        <w:gridCol w:w="4798"/>
      </w:tblGrid>
      <w:tr>
        <w:tblPrEx/>
        <w:trPr>
          <w:jc w:val="center"/>
        </w:trPr>
        <w:tc>
          <w:tcPr>
            <w:tcBorders>
              <w:top w:val="single" w:color="DADADA" w:sz="6" w:space="0"/>
              <w:left w:val="single" w:color="DADADA" w:sz="6" w:space="0"/>
              <w:bottom w:val="single" w:color="DADADA" w:sz="6" w:space="0"/>
              <w:right w:val="single" w:color="DADADA" w:sz="6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pct"/>
            <w:textDirection w:val="lrTb"/>
            <w:noWrap w:val="false"/>
          </w:tcPr>
          <w:p>
            <w:pPr>
              <w:spacing w:after="30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Начальная (максимальная) цена договора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DADADA" w:sz="6" w:space="0"/>
              <w:left w:val="single" w:color="DADADA" w:sz="6" w:space="0"/>
              <w:bottom w:val="single" w:color="DADADA" w:sz="6" w:space="0"/>
              <w:right w:val="single" w:color="DADADA" w:sz="6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pct"/>
            <w:textDirection w:val="lrTb"/>
            <w:noWrap w:val="false"/>
          </w:tcPr>
          <w:p>
            <w:pPr>
              <w:spacing w:after="30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33 428 000,00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руб., в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т.ч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НДС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22%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DADADA" w:sz="6" w:space="0"/>
              <w:left w:val="single" w:color="DADADA" w:sz="6" w:space="0"/>
              <w:bottom w:val="single" w:color="DADADA" w:sz="6" w:space="0"/>
              <w:right w:val="single" w:color="DADADA" w:sz="6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pct"/>
            <w:textDirection w:val="lrTb"/>
            <w:noWrap w:val="false"/>
          </w:tcPr>
          <w:p>
            <w:pPr>
              <w:spacing w:after="30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Используемый метод определения начальной (максимальной) цены договора  с обоснованием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DADADA" w:sz="6" w:space="0"/>
              <w:left w:val="single" w:color="DADADA" w:sz="6" w:space="0"/>
              <w:bottom w:val="single" w:color="DADADA" w:sz="6" w:space="0"/>
              <w:right w:val="single" w:color="DADADA" w:sz="6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pct"/>
            <w:textDirection w:val="lrTb"/>
            <w:noWrap w:val="false"/>
          </w:tcPr>
          <w:p>
            <w:pPr>
              <w:spacing w:after="300" w:line="240" w:lineRule="auto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Метод сопоставимых рыночных цен (анализа рынка)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DADADA" w:sz="6" w:space="0"/>
              <w:left w:val="single" w:color="DADADA" w:sz="6" w:space="0"/>
              <w:bottom w:val="single" w:color="DADADA" w:sz="6" w:space="0"/>
              <w:right w:val="single" w:color="DADADA" w:sz="6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pct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Организационно-распорядительный документ Заказчика, требования которого применялись при формировании начальной (максимальной) цены договора (при наличии)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  <w:p>
            <w:pPr>
              <w:spacing w:after="30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DADADA" w:sz="6" w:space="0"/>
              <w:left w:val="single" w:color="DADADA" w:sz="6" w:space="0"/>
              <w:bottom w:val="single" w:color="DADADA" w:sz="6" w:space="0"/>
              <w:right w:val="single" w:color="DADADA" w:sz="6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pct"/>
            <w:textDirection w:val="lrTb"/>
            <w:noWrap w:val="false"/>
          </w:tcPr>
          <w:p>
            <w:pPr>
              <w:spacing w:after="30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Приказ №1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317 от 21.12.2023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г.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«Об утверждении Инструкции по прохождению ценового контроля, формированию и согласованию начальной (максимальной) цены лота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по операционной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деятельности Общества в новой редакции»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  <w:p>
            <w:pPr>
              <w:spacing w:after="30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/>
            <w:hyperlink r:id="rId11" w:tooltip="https://rossetimr.ru/zakupki/prav_obesp/" w:history="1">
              <w:r>
                <w:rPr>
                  <w:rFonts w:ascii="Times New Roman" w:hAnsi="Times New Roman" w:eastAsia="Times New Roman" w:cs="Times New Roman"/>
                  <w:sz w:val="28"/>
                  <w:szCs w:val="28"/>
                  <w:lang w:eastAsia="ru-RU"/>
                </w:rPr>
                <w:t xml:space="preserve">https://rossetimr.ru/zakupki/prav_obesp/</w:t>
              </w:r>
            </w:hyperlink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DADADA" w:sz="6" w:space="0"/>
              <w:left w:val="single" w:color="DADADA" w:sz="6" w:space="0"/>
              <w:bottom w:val="single" w:color="DADADA" w:sz="6" w:space="0"/>
              <w:right w:val="single" w:color="DADADA" w:sz="6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pct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Расчет начальной (максимальной) цены договора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DADADA" w:sz="6" w:space="0"/>
              <w:left w:val="single" w:color="DADADA" w:sz="6" w:space="0"/>
              <w:bottom w:val="single" w:color="DADADA" w:sz="6" w:space="0"/>
              <w:right w:val="single" w:color="DADADA" w:sz="6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00" w:type="pct"/>
            <w:textDirection w:val="lrTb"/>
            <w:noWrap w:val="false"/>
          </w:tcPr>
          <w:p>
            <w:pPr>
              <w:spacing w:after="30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Представлен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отдельным файлом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spacing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sectPr>
      <w:footerReference w:type="default" r:id="rId9"/>
      <w:footnotePr/>
      <w:endnotePr/>
      <w:type w:val="nextPage"/>
      <w:pgSz w:w="11906" w:h="16838" w:orient="portrait"/>
      <w:pgMar w:top="426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3030000020003"/>
  </w:font>
  <w:font w:name="Segoe UI">
    <w:panose1 w:val="020B050204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96281251"/>
      <w:docPartObj>
        <w:docPartGallery w:val="Page Numbers (Bottom of Page)"/>
        <w:docPartUnique w:val="true"/>
      </w:docPartObj>
      <w:rPr/>
    </w:sdtPr>
    <w:sdtContent>
      <w:p>
        <w:pPr>
          <w:pStyle w:val="759"/>
        </w:pPr>
        <w:r>
          <w:rPr>
            <w:lang w:eastAsia="ru-RU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81925" cy="190500"/>
                  <wp:effectExtent l="9525" t="9525" r="9525" b="0"/>
                  <wp:wrapNone/>
                  <wp:docPr id="1" name="Группа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38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0" name="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 xml:space="preserve"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36000" tIns="36000" rIns="36000" bIns="3600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" name="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0" o:spid="_x0000_s0000" style="position:absolute;z-index:251659264;o:allowoverlap:true;o:allowincell:true;mso-position-horizontal-relative:page;mso-position-horizontal:center;mso-position-vertical-relative:bottom-margin-area;mso-position-vertical:center;width:612.75pt;height:15.00pt;mso-wrap-distance-left:9.00pt;mso-wrap-distance-top:0.00pt;mso-wrap-distance-right:9.00pt;mso-wrap-distance-bottom:0.00pt;" coordorigin="0,149" coordsize="122,3">
                  <v:shape id="shape 1" o:spid="_x0000_s1" o:spt="202" type="#_x0000_t202" style="position:absolute;left:7;top:149;width:6;height:2;v-text-anchor:top;visibility:visible;" filled="f">
                    <v:textbox inset="0,0,0,0">
                      <w:txbxContent>
                        <w:p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 xml:space="preserve"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2" o:spid="_x0000_s0000" style="position:absolute;left:0;top:149;width:122;height:2;" coordorigin="0,149" coordsize="122,2">
                    <v:shape id="shape 3" o:spid="_x0000_s3" o:spt="34" type="#_x0000_t34" style="position:absolute;left:0;top:149;width:12;height:2;flip:y;visibility:visible;" filled="f" strokecolor="#A5A5A5" strokeweight="0.75pt"/>
                    <v:shape id="shape 4" o:spid="_x0000_s4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86" w:hanging="435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ascii="Times New Roman" w:hAnsi="Times New Roman" w:cs="Times New Roman"/>
        <w:b w:val="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 w:ascii="Times New Roman" w:hAnsi="Times New Roman" w:cs="Times New Roman"/>
        <w:sz w:val="22"/>
        <w:szCs w:val="22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89"/>
      </w:pPr>
      <w:rPr>
        <w:rFonts w:hint="default" w:ascii="Times New Roman" w:hAnsi="Times New Roman" w:eastAsia="Calibri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isLgl w:val="false"/>
      <w:suff w:val="tab"/>
      <w:lvlText w:val="%1.%2"/>
      <w:lvlJc w:val="left"/>
      <w:pPr>
        <w:ind w:left="852"/>
      </w:pPr>
      <w:rPr>
        <w:rFonts w:hint="default" w:ascii="Times New Roman" w:hAnsi="Times New Roman" w:eastAsia="Calibri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russianLower"/>
      <w:isLgl w:val="false"/>
      <w:suff w:val="tab"/>
      <w:lvlText w:val="%3)"/>
      <w:lvlJc w:val="left"/>
      <w:pPr>
        <w:ind w:left="1970"/>
      </w:pPr>
      <w:rPr>
        <w:rFonts w:hint="default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5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660" w:hanging="660"/>
      </w:pPr>
      <w:rPr>
        <w:rFonts w:hint="default"/>
        <w:b/>
      </w:rPr>
    </w:lvl>
    <w:lvl w:ilvl="1">
      <w:start w:val="3"/>
      <w:numFmt w:val="decimal"/>
      <w:isLgl w:val="false"/>
      <w:suff w:val="tab"/>
      <w:lvlText w:val="%1.%2.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4911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782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9462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073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76" w:hanging="2160"/>
      </w:pPr>
      <w:rPr>
        <w:rFonts w:hint="default"/>
      </w:rPr>
    </w:lvl>
  </w:abstractNum>
  <w:abstractNum w:abstractNumId="6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571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29" w:hanging="720"/>
      </w:pPr>
      <w:rPr>
        <w:rFonts w:hint="default" w:eastAsia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 w:eastAsia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 w:eastAsia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 w:eastAsia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 w:eastAsia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 w:eastAsia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 w:eastAsia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 w:eastAsia="Times New Roman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29" w:hanging="720"/>
      </w:pPr>
      <w:rPr>
        <w:rFonts w:hint="default" w:eastAsia="Times New Roman"/>
      </w:rPr>
    </w:lvl>
    <w:lvl w:ilvl="2">
      <w:start w:val="1"/>
      <w:numFmt w:val="russianLower"/>
      <w:isLgl w:val="false"/>
      <w:suff w:val="tab"/>
      <w:lvlText w:val="%3)"/>
      <w:lvlJc w:val="left"/>
      <w:pPr>
        <w:ind w:left="1429" w:hanging="720"/>
      </w:pPr>
      <w:rPr>
        <w:rFonts w:hint="default"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 w:eastAsia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 w:eastAsia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 w:eastAsia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 w:eastAsia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 w:eastAsia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 w:eastAsia="Times New Roman"/>
      </w:rPr>
    </w:lvl>
  </w:abstractNum>
  <w:abstractNum w:abstractNumId="9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1074" w:hanging="720"/>
      </w:pPr>
      <w:rPr>
        <w:rFonts w:hint="default"/>
      </w:rPr>
    </w:lvl>
    <w:lvl w:ilvl="2">
      <w:start w:val="6"/>
      <w:numFmt w:val="decimal"/>
      <w:isLgl w:val="false"/>
      <w:suff w:val="tab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29" w:hanging="720"/>
      </w:pPr>
      <w:rPr>
        <w:rFonts w:hint="default" w:eastAsia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 w:eastAsia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 w:eastAsia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 w:eastAsia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 w:eastAsia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 w:eastAsia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 w:eastAsia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 w:eastAsia="Times New Roman"/>
      </w:rPr>
    </w:lvl>
  </w:abstractNum>
  <w:abstractNum w:abstractNumId="11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660" w:hanging="660"/>
      </w:pPr>
      <w:rPr>
        <w:rFonts w:hint="default"/>
        <w:b/>
      </w:rPr>
    </w:lvl>
    <w:lvl w:ilvl="1">
      <w:start w:val="3"/>
      <w:numFmt w:val="decimal"/>
      <w:isLgl w:val="false"/>
      <w:suff w:val="tab"/>
      <w:lvlText w:val="%1.%2."/>
      <w:lvlJc w:val="left"/>
      <w:pPr>
        <w:ind w:left="1997" w:hanging="720"/>
      </w:pPr>
      <w:rPr>
        <w:rFonts w:hint="default"/>
      </w:rPr>
    </w:lvl>
    <w:lvl w:ilvl="2">
      <w:start w:val="1"/>
      <w:numFmt w:val="russianLower"/>
      <w:isLgl w:val="false"/>
      <w:suff w:val="tab"/>
      <w:lvlText w:val="%3)"/>
      <w:lvlJc w:val="left"/>
      <w:pPr>
        <w:ind w:left="3274" w:hanging="720"/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4911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782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9462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073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76" w:hanging="21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29" w:hanging="720"/>
      </w:pPr>
      <w:rPr>
        <w:rFonts w:hint="default" w:eastAsia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 w:eastAsia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 w:eastAsia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 w:eastAsia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 w:eastAsia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 w:eastAsia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 w:eastAsia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 w:eastAsia="Times New Roman"/>
      </w:rPr>
    </w:lvl>
  </w:abstractNum>
  <w:abstractNum w:abstractNumId="13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571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isLgl w:val="false"/>
      <w:suff w:val="tab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89"/>
      </w:pPr>
      <w:rPr>
        <w:rFonts w:hint="default" w:ascii="Times New Roman" w:hAnsi="Times New Roman" w:eastAsia="Calibri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isLgl w:val="false"/>
      <w:suff w:val="tab"/>
      <w:lvlText w:val="%1.%2"/>
      <w:lvlJc w:val="left"/>
      <w:pPr>
        <w:ind w:left="852"/>
      </w:pPr>
      <w:rPr>
        <w:rFonts w:hint="default" w:ascii="Times New Roman" w:hAnsi="Times New Roman" w:eastAsia="Calibri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decimal"/>
      <w:isLgl w:val="false"/>
      <w:suff w:val="tab"/>
      <w:lvlText w:val="%1.%2.%3"/>
      <w:lvlJc w:val="left"/>
      <w:pPr>
        <w:ind w:left="1970"/>
      </w:pPr>
      <w:rPr>
        <w:rFonts w:hint="default" w:ascii="Times New Roman" w:hAnsi="Times New Roman" w:eastAsia="Calibri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7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571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29" w:hanging="720"/>
      </w:pPr>
      <w:rPr>
        <w:rFonts w:hint="default" w:eastAsia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 w:eastAsia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 w:eastAsia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 w:eastAsia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 w:eastAsia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 w:eastAsia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 w:eastAsia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 w:eastAsia="Times New Roman"/>
      </w:rPr>
    </w:lvl>
  </w:abstractNum>
  <w:num w:numId="1">
    <w:abstractNumId w:val="7"/>
  </w:num>
  <w:num w:numId="2">
    <w:abstractNumId w:val="18"/>
  </w:num>
  <w:num w:numId="3">
    <w:abstractNumId w:val="12"/>
  </w:num>
  <w:num w:numId="4">
    <w:abstractNumId w:val="3"/>
  </w:num>
  <w:num w:numId="5">
    <w:abstractNumId w:val="13"/>
  </w:num>
  <w:num w:numId="6">
    <w:abstractNumId w:val="1"/>
  </w:num>
  <w:num w:numId="7">
    <w:abstractNumId w:val="10"/>
  </w:num>
  <w:num w:numId="8">
    <w:abstractNumId w:val="16"/>
  </w:num>
  <w:num w:numId="9">
    <w:abstractNumId w:val="5"/>
  </w:num>
  <w:num w:numId="10">
    <w:abstractNumId w:val="11"/>
  </w:num>
  <w:num w:numId="11">
    <w:abstractNumId w:val="8"/>
  </w:num>
  <w:num w:numId="12">
    <w:abstractNumId w:val="4"/>
  </w:num>
  <w:num w:numId="13">
    <w:abstractNumId w:val="14"/>
  </w:num>
  <w:num w:numId="14">
    <w:abstractNumId w:val="9"/>
  </w:num>
  <w:num w:numId="15">
    <w:abstractNumId w:val="6"/>
  </w:num>
  <w:num w:numId="16">
    <w:abstractNumId w:val="15"/>
  </w:num>
  <w:num w:numId="17">
    <w:abstractNumId w:val="0"/>
  </w:num>
  <w:num w:numId="18">
    <w:abstractNumId w:val="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53"/>
    <w:next w:val="75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75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53"/>
    <w:next w:val="75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54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53"/>
    <w:next w:val="75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54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53"/>
    <w:next w:val="75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5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53"/>
    <w:next w:val="75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5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53"/>
    <w:next w:val="75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5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53"/>
    <w:next w:val="75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5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53"/>
    <w:next w:val="75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5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53"/>
    <w:next w:val="75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5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53"/>
    <w:next w:val="75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54"/>
    <w:link w:val="34"/>
    <w:uiPriority w:val="10"/>
    <w:rPr>
      <w:sz w:val="48"/>
      <w:szCs w:val="48"/>
    </w:rPr>
  </w:style>
  <w:style w:type="paragraph" w:styleId="36">
    <w:name w:val="Subtitle"/>
    <w:basedOn w:val="753"/>
    <w:next w:val="75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54"/>
    <w:link w:val="36"/>
    <w:uiPriority w:val="11"/>
    <w:rPr>
      <w:sz w:val="24"/>
      <w:szCs w:val="24"/>
    </w:rPr>
  </w:style>
  <w:style w:type="paragraph" w:styleId="38">
    <w:name w:val="Quote"/>
    <w:basedOn w:val="753"/>
    <w:next w:val="75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53"/>
    <w:next w:val="75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54"/>
    <w:link w:val="763"/>
    <w:uiPriority w:val="99"/>
  </w:style>
  <w:style w:type="character" w:styleId="45">
    <w:name w:val="Footer Char"/>
    <w:basedOn w:val="754"/>
    <w:link w:val="759"/>
    <w:uiPriority w:val="99"/>
  </w:style>
  <w:style w:type="character" w:styleId="47">
    <w:name w:val="Caption Char"/>
    <w:basedOn w:val="754"/>
    <w:link w:val="778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75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5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775"/>
    <w:uiPriority w:val="99"/>
    <w:rPr>
      <w:sz w:val="18"/>
    </w:rPr>
  </w:style>
  <w:style w:type="paragraph" w:styleId="178">
    <w:name w:val="endnote text"/>
    <w:basedOn w:val="75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54"/>
    <w:uiPriority w:val="99"/>
    <w:semiHidden/>
    <w:unhideWhenUsed/>
    <w:rPr>
      <w:vertAlign w:val="superscript"/>
    </w:rPr>
  </w:style>
  <w:style w:type="paragraph" w:styleId="181">
    <w:name w:val="toc 1"/>
    <w:basedOn w:val="753"/>
    <w:next w:val="75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53"/>
    <w:next w:val="75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53"/>
    <w:next w:val="75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53"/>
    <w:next w:val="75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53"/>
    <w:next w:val="75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53"/>
    <w:next w:val="75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53"/>
    <w:next w:val="75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53"/>
    <w:next w:val="75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53"/>
    <w:next w:val="75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53"/>
    <w:next w:val="753"/>
    <w:uiPriority w:val="99"/>
    <w:unhideWhenUsed/>
    <w:pPr>
      <w:spacing w:after="0" w:afterAutospacing="0"/>
    </w:pPr>
  </w:style>
  <w:style w:type="paragraph" w:styleId="753" w:default="1">
    <w:name w:val="Normal"/>
    <w:qFormat/>
  </w:style>
  <w:style w:type="character" w:styleId="754" w:default="1">
    <w:name w:val="Default Paragraph Font"/>
    <w:uiPriority w:val="1"/>
    <w:semiHidden/>
    <w:unhideWhenUsed/>
  </w:style>
  <w:style w:type="table" w:styleId="7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6" w:default="1">
    <w:name w:val="No List"/>
    <w:uiPriority w:val="99"/>
    <w:semiHidden/>
    <w:unhideWhenUsed/>
  </w:style>
  <w:style w:type="paragraph" w:styleId="757" w:customStyle="1">
    <w:name w:val="ConsPlusNormal"/>
    <w:pPr>
      <w:spacing w:after="0" w:line="240" w:lineRule="auto"/>
      <w:widowControl w:val="off"/>
    </w:pPr>
    <w:rPr>
      <w:rFonts w:ascii="Calibri" w:hAnsi="Calibri" w:eastAsia="Times New Roman" w:cs="Calibri"/>
      <w:szCs w:val="20"/>
      <w:lang w:eastAsia="ru-RU"/>
    </w:rPr>
  </w:style>
  <w:style w:type="paragraph" w:styleId="758" w:customStyle="1">
    <w:name w:val="ConsPlusTitle"/>
    <w:pPr>
      <w:spacing w:after="0" w:line="240" w:lineRule="auto"/>
      <w:widowControl w:val="off"/>
    </w:pPr>
    <w:rPr>
      <w:rFonts w:ascii="Calibri" w:hAnsi="Calibri" w:eastAsia="Times New Roman" w:cs="Calibri"/>
      <w:b/>
      <w:szCs w:val="20"/>
      <w:lang w:eastAsia="ru-RU"/>
    </w:rPr>
  </w:style>
  <w:style w:type="paragraph" w:styleId="759">
    <w:name w:val="Footer"/>
    <w:basedOn w:val="753"/>
    <w:link w:val="76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60" w:customStyle="1">
    <w:name w:val="Нижний колонтитул Знак"/>
    <w:basedOn w:val="754"/>
    <w:link w:val="759"/>
    <w:uiPriority w:val="99"/>
  </w:style>
  <w:style w:type="paragraph" w:styleId="761">
    <w:name w:val="List Paragraph"/>
    <w:basedOn w:val="753"/>
    <w:uiPriority w:val="34"/>
    <w:qFormat/>
    <w:pPr>
      <w:contextualSpacing/>
      <w:ind w:left="720"/>
    </w:pPr>
  </w:style>
  <w:style w:type="paragraph" w:styleId="762">
    <w:name w:val="Normal (Web)"/>
    <w:basedOn w:val="753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3">
    <w:name w:val="Header"/>
    <w:basedOn w:val="753"/>
    <w:link w:val="76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64" w:customStyle="1">
    <w:name w:val="Верхний колонтитул Знак"/>
    <w:basedOn w:val="754"/>
    <w:link w:val="763"/>
    <w:uiPriority w:val="99"/>
  </w:style>
  <w:style w:type="paragraph" w:styleId="765" w:customStyle="1">
    <w:name w:val="dt-p"/>
    <w:basedOn w:val="75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66" w:customStyle="1">
    <w:name w:val="dt-m"/>
    <w:basedOn w:val="754"/>
  </w:style>
  <w:style w:type="character" w:styleId="767">
    <w:name w:val="annotation reference"/>
    <w:basedOn w:val="754"/>
    <w:semiHidden/>
    <w:unhideWhenUsed/>
    <w:rPr>
      <w:sz w:val="16"/>
      <w:szCs w:val="16"/>
    </w:rPr>
  </w:style>
  <w:style w:type="paragraph" w:styleId="768">
    <w:name w:val="annotation text"/>
    <w:basedOn w:val="753"/>
    <w:link w:val="769"/>
    <w:semiHidden/>
    <w:unhideWhenUsed/>
    <w:pPr>
      <w:spacing w:line="240" w:lineRule="auto"/>
    </w:pPr>
    <w:rPr>
      <w:sz w:val="20"/>
      <w:szCs w:val="20"/>
    </w:rPr>
  </w:style>
  <w:style w:type="character" w:styleId="769" w:customStyle="1">
    <w:name w:val="Текст примечания Знак"/>
    <w:basedOn w:val="754"/>
    <w:link w:val="768"/>
    <w:semiHidden/>
    <w:rPr>
      <w:sz w:val="20"/>
      <w:szCs w:val="20"/>
    </w:rPr>
  </w:style>
  <w:style w:type="paragraph" w:styleId="770">
    <w:name w:val="annotation subject"/>
    <w:basedOn w:val="768"/>
    <w:next w:val="768"/>
    <w:link w:val="771"/>
    <w:uiPriority w:val="99"/>
    <w:semiHidden/>
    <w:unhideWhenUsed/>
    <w:rPr>
      <w:b/>
      <w:bCs/>
    </w:rPr>
  </w:style>
  <w:style w:type="character" w:styleId="771" w:customStyle="1">
    <w:name w:val="Тема примечания Знак"/>
    <w:basedOn w:val="769"/>
    <w:link w:val="770"/>
    <w:uiPriority w:val="99"/>
    <w:semiHidden/>
    <w:rPr>
      <w:b/>
      <w:bCs/>
      <w:sz w:val="20"/>
      <w:szCs w:val="20"/>
    </w:rPr>
  </w:style>
  <w:style w:type="paragraph" w:styleId="772">
    <w:name w:val="Balloon Text"/>
    <w:basedOn w:val="753"/>
    <w:link w:val="773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773" w:customStyle="1">
    <w:name w:val="Текст выноски Знак"/>
    <w:basedOn w:val="754"/>
    <w:link w:val="772"/>
    <w:uiPriority w:val="99"/>
    <w:semiHidden/>
    <w:rPr>
      <w:rFonts w:ascii="Segoe UI" w:hAnsi="Segoe UI" w:cs="Segoe UI"/>
      <w:sz w:val="18"/>
      <w:szCs w:val="18"/>
    </w:rPr>
  </w:style>
  <w:style w:type="character" w:styleId="774">
    <w:name w:val="Hyperlink"/>
    <w:basedOn w:val="754"/>
    <w:uiPriority w:val="99"/>
    <w:semiHidden/>
    <w:unhideWhenUsed/>
    <w:rPr>
      <w:color w:val="0000ff"/>
      <w:u w:val="single"/>
    </w:rPr>
  </w:style>
  <w:style w:type="paragraph" w:styleId="775">
    <w:name w:val="footnote text"/>
    <w:basedOn w:val="753"/>
    <w:link w:val="77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776" w:customStyle="1">
    <w:name w:val="Текст сноски Знак"/>
    <w:basedOn w:val="754"/>
    <w:link w:val="775"/>
    <w:uiPriority w:val="99"/>
    <w:semiHidden/>
    <w:rPr>
      <w:sz w:val="20"/>
      <w:szCs w:val="20"/>
    </w:rPr>
  </w:style>
  <w:style w:type="character" w:styleId="777">
    <w:name w:val="footnote reference"/>
    <w:basedOn w:val="754"/>
    <w:uiPriority w:val="99"/>
    <w:semiHidden/>
    <w:unhideWhenUsed/>
    <w:rPr>
      <w:vertAlign w:val="superscript"/>
    </w:rPr>
  </w:style>
  <w:style w:type="paragraph" w:styleId="778">
    <w:name w:val="Caption"/>
    <w:basedOn w:val="753"/>
    <w:next w:val="753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779">
    <w:name w:val="FollowedHyperlink"/>
    <w:basedOn w:val="754"/>
    <w:uiPriority w:val="99"/>
    <w:semiHidden/>
    <w:unhideWhenUsed/>
    <w:rPr>
      <w:color w:val="800080" w:themeColor="followedHyperlink"/>
      <w:u w:val="single"/>
    </w:rPr>
  </w:style>
  <w:style w:type="paragraph" w:styleId="780">
    <w:name w:val="Body Text Indent 2"/>
    <w:basedOn w:val="753"/>
    <w:link w:val="781"/>
    <w:unhideWhenUsed/>
    <w:pPr>
      <w:ind w:firstLine="709"/>
      <w:jc w:val="both"/>
      <w:spacing w:after="0" w:line="336" w:lineRule="auto"/>
    </w:pPr>
    <w:rPr>
      <w:rFonts w:ascii="Times New Roman" w:hAnsi="Times New Roman" w:eastAsia="SimSun" w:cs="Times New Roman"/>
      <w:sz w:val="28"/>
      <w:szCs w:val="28"/>
      <w:lang w:eastAsia="ru-RU"/>
    </w:rPr>
  </w:style>
  <w:style w:type="character" w:styleId="781" w:customStyle="1">
    <w:name w:val="Основной текст с отступом 2 Знак"/>
    <w:basedOn w:val="754"/>
    <w:link w:val="780"/>
    <w:rPr>
      <w:rFonts w:ascii="Times New Roman" w:hAnsi="Times New Roman" w:eastAsia="SimSun" w:cs="Times New Roman"/>
      <w:sz w:val="28"/>
      <w:szCs w:val="28"/>
      <w:lang w:eastAsia="ru-RU"/>
    </w:rPr>
  </w:style>
  <w:style w:type="paragraph" w:styleId="782">
    <w:name w:val="Body Text"/>
    <w:basedOn w:val="753"/>
    <w:link w:val="783"/>
    <w:uiPriority w:val="99"/>
    <w:unhideWhenUsed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83" w:customStyle="1">
    <w:name w:val="Основной текст Знак"/>
    <w:basedOn w:val="754"/>
    <w:link w:val="78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rossetimr.ru/zakupki/prav_obes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551C4-E56D-4781-978C-F0E103CDF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MOESK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Svetlana</dc:creator>
  <cp:lastModifiedBy>brizhan-sm</cp:lastModifiedBy>
  <cp:revision>50</cp:revision>
  <dcterms:created xsi:type="dcterms:W3CDTF">2022-08-08T10:35:00Z</dcterms:created>
  <dcterms:modified xsi:type="dcterms:W3CDTF">2026-08-17T10:29:49Z</dcterms:modified>
</cp:coreProperties>
</file>