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color w:val="FF0000"/>
          <w:sz w:val="24"/>
          <w:szCs w:val="24"/>
        </w:rPr>
      </w:pPr>
      <w:r>
        <w:rPr>
          <w:b/>
          <w:bCs/>
          <w:color w:val="FF0000"/>
          <w:sz w:val="24"/>
          <w:szCs w:val="24"/>
        </w:rPr>
      </w:r>
    </w:p>
    <w:p>
      <w:pPr>
        <w:pStyle w:val="Normal"/>
        <w:spacing w:before="0" w:after="0"/>
        <w:contextualSpacing/>
        <w:jc w:val="center"/>
        <w:rPr>
          <w:rFonts w:cs="Arial"/>
          <w:b/>
          <w:b/>
          <w:szCs w:val="24"/>
        </w:rPr>
      </w:pPr>
      <w:r>
        <w:rPr>
          <w:rFonts w:cs="Arial"/>
          <w:b/>
          <w:szCs w:val="24"/>
        </w:rPr>
      </w:r>
    </w:p>
    <w:p>
      <w:pPr>
        <w:pStyle w:val="Normal"/>
        <w:spacing w:before="0" w:after="0"/>
        <w:contextualSpacing/>
        <w:jc w:val="right"/>
        <w:rPr>
          <w:rFonts w:cs="Arial"/>
          <w:b/>
          <w:b/>
          <w:szCs w:val="24"/>
        </w:rPr>
      </w:pPr>
      <w:r>
        <w:rPr>
          <w:rFonts w:cs="Arial"/>
          <w:b/>
          <w:szCs w:val="24"/>
        </w:rPr>
        <w:t xml:space="preserve">РАЗДЕЛ 5. </w:t>
      </w:r>
    </w:p>
    <w:p>
      <w:pPr>
        <w:pStyle w:val="Normal"/>
        <w:spacing w:before="0" w:after="0"/>
        <w:contextualSpacing/>
        <w:jc w:val="right"/>
        <w:rPr>
          <w:rFonts w:cs="Arial"/>
          <w:b/>
          <w:b/>
          <w:szCs w:val="24"/>
        </w:rPr>
      </w:pPr>
      <w:r>
        <w:rPr>
          <w:rFonts w:cs="Arial"/>
          <w:b/>
          <w:szCs w:val="24"/>
        </w:rPr>
        <w:t>(приложение к аукционной документации)</w:t>
      </w:r>
    </w:p>
    <w:p>
      <w:pPr>
        <w:pStyle w:val="Normal"/>
        <w:spacing w:before="0" w:after="0"/>
        <w:contextualSpacing/>
        <w:jc w:val="center"/>
        <w:rPr>
          <w:b/>
          <w:b/>
          <w:lang w:eastAsia="ar-SA"/>
        </w:rPr>
      </w:pPr>
      <w:r>
        <w:rPr>
          <w:b/>
          <w:lang w:eastAsia="ar-SA"/>
        </w:rPr>
        <w:t>ПРОЕКТ ДОГОВОРА</w:t>
      </w:r>
    </w:p>
    <w:p>
      <w:pPr>
        <w:pStyle w:val="Normal"/>
        <w:widowControl/>
        <w:rPr/>
      </w:pPr>
      <w:r>
        <w:rPr/>
      </w:r>
    </w:p>
    <w:p>
      <w:pPr>
        <w:pStyle w:val="Normal"/>
        <w:keepNext w:val="true"/>
        <w:keepLines/>
        <w:numPr>
          <w:ilvl w:val="0"/>
          <w:numId w:val="0"/>
        </w:numPr>
        <w:spacing w:before="0" w:after="0"/>
        <w:ind w:left="0" w:hanging="0"/>
        <w:contextualSpacing/>
        <w:jc w:val="center"/>
        <w:outlineLvl w:val="0"/>
        <w:rPr>
          <w:b/>
          <w:b/>
          <w:spacing w:val="5"/>
          <w:kern w:val="2"/>
        </w:rPr>
      </w:pPr>
      <w:bookmarkStart w:id="0" w:name="_ref_1-a0e924973c6c4c"/>
      <w:bookmarkEnd w:id="0"/>
      <w:r>
        <w:rPr>
          <w:b/>
          <w:spacing w:val="5"/>
          <w:kern w:val="2"/>
        </w:rPr>
        <w:t xml:space="preserve">Договор поставки ГСМ № </w:t>
      </w:r>
    </w:p>
    <w:p>
      <w:pPr>
        <w:pStyle w:val="Normal"/>
        <w:rPr>
          <w:lang w:eastAsia="zh-CN"/>
        </w:rPr>
      </w:pPr>
      <w:r>
        <w:rPr>
          <w:lang w:eastAsia="zh-CN"/>
        </w:rPr>
        <w:t>г.Змеиногорск</w:t>
        <w:tab/>
        <w:tab/>
        <w:tab/>
        <w:t xml:space="preserve">                                                                                                 «___» ___________ 202_ г. </w:t>
      </w:r>
    </w:p>
    <w:p>
      <w:pPr>
        <w:pStyle w:val="Normal"/>
        <w:rPr>
          <w:lang w:eastAsia="zh-CN"/>
        </w:rPr>
      </w:pPr>
      <w:r>
        <w:rPr>
          <w:lang w:eastAsia="zh-CN"/>
        </w:rPr>
      </w:r>
    </w:p>
    <w:p>
      <w:pPr>
        <w:pStyle w:val="Normal"/>
        <w:ind w:firstLine="567"/>
        <w:jc w:val="both"/>
        <w:rPr/>
      </w:pPr>
      <w:r>
        <w:rPr>
          <w:lang w:eastAsia="zh-CN"/>
        </w:rPr>
        <w:t>Муниципальное унитарное предприятие «Теплоресурс Змеиногорского района» в  лице директора МУП «Теплоресурс Змеиногорского района» Шакалов Сергей Александрович, действующего на основании Устава именуемое в дальнейшем «Заказчик», с одной стороны, и ____________________________ в лице __________________, действующего на основании _____________, именуемое в дальнейшем «Поставщик», с другой стороны, вместе и по отдельности именуемые «Стороны» в порядке, предусмотренном Федеральным законом Российской Федерации от 18.07.2011 г. №223-ФЗ «О закупках товаров, работ, услуг отдельными видами юридических лиц», Положением о закупке товаров, работ, услуг МУП «Теплоресурс Змеиногорского района», на основании протокола подведения итогов запроса котировок №______________ от _____________ заключили настоящий Договор (далее – Договор) о нижеследующем:</w:t>
      </w:r>
      <w:r>
        <w:rPr/>
        <w:t>:</w:t>
      </w:r>
    </w:p>
    <w:p>
      <w:pPr>
        <w:pStyle w:val="ListParagraph"/>
        <w:keepNext w:val="true"/>
        <w:keepLines/>
        <w:numPr>
          <w:ilvl w:val="0"/>
          <w:numId w:val="1"/>
        </w:numPr>
        <w:tabs>
          <w:tab w:val="clear" w:pos="708"/>
          <w:tab w:val="left" w:pos="284" w:leader="none"/>
        </w:tabs>
        <w:spacing w:before="0" w:after="0"/>
        <w:ind w:left="0" w:hanging="0"/>
        <w:contextualSpacing/>
        <w:jc w:val="center"/>
        <w:outlineLvl w:val="0"/>
        <w:rPr>
          <w:b/>
          <w:b/>
          <w:bCs/>
          <w:sz w:val="20"/>
          <w:szCs w:val="20"/>
        </w:rPr>
      </w:pPr>
      <w:r>
        <w:rPr>
          <w:b/>
          <w:bCs/>
          <w:sz w:val="20"/>
          <w:szCs w:val="20"/>
        </w:rPr>
        <w:t>Предмет договора</w:t>
      </w:r>
    </w:p>
    <w:p>
      <w:pPr>
        <w:pStyle w:val="ListParagraph"/>
        <w:numPr>
          <w:ilvl w:val="1"/>
          <w:numId w:val="1"/>
        </w:numPr>
        <w:tabs>
          <w:tab w:val="clear" w:pos="708"/>
          <w:tab w:val="left" w:pos="993" w:leader="none"/>
        </w:tabs>
        <w:spacing w:before="0" w:after="240"/>
        <w:ind w:left="0" w:firstLine="567"/>
        <w:contextualSpacing/>
        <w:jc w:val="both"/>
        <w:outlineLvl w:val="1"/>
        <w:rPr>
          <w:bCs/>
          <w:sz w:val="20"/>
          <w:szCs w:val="20"/>
        </w:rPr>
      </w:pPr>
      <w:bookmarkStart w:id="1" w:name="_ref_1-ee33bddb66bf40"/>
      <w:bookmarkEnd w:id="1"/>
      <w:r>
        <w:rPr>
          <w:bCs/>
          <w:sz w:val="20"/>
          <w:szCs w:val="20"/>
        </w:rPr>
        <w:t>Поставщик обязуется поставить ГСМ в обусловленный Договором срок в собственность Заказчику, а Заказчик обязуется принять и оплатить товар, указанный в Приложениик Договору («Спецификация товара») (далее - товар).</w:t>
      </w:r>
    </w:p>
    <w:p>
      <w:pPr>
        <w:pStyle w:val="ListParagraph"/>
        <w:keepNext w:val="true"/>
        <w:keepLines/>
        <w:numPr>
          <w:ilvl w:val="0"/>
          <w:numId w:val="1"/>
        </w:numPr>
        <w:tabs>
          <w:tab w:val="clear" w:pos="708"/>
          <w:tab w:val="left" w:pos="284" w:leader="none"/>
        </w:tabs>
        <w:spacing w:before="240" w:after="0"/>
        <w:ind w:left="0" w:hanging="0"/>
        <w:contextualSpacing/>
        <w:jc w:val="center"/>
        <w:outlineLvl w:val="0"/>
        <w:rPr>
          <w:b/>
          <w:b/>
          <w:bCs/>
          <w:sz w:val="20"/>
          <w:szCs w:val="20"/>
        </w:rPr>
      </w:pPr>
      <w:bookmarkStart w:id="2" w:name="_ref_1-f7e522bdc67849"/>
      <w:bookmarkEnd w:id="2"/>
      <w:r>
        <w:rPr>
          <w:b/>
          <w:bCs/>
          <w:sz w:val="20"/>
          <w:szCs w:val="20"/>
        </w:rPr>
        <w:t>Документы на товар</w:t>
      </w:r>
    </w:p>
    <w:p>
      <w:pPr>
        <w:pStyle w:val="ListParagraph"/>
        <w:numPr>
          <w:ilvl w:val="1"/>
          <w:numId w:val="1"/>
        </w:numPr>
        <w:tabs>
          <w:tab w:val="clear" w:pos="708"/>
          <w:tab w:val="left" w:pos="993" w:leader="none"/>
        </w:tabs>
        <w:spacing w:before="0" w:after="0"/>
        <w:ind w:left="0" w:firstLine="567"/>
        <w:contextualSpacing/>
        <w:jc w:val="both"/>
        <w:outlineLvl w:val="1"/>
        <w:rPr>
          <w:bCs/>
          <w:sz w:val="20"/>
          <w:szCs w:val="20"/>
        </w:rPr>
      </w:pPr>
      <w:bookmarkStart w:id="3" w:name="_ref_1-d56e053485494b"/>
      <w:bookmarkStart w:id="4" w:name="_ref_1-a4571f511bfb42"/>
      <w:bookmarkEnd w:id="3"/>
      <w:bookmarkEnd w:id="4"/>
      <w:r>
        <w:rPr>
          <w:bCs/>
          <w:sz w:val="20"/>
          <w:szCs w:val="20"/>
        </w:rPr>
        <w:t>Документы, передаваемые Заказчику</w:t>
      </w:r>
    </w:p>
    <w:p>
      <w:pPr>
        <w:pStyle w:val="Normal"/>
        <w:numPr>
          <w:ilvl w:val="0"/>
          <w:numId w:val="0"/>
        </w:numPr>
        <w:ind w:left="0" w:firstLine="567"/>
        <w:jc w:val="both"/>
        <w:outlineLvl w:val="2"/>
        <w:rPr/>
      </w:pPr>
      <w:bookmarkStart w:id="5" w:name="_ref_1-c1d9bcbbb6bb4b"/>
      <w:bookmarkEnd w:id="5"/>
      <w:r>
        <w:rPr>
          <w:bCs/>
        </w:rPr>
        <w:t xml:space="preserve">Поставщик обязан передать Заказчику на каждую партию товара </w:t>
      </w:r>
      <w:r>
        <w:rPr/>
        <w:t>универсальный передаточный документ (УПД), а также предоставить информацию о соответствии топлива требованиям Технического регламента ТС 013/2011 «О требованиях к автомобильному и авиационному бензину, дизельному и судовому топливу, топливу для реактивных двигателей и мазуту».</w:t>
      </w:r>
    </w:p>
    <w:p>
      <w:pPr>
        <w:pStyle w:val="Normal"/>
        <w:numPr>
          <w:ilvl w:val="0"/>
          <w:numId w:val="0"/>
        </w:numPr>
        <w:ind w:left="0" w:firstLine="567"/>
        <w:jc w:val="both"/>
        <w:outlineLvl w:val="2"/>
        <w:rPr/>
      </w:pPr>
      <w:r>
        <w:rPr>
          <w:color w:val="000000"/>
          <w:shd w:fill="FFFFFF" w:val="clear"/>
        </w:rPr>
        <w:t>По требованию Заказчика, Поставщик обязан предъявить копию документа о качестве (паспорт) топлива.</w:t>
      </w:r>
    </w:p>
    <w:p>
      <w:pPr>
        <w:pStyle w:val="Normal"/>
        <w:keepNext w:val="true"/>
        <w:keepLines/>
        <w:numPr>
          <w:ilvl w:val="0"/>
          <w:numId w:val="0"/>
        </w:numPr>
        <w:spacing w:before="240" w:after="0"/>
        <w:ind w:left="0" w:hanging="0"/>
        <w:jc w:val="center"/>
        <w:outlineLvl w:val="0"/>
        <w:rPr>
          <w:b/>
          <w:b/>
          <w:bCs/>
        </w:rPr>
      </w:pPr>
      <w:r>
        <w:rPr>
          <w:b/>
          <w:bCs/>
        </w:rPr>
        <w:t>3. Качество товара и гарантийный срок</w:t>
      </w:r>
    </w:p>
    <w:p>
      <w:pPr>
        <w:pStyle w:val="Normal"/>
        <w:numPr>
          <w:ilvl w:val="0"/>
          <w:numId w:val="0"/>
        </w:numPr>
        <w:ind w:left="0" w:firstLine="567"/>
        <w:jc w:val="both"/>
        <w:outlineLvl w:val="1"/>
        <w:rPr>
          <w:bCs/>
        </w:rPr>
      </w:pPr>
      <w:bookmarkStart w:id="6" w:name="_ref_1-f615dc15168c4f"/>
      <w:bookmarkEnd w:id="6"/>
      <w:r>
        <w:rPr>
          <w:bCs/>
        </w:rPr>
        <w:t>3.1. Передаваемый по Договору товар не был в употреблении и недостатков не имеет.</w:t>
      </w:r>
    </w:p>
    <w:p>
      <w:pPr>
        <w:pStyle w:val="Normal"/>
        <w:numPr>
          <w:ilvl w:val="0"/>
          <w:numId w:val="0"/>
        </w:numPr>
        <w:ind w:left="0" w:firstLine="567"/>
        <w:jc w:val="both"/>
        <w:outlineLvl w:val="1"/>
        <w:rPr>
          <w:bCs/>
        </w:rPr>
      </w:pPr>
      <w:r>
        <w:rPr>
          <w:bCs/>
        </w:rPr>
        <w:t>3.2. Требования к качеству товара и гарантийный срок указаны в Приложении к Договору («Спецификация товара»).</w:t>
      </w:r>
    </w:p>
    <w:p>
      <w:pPr>
        <w:pStyle w:val="Normal"/>
        <w:numPr>
          <w:ilvl w:val="0"/>
          <w:numId w:val="0"/>
        </w:numPr>
        <w:ind w:left="0" w:firstLine="567"/>
        <w:jc w:val="both"/>
        <w:outlineLvl w:val="1"/>
        <w:rPr>
          <w:bCs/>
        </w:rPr>
      </w:pPr>
      <w:bookmarkStart w:id="7" w:name="_ref_1-2eb775520f164a"/>
      <w:bookmarkEnd w:id="7"/>
      <w:r>
        <w:rPr>
          <w:bCs/>
        </w:rPr>
        <w:t>3.3. Гарантийный срок исчисляется с момента передачи товара Заказчику.</w:t>
      </w:r>
    </w:p>
    <w:p>
      <w:pPr>
        <w:pStyle w:val="Normal"/>
        <w:keepNext w:val="true"/>
        <w:keepLines/>
        <w:numPr>
          <w:ilvl w:val="0"/>
          <w:numId w:val="0"/>
        </w:numPr>
        <w:spacing w:before="240" w:after="0"/>
        <w:ind w:left="0" w:hanging="0"/>
        <w:jc w:val="center"/>
        <w:outlineLvl w:val="0"/>
        <w:rPr>
          <w:b/>
          <w:b/>
          <w:bCs/>
        </w:rPr>
      </w:pPr>
      <w:bookmarkStart w:id="8" w:name="_ref_1-61c4ae553e7f4f"/>
      <w:bookmarkEnd w:id="8"/>
      <w:r>
        <w:rPr>
          <w:b/>
          <w:bCs/>
        </w:rPr>
        <w:t>4. Цена и порядок оплаты</w:t>
      </w:r>
    </w:p>
    <w:p>
      <w:pPr>
        <w:pStyle w:val="Normal"/>
        <w:numPr>
          <w:ilvl w:val="0"/>
          <w:numId w:val="0"/>
        </w:numPr>
        <w:ind w:left="0" w:firstLine="567"/>
        <w:jc w:val="both"/>
        <w:outlineLvl w:val="1"/>
        <w:rPr>
          <w:bCs/>
        </w:rPr>
      </w:pPr>
      <w:r>
        <w:rPr>
          <w:bCs/>
        </w:rPr>
        <w:t>4.1.</w:t>
      </w:r>
      <w:r>
        <w:rPr>
          <w:bCs/>
          <w:strike/>
        </w:rPr>
        <w:t xml:space="preserve"> </w:t>
      </w:r>
      <w:r>
        <w:rPr/>
        <w:t xml:space="preserve">Максимальное значение цены договора </w:t>
      </w:r>
      <w:r>
        <w:rPr>
          <w:bCs/>
        </w:rPr>
        <w:t>составляет ________________ (___________________________) рублей. </w:t>
      </w:r>
    </w:p>
    <w:p>
      <w:pPr>
        <w:pStyle w:val="Normal"/>
        <w:ind w:firstLine="567"/>
        <w:jc w:val="both"/>
        <w:rPr/>
      </w:pPr>
      <w:r>
        <w:rPr/>
        <w:t>НДС (___ %)  включен в цену товара.</w:t>
      </w:r>
    </w:p>
    <w:p>
      <w:pPr>
        <w:pStyle w:val="Normal"/>
        <w:ind w:firstLine="567"/>
        <w:jc w:val="both"/>
        <w:rPr/>
      </w:pPr>
      <w:r>
        <w:rPr/>
        <w:t>Оплата поставленного товара осуществляется по цене единицы товара (фактической отпускной цене за единицу топлива (1 л топлива) на момент каждой поставки (заправки), указываемой в отчетном документе Поставщика, не превышающей цену единицы товара, указанную в Договоре)) исходя из количества поставленного товара, но в размере, не превышающем максимального значения цены Договора.</w:t>
      </w:r>
    </w:p>
    <w:p>
      <w:pPr>
        <w:pStyle w:val="Style74"/>
        <w:widowControl/>
        <w:tabs>
          <w:tab w:val="clear" w:pos="708"/>
          <w:tab w:val="left" w:pos="1134" w:leader="none"/>
        </w:tabs>
        <w:spacing w:lineRule="auto" w:line="240"/>
        <w:ind w:firstLine="709"/>
        <w:rPr/>
      </w:pPr>
      <w:r>
        <w:rPr>
          <w:sz w:val="20"/>
          <w:szCs w:val="20"/>
        </w:rPr>
        <w:t xml:space="preserve">В соответствии с п. 10 ст. 4 Закона 223-ФЗ условиями настоящего договора установлена формула, максимальное значение цены договора, и порядок, используемый при расчете по договору. </w:t>
      </w:r>
      <w:r>
        <w:rPr>
          <w:bCs/>
          <w:sz w:val="20"/>
          <w:szCs w:val="20"/>
        </w:rPr>
        <w:t>Формула цены Договора:</w:t>
      </w:r>
    </w:p>
    <w:p>
      <w:pPr>
        <w:pStyle w:val="Normal"/>
        <w:jc w:val="both"/>
        <w:rPr/>
      </w:pPr>
      <w:r>
        <w:rPr/>
        <w:t>ЦД=</w:t>
      </w:r>
      <w:r>
        <w:rPr/>
      </w:r>
      <m:oMath xmlns:m="http://schemas.openxmlformats.org/officeDocument/2006/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Цi</m:t>
            </m:r>
            <m:r>
              <w:rPr>
                <w:rFonts w:ascii="Cambria Math" w:hAnsi="Cambria Math"/>
              </w:rPr>
              <m:t xml:space="preserve">∗</m:t>
            </m:r>
            <m:r>
              <w:rPr>
                <w:rFonts w:ascii="Cambria Math" w:hAnsi="Cambria Math"/>
              </w:rPr>
              <m:t xml:space="preserve">Vi</m:t>
            </m:r>
          </m:e>
        </m:nary>
      </m:oMath>
      <w:r>
        <w:rPr/>
        <w:t>, где</w:t>
      </w:r>
    </w:p>
    <w:p>
      <w:pPr>
        <w:pStyle w:val="Normal"/>
        <w:jc w:val="both"/>
        <w:rPr/>
      </w:pPr>
      <w:r>
        <w:rPr>
          <w:b/>
          <w:bCs/>
        </w:rPr>
        <w:t>ЦД</w:t>
      </w:r>
      <w:r>
        <w:rPr/>
        <w:t xml:space="preserve"> – цена Договора, определённая с использование настоящей формулы, которая не может превышать максимальное значение цены договора (</w:t>
      </w:r>
      <w:r>
        <w:rPr>
          <w:b/>
          <w:bCs/>
        </w:rPr>
        <w:t xml:space="preserve">ЦД </w:t>
      </w:r>
      <w:r>
        <w:rPr>
          <w:rFonts w:cs="Cambria Math" w:ascii="Cambria Math" w:hAnsi="Cambria Math"/>
          <w:b/>
          <w:bCs/>
        </w:rPr>
        <w:t>⩽</w:t>
      </w:r>
      <w:r>
        <w:rPr>
          <w:b/>
          <w:bCs/>
        </w:rPr>
        <w:t>ЦДmax</w:t>
      </w:r>
      <w:r>
        <w:rPr/>
        <w:t>);</w:t>
      </w:r>
    </w:p>
    <w:p>
      <w:pPr>
        <w:pStyle w:val="Normal"/>
        <w:jc w:val="both"/>
        <w:rPr/>
      </w:pPr>
      <w:r>
        <w:rPr>
          <w:b/>
          <w:bCs/>
        </w:rPr>
        <w:t>Цi</w:t>
      </w:r>
      <w:r>
        <w:rPr/>
        <w:t xml:space="preserve"> – отпускная цена Поставщика за единицу поставляемого Товара в месяце (периоде) поставки, </w:t>
      </w:r>
      <w:r>
        <w:rPr>
          <w:u w:val="single"/>
        </w:rPr>
        <w:t>указываемая Поставщиком в товарной накладной (УПД)</w:t>
      </w:r>
      <w:r>
        <w:rPr/>
        <w:t>;</w:t>
      </w:r>
    </w:p>
    <w:p>
      <w:pPr>
        <w:pStyle w:val="Normal"/>
        <w:jc w:val="both"/>
        <w:rPr/>
      </w:pPr>
      <w:r>
        <w:rPr>
          <w:b/>
          <w:bCs/>
        </w:rPr>
        <w:t>Vi</w:t>
      </w:r>
      <w:r>
        <w:rPr/>
        <w:t xml:space="preserve"> –  объём поставляемого Товара в месяце (периоде) поставки;</w:t>
      </w:r>
    </w:p>
    <w:p>
      <w:pPr>
        <w:pStyle w:val="Normal"/>
        <w:jc w:val="both"/>
        <w:rPr/>
      </w:pPr>
      <w:r>
        <w:rPr>
          <w:b/>
          <w:bCs/>
        </w:rPr>
        <w:t>i</w:t>
      </w:r>
      <w:r>
        <w:rPr/>
        <w:t>– начальное значение (индекс суммирования), который равен значению суммируемых величин (Цi ∙ Vi) за 1 месяц поставки Товара;</w:t>
      </w:r>
    </w:p>
    <w:p>
      <w:pPr>
        <w:pStyle w:val="Normal"/>
        <w:jc w:val="both"/>
        <w:rPr/>
      </w:pPr>
      <w:r>
        <w:rPr>
          <w:b/>
          <w:bCs/>
        </w:rPr>
        <w:t>n</w:t>
      </w:r>
      <w:r>
        <w:rPr/>
        <w:t>– конечное значение (диапазон суммирования), которое равно значению суммируемых величин за период поставки, используемому при расчёте.</w:t>
      </w:r>
    </w:p>
    <w:p>
      <w:pPr>
        <w:pStyle w:val="Normal"/>
        <w:ind w:firstLine="708"/>
        <w:jc w:val="both"/>
        <w:rPr/>
      </w:pPr>
      <w:r>
        <w:rPr/>
        <w:t>На момент отпуска топлива Заказчику цена единицы топлива не должна превышать розничную цену топлива, действующую на АЗС Поставщика, а также цену единицы топлива, установленную в соответствии с условиями настоящего Договора.</w:t>
      </w:r>
    </w:p>
    <w:p>
      <w:pPr>
        <w:pStyle w:val="Normal"/>
        <w:jc w:val="both"/>
        <w:rPr/>
      </w:pPr>
      <w:r>
        <w:rPr/>
      </w:r>
    </w:p>
    <w:p>
      <w:pPr>
        <w:pStyle w:val="Normal"/>
        <w:ind w:firstLine="708"/>
        <w:jc w:val="both"/>
        <w:rPr/>
      </w:pPr>
      <w:r>
        <w:rPr>
          <w:b/>
          <w:bCs/>
        </w:rPr>
        <w:t>Превышение Поставщиком максимального значения цены Договора при поставке топлива оплачивается Поставщиком за его счёт.</w:t>
      </w:r>
    </w:p>
    <w:p>
      <w:pPr>
        <w:pStyle w:val="Normal"/>
        <w:jc w:val="both"/>
        <w:rPr>
          <w:sz w:val="24"/>
          <w:szCs w:val="24"/>
        </w:rPr>
      </w:pPr>
      <w:r>
        <w:rPr>
          <w:sz w:val="24"/>
          <w:szCs w:val="24"/>
        </w:rPr>
      </w:r>
    </w:p>
    <w:p>
      <w:pPr>
        <w:pStyle w:val="Normal"/>
        <w:ind w:firstLine="567"/>
        <w:jc w:val="both"/>
        <w:rPr>
          <w:b/>
          <w:b/>
          <w:bCs/>
        </w:rPr>
      </w:pPr>
      <w:r>
        <w:rPr>
          <w:b/>
          <w:bCs/>
        </w:rPr>
      </w:r>
    </w:p>
    <w:p>
      <w:pPr>
        <w:pStyle w:val="Normal"/>
        <w:ind w:firstLine="567"/>
        <w:jc w:val="both"/>
        <w:rPr/>
      </w:pPr>
      <w:r>
        <w:rPr/>
        <w:t>4.2. В общую цену Договора включены все расходы Поставщика, необходимые для осуществления им своих обязательств по Договору в полном объеме и надлежащего качества, в том числе все подлежащие к уплате налоги, сборы и другие обязательные платежи, расходы на упаковку, маркировку, страхование, сертификацию, транспортные расходы по доставке бензина до АЗС, выдаче и обслуживанию пластиковых карт, выдаче справок по обороту по выданным картам за каждый месяц.</w:t>
      </w:r>
    </w:p>
    <w:p>
      <w:pPr>
        <w:pStyle w:val="Normal"/>
        <w:numPr>
          <w:ilvl w:val="0"/>
          <w:numId w:val="0"/>
        </w:numPr>
        <w:ind w:left="0" w:firstLine="567"/>
        <w:jc w:val="both"/>
        <w:outlineLvl w:val="1"/>
        <w:rPr/>
      </w:pPr>
      <w:bookmarkStart w:id="9" w:name="_ref_1-4fc17c28efe040"/>
      <w:bookmarkEnd w:id="9"/>
      <w:r>
        <w:rPr>
          <w:bCs/>
        </w:rPr>
        <w:t>4.3. Заказчик обязуется ежемесячно производить оплату поставленного товара в  7 (семи) рабочих дней с даты подписания Сторонами универсально-передаточного документа (далее - по тексту УПД) на основании представленных Поставщиком счета и счета-фактуры.</w:t>
      </w:r>
    </w:p>
    <w:p>
      <w:pPr>
        <w:pStyle w:val="Normal"/>
        <w:numPr>
          <w:ilvl w:val="0"/>
          <w:numId w:val="0"/>
        </w:numPr>
        <w:ind w:left="0" w:firstLine="567"/>
        <w:jc w:val="both"/>
        <w:outlineLvl w:val="1"/>
        <w:rPr/>
      </w:pPr>
      <w:bookmarkStart w:id="10" w:name="_ref_1-91b86d069cf740"/>
      <w:bookmarkEnd w:id="10"/>
      <w:r>
        <w:rPr>
          <w:bCs/>
        </w:rPr>
        <w:t xml:space="preserve">4.4. </w:t>
      </w:r>
      <w:bookmarkStart w:id="11" w:name="_ref_1-69d375df169c49"/>
      <w:bookmarkEnd w:id="11"/>
      <w:r>
        <w:rPr>
          <w:bCs/>
        </w:rPr>
        <w:t>Расчеты по Договору осуществляются в рублях в безналичном порядке платежными поручениями.</w:t>
      </w:r>
    </w:p>
    <w:p>
      <w:pPr>
        <w:pStyle w:val="Normal"/>
        <w:numPr>
          <w:ilvl w:val="0"/>
          <w:numId w:val="0"/>
        </w:numPr>
        <w:ind w:left="0" w:firstLine="567"/>
        <w:jc w:val="both"/>
        <w:outlineLvl w:val="1"/>
        <w:rPr/>
      </w:pPr>
      <w:bookmarkStart w:id="12" w:name="_ref_1-27f40e6f28674e"/>
      <w:bookmarkEnd w:id="12"/>
      <w:r>
        <w:rPr>
          <w:bCs/>
        </w:rPr>
        <w:t>4.5. Обязательство Заказчика по оплате считается исполненным в момент списания денежных средств с расчетного счета Заказчика.</w:t>
      </w:r>
    </w:p>
    <w:p>
      <w:pPr>
        <w:pStyle w:val="Normal"/>
        <w:numPr>
          <w:ilvl w:val="0"/>
          <w:numId w:val="0"/>
        </w:numPr>
        <w:ind w:left="0" w:firstLine="567"/>
        <w:jc w:val="both"/>
        <w:outlineLvl w:val="1"/>
        <w:rPr/>
      </w:pPr>
      <w:r>
        <w:rPr>
          <w:bCs/>
        </w:rPr>
        <w:t>4.6. Заказчик уменьшает суммы, 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pPr>
        <w:pStyle w:val="Normal"/>
        <w:keepNext w:val="true"/>
        <w:keepLines/>
        <w:numPr>
          <w:ilvl w:val="0"/>
          <w:numId w:val="0"/>
        </w:numPr>
        <w:spacing w:before="240" w:after="0"/>
        <w:ind w:left="0" w:hanging="0"/>
        <w:jc w:val="center"/>
        <w:outlineLvl w:val="0"/>
        <w:rPr/>
      </w:pPr>
      <w:bookmarkStart w:id="13" w:name="_ref_1-d1136f47b9d047"/>
      <w:bookmarkEnd w:id="13"/>
      <w:r>
        <w:rPr>
          <w:b/>
          <w:bCs/>
        </w:rPr>
        <w:t>5. Сроки и условия поставки</w:t>
      </w:r>
    </w:p>
    <w:p>
      <w:pPr>
        <w:pStyle w:val="Normal"/>
        <w:numPr>
          <w:ilvl w:val="0"/>
          <w:numId w:val="0"/>
        </w:numPr>
        <w:ind w:left="0" w:firstLine="567"/>
        <w:jc w:val="both"/>
        <w:outlineLvl w:val="1"/>
        <w:rPr>
          <w:bCs/>
        </w:rPr>
      </w:pPr>
      <w:bookmarkStart w:id="14" w:name="_ref_1-66363224241d4e"/>
      <w:bookmarkEnd w:id="14"/>
      <w:r>
        <w:rPr>
          <w:bCs/>
        </w:rPr>
        <w:t xml:space="preserve">5.1. </w:t>
      </w:r>
      <w:bookmarkStart w:id="15" w:name="_Hlk228178745"/>
      <w:r>
        <w:rPr>
          <w:bCs/>
        </w:rPr>
        <w:t>Поставщик обеспечивает заправку автомобильного транспорта Заказчика через сеть АЗС/АЗК, находящихся на территории Алтайского края, в том числе  г. Змеиногорска на расстоянии не более чем 7 км от места нахождения Заказчика (улица Ленина, 31), а также возможность заправки на АЗС, расположенных на трасах по направлению следования: г. Змеиногорск - г. Барнаул; г. Змеиногорск- г. Рубцовск.</w:t>
      </w:r>
    </w:p>
    <w:p>
      <w:pPr>
        <w:pStyle w:val="Normal"/>
        <w:numPr>
          <w:ilvl w:val="0"/>
          <w:numId w:val="0"/>
        </w:numPr>
        <w:ind w:left="0" w:firstLine="567"/>
        <w:jc w:val="both"/>
        <w:outlineLvl w:val="1"/>
        <w:rPr>
          <w:bCs/>
        </w:rPr>
      </w:pPr>
      <w:bookmarkStart w:id="16" w:name="_Hlk228178776"/>
      <w:bookmarkEnd w:id="15"/>
      <w:bookmarkEnd w:id="16"/>
      <w:r>
        <w:rPr>
          <w:color w:val="000000"/>
        </w:rPr>
        <w:t xml:space="preserve">Поставка товара осуществляется с </w:t>
      </w:r>
      <w:r>
        <w:rPr>
          <w:color w:val="000000"/>
        </w:rPr>
        <w:t xml:space="preserve">01.01.2027г. </w:t>
      </w:r>
      <w:r>
        <w:rPr>
          <w:color w:val="000000"/>
        </w:rPr>
        <w:t xml:space="preserve"> и по 31.</w:t>
      </w:r>
      <w:r>
        <w:rPr>
          <w:color w:val="000000"/>
        </w:rPr>
        <w:t>03</w:t>
      </w:r>
      <w:r>
        <w:rPr>
          <w:color w:val="000000"/>
        </w:rPr>
        <w:t>.20</w:t>
      </w:r>
      <w:r>
        <w:rPr>
          <w:color w:val="000000"/>
          <w:shd w:fill="auto" w:val="clear"/>
        </w:rPr>
        <w:t>2</w:t>
      </w:r>
      <w:r>
        <w:rPr>
          <w:color w:val="000000"/>
          <w:shd w:fill="auto" w:val="clear"/>
        </w:rPr>
        <w:t>7</w:t>
      </w:r>
      <w:r>
        <w:rPr>
          <w:color w:val="000000"/>
          <w:shd w:fill="auto" w:val="clear"/>
        </w:rPr>
        <w:t xml:space="preserve"> </w:t>
      </w:r>
      <w:r>
        <w:rPr>
          <w:color w:val="000000"/>
        </w:rPr>
        <w:t>года</w:t>
      </w:r>
    </w:p>
    <w:p>
      <w:pPr>
        <w:pStyle w:val="Normal"/>
        <w:numPr>
          <w:ilvl w:val="0"/>
          <w:numId w:val="0"/>
        </w:numPr>
        <w:ind w:left="0" w:firstLine="567"/>
        <w:jc w:val="both"/>
        <w:outlineLvl w:val="1"/>
        <w:rPr>
          <w:bCs/>
        </w:rPr>
      </w:pPr>
      <w:bookmarkStart w:id="17" w:name="_ref_1-701f1409e9324c"/>
      <w:bookmarkStart w:id="18" w:name="_Hlk2281787761"/>
      <w:bookmarkEnd w:id="17"/>
      <w:bookmarkEnd w:id="18"/>
      <w:r>
        <w:rPr>
          <w:bCs/>
        </w:rPr>
        <w:t xml:space="preserve">5.2. </w:t>
      </w:r>
      <w:bookmarkStart w:id="19" w:name="_ref_1-d5d413fee3df49"/>
      <w:bookmarkEnd w:id="19"/>
      <w:r>
        <w:rPr>
          <w:bCs/>
        </w:rPr>
        <w:t>Права третьих лиц</w:t>
      </w:r>
    </w:p>
    <w:p>
      <w:pPr>
        <w:pStyle w:val="Normal"/>
        <w:numPr>
          <w:ilvl w:val="0"/>
          <w:numId w:val="0"/>
        </w:numPr>
        <w:ind w:left="0" w:firstLine="567"/>
        <w:jc w:val="both"/>
        <w:outlineLvl w:val="2"/>
        <w:rPr>
          <w:bCs/>
        </w:rPr>
      </w:pPr>
      <w:bookmarkStart w:id="20" w:name="_ref_1-dd588c73dedd4d"/>
      <w:bookmarkEnd w:id="20"/>
      <w:r>
        <w:rPr>
          <w:bCs/>
        </w:rPr>
        <w:t>5.2.1. Поставщик обязан передать Покупателю товар свободным от любых прав третьих лиц.</w:t>
      </w:r>
    </w:p>
    <w:p>
      <w:pPr>
        <w:pStyle w:val="Normal"/>
        <w:numPr>
          <w:ilvl w:val="0"/>
          <w:numId w:val="0"/>
        </w:numPr>
        <w:ind w:left="0" w:firstLine="567"/>
        <w:jc w:val="both"/>
        <w:outlineLvl w:val="2"/>
        <w:rPr>
          <w:bCs/>
        </w:rPr>
      </w:pPr>
      <w:bookmarkStart w:id="21" w:name="_ref_1-5d6162a7eee047"/>
      <w:bookmarkEnd w:id="21"/>
      <w:r>
        <w:rPr>
          <w:bCs/>
        </w:rPr>
        <w:t>5.2.2. Неисполнение Поставщиком обязанности передать товар свободным от любых прав третьих лиц дает Покупателю право требовать уменьшения цены товара либо расторжения Договора, если не будет доказано, что Покупатель знал или должен был знать о правах третьих лиц на этот товар.</w:t>
      </w:r>
    </w:p>
    <w:p>
      <w:pPr>
        <w:pStyle w:val="Normal"/>
        <w:numPr>
          <w:ilvl w:val="0"/>
          <w:numId w:val="0"/>
        </w:numPr>
        <w:ind w:left="0" w:firstLine="567"/>
        <w:jc w:val="both"/>
        <w:outlineLvl w:val="1"/>
        <w:rPr>
          <w:bCs/>
        </w:rPr>
      </w:pPr>
      <w:bookmarkStart w:id="22" w:name="_ref_1-3ec1fbf0e62342"/>
      <w:bookmarkEnd w:id="22"/>
      <w:r>
        <w:rPr>
          <w:bCs/>
        </w:rPr>
        <w:t>5.3. Если Поставщик не поставил предусмотренное Договором количество товаров либо не выполнил требования Покупателя о замене недоброкачественных товаров или о доукомплектовании товаров в установленный срок, Покупатель вправе приобрести не поставленные товары у других лиц с отнесением на счет Поставщика всех необходимых и разумных расходов на их приобретение. Исчисление расходов Покупателя на приобретение у других лиц товаров в случаях их недопоставки Поставщиком или невыполнения требований Покупателя об устранении недостатков товаров либо доукомплектовании товаров производится по правилам, предусмотренным п. 1 ст. 524 ГК РФ. Покупатель вправе отказаться от оплаты товаров ненадлежащего качества и некомплектных товаров, а если такие товары оплачены, потребовать возврата уплаченных сумм впредь до устранения недостатков и доукомплектования товаров либо до их замены.</w:t>
      </w:r>
    </w:p>
    <w:p>
      <w:pPr>
        <w:pStyle w:val="Normal"/>
        <w:keepNext w:val="true"/>
        <w:keepLines/>
        <w:numPr>
          <w:ilvl w:val="0"/>
          <w:numId w:val="0"/>
        </w:numPr>
        <w:spacing w:before="240" w:after="0"/>
        <w:ind w:left="0" w:hanging="0"/>
        <w:jc w:val="center"/>
        <w:outlineLvl w:val="0"/>
        <w:rPr>
          <w:b/>
          <w:b/>
          <w:bCs/>
        </w:rPr>
      </w:pPr>
      <w:r>
        <w:rPr>
          <w:b/>
          <w:bCs/>
        </w:rPr>
        <w:t>6. Порядок приема и передачи товара</w:t>
      </w:r>
    </w:p>
    <w:p>
      <w:pPr>
        <w:pStyle w:val="Normal"/>
        <w:numPr>
          <w:ilvl w:val="0"/>
          <w:numId w:val="0"/>
        </w:numPr>
        <w:ind w:left="0" w:firstLine="567"/>
        <w:jc w:val="both"/>
        <w:outlineLvl w:val="1"/>
        <w:rPr>
          <w:bCs/>
        </w:rPr>
      </w:pPr>
      <w:r>
        <w:rPr>
          <w:bCs/>
        </w:rPr>
        <w:t>6.1. Поставщик должен передать Заказчику следующие документы на русском языке либо точный и достоверный перевод на русский язык:</w:t>
      </w:r>
    </w:p>
    <w:p>
      <w:pPr>
        <w:pStyle w:val="Normal"/>
        <w:numPr>
          <w:ilvl w:val="0"/>
          <w:numId w:val="0"/>
        </w:numPr>
        <w:ind w:left="0" w:firstLine="567"/>
        <w:jc w:val="both"/>
        <w:outlineLvl w:val="1"/>
        <w:rPr>
          <w:bCs/>
        </w:rPr>
      </w:pPr>
      <w:r>
        <w:rPr>
          <w:bCs/>
        </w:rPr>
        <w:t xml:space="preserve">подписанные УПД в двух экземплярах, счет. </w:t>
      </w:r>
    </w:p>
    <w:p>
      <w:pPr>
        <w:pStyle w:val="Normal"/>
        <w:numPr>
          <w:ilvl w:val="0"/>
          <w:numId w:val="0"/>
        </w:numPr>
        <w:ind w:left="0" w:firstLine="567"/>
        <w:jc w:val="both"/>
        <w:outlineLvl w:val="1"/>
        <w:rPr>
          <w:bCs/>
        </w:rPr>
      </w:pPr>
      <w:r>
        <w:rPr>
          <w:bCs/>
        </w:rPr>
        <w:t>6.2. Приемка товара осуществляется в месте поставки товара, уполномоченным представителем Заказчика.</w:t>
      </w:r>
      <w:r>
        <w:rPr>
          <w:bCs/>
          <w:i/>
        </w:rPr>
        <w:t xml:space="preserve"> </w:t>
      </w:r>
      <w:r>
        <w:rPr>
          <w:bCs/>
        </w:rPr>
        <w:t xml:space="preserve">Заказчик вправе создать приемочную комиссию, для проверки соответствия товара требованиям, установленным Договором. Проверка соответствия качества поставляемого товара требованиям, установленным Договором, может также осуществляться с привлечением экспертов, экспертных организаций. </w:t>
      </w:r>
    </w:p>
    <w:p>
      <w:pPr>
        <w:pStyle w:val="Normal"/>
        <w:numPr>
          <w:ilvl w:val="0"/>
          <w:numId w:val="0"/>
        </w:numPr>
        <w:ind w:left="0" w:firstLine="567"/>
        <w:jc w:val="both"/>
        <w:outlineLvl w:val="1"/>
        <w:rPr>
          <w:bCs/>
        </w:rPr>
      </w:pPr>
      <w:r>
        <w:rPr>
          <w:bCs/>
        </w:rPr>
        <w:t xml:space="preserve">6.3. Проверка товара по количеству осуществляется путем взвешивания товара и сопоставления полученного количества с количеством товара, указанным в графике поставки. Количество поступившего товара при его приемке определяется в тех же единицах измерения, которые указаны в Спецификации (Приложение № 1). </w:t>
      </w:r>
    </w:p>
    <w:p>
      <w:pPr>
        <w:pStyle w:val="Style23"/>
        <w:shd w:val="clear" w:color="auto" w:fill="FFFFFF"/>
        <w:spacing w:before="0" w:after="0"/>
        <w:ind w:firstLine="567"/>
        <w:contextualSpacing/>
        <w:rPr>
          <w:kern w:val="2"/>
          <w:sz w:val="20"/>
          <w:szCs w:val="20"/>
        </w:rPr>
      </w:pPr>
      <w:r>
        <w:rPr>
          <w:kern w:val="2"/>
          <w:sz w:val="20"/>
          <w:szCs w:val="20"/>
        </w:rPr>
        <w:t>6.4. Проверка соответствия товара требованиям, установленным Договором, осуществляется в следующем порядке:</w:t>
      </w:r>
    </w:p>
    <w:p>
      <w:pPr>
        <w:pStyle w:val="Style23"/>
        <w:shd w:val="clear" w:color="auto" w:fill="FFFFFF"/>
        <w:spacing w:before="0" w:after="0"/>
        <w:ind w:firstLine="567"/>
        <w:contextualSpacing/>
        <w:rPr>
          <w:kern w:val="2"/>
          <w:sz w:val="20"/>
          <w:szCs w:val="20"/>
        </w:rPr>
      </w:pPr>
      <w:r>
        <w:rPr>
          <w:kern w:val="2"/>
          <w:sz w:val="20"/>
          <w:szCs w:val="20"/>
        </w:rPr>
        <w:t>6.4.1. Поставщик имеет право направить своего представителя для участия в приемке товара, отборе проб известив об этом Заказчика. В случае поступления Заказчику извещения от Поставщика о направлении Поставщиком своего представителя приемка должна быть осуществлена только в присутствии представителя Поставщика.</w:t>
      </w:r>
    </w:p>
    <w:p>
      <w:pPr>
        <w:pStyle w:val="Style23"/>
        <w:shd w:val="clear" w:color="auto" w:fill="FFFFFF"/>
        <w:spacing w:before="0" w:after="0"/>
        <w:ind w:firstLine="567"/>
        <w:contextualSpacing/>
        <w:rPr>
          <w:kern w:val="2"/>
          <w:sz w:val="20"/>
          <w:szCs w:val="20"/>
        </w:rPr>
      </w:pPr>
      <w:r>
        <w:rPr>
          <w:kern w:val="2"/>
          <w:sz w:val="20"/>
          <w:szCs w:val="20"/>
        </w:rPr>
        <w:t>6.4.3. В случае неприбытия представителя Поставщика приемка товара, в том числе отбор проб, Заказчиком производится самостоятельно комиссией, состоящей из не менее трех человек</w:t>
      </w:r>
    </w:p>
    <w:p>
      <w:pPr>
        <w:pStyle w:val="Style23"/>
        <w:shd w:val="clear" w:color="auto" w:fill="FFFFFF"/>
        <w:spacing w:before="0" w:after="0"/>
        <w:ind w:firstLine="567"/>
        <w:contextualSpacing/>
        <w:rPr>
          <w:kern w:val="2"/>
          <w:sz w:val="20"/>
          <w:szCs w:val="20"/>
        </w:rPr>
      </w:pPr>
      <w:r>
        <w:rPr>
          <w:kern w:val="2"/>
          <w:sz w:val="20"/>
          <w:szCs w:val="20"/>
        </w:rPr>
        <w:t xml:space="preserve">6.4.4. Экспертиза отобранных образцов (проб), проводится Заказчиком с привлечением экспертов, экспертных организаций. </w:t>
      </w:r>
    </w:p>
    <w:p>
      <w:pPr>
        <w:pStyle w:val="Style23"/>
        <w:shd w:val="clear" w:color="auto" w:fill="FFFFFF"/>
        <w:spacing w:before="0" w:after="0"/>
        <w:ind w:firstLine="567"/>
        <w:contextualSpacing/>
        <w:rPr>
          <w:kern w:val="2"/>
          <w:sz w:val="20"/>
          <w:szCs w:val="20"/>
        </w:rPr>
      </w:pPr>
      <w:r>
        <w:rPr>
          <w:kern w:val="2"/>
          <w:sz w:val="20"/>
          <w:szCs w:val="20"/>
        </w:rPr>
        <w:t>6.4.5. В случае, если при осуществлении экспертизы образцов (проб) выявлена проба качество которой не соответствует требованиям ГОСТ, результаты проверки такой пробы распространяются на всю партию товара.</w:t>
      </w:r>
    </w:p>
    <w:p>
      <w:pPr>
        <w:pStyle w:val="Style23"/>
        <w:shd w:val="clear" w:color="auto" w:fill="FFFFFF"/>
        <w:spacing w:before="0" w:after="0"/>
        <w:ind w:firstLine="567"/>
        <w:contextualSpacing/>
        <w:rPr>
          <w:kern w:val="2"/>
          <w:sz w:val="20"/>
          <w:szCs w:val="20"/>
        </w:rPr>
      </w:pPr>
      <w:r>
        <w:rPr>
          <w:kern w:val="2"/>
          <w:sz w:val="20"/>
          <w:szCs w:val="20"/>
        </w:rPr>
        <w:t>6.4.6. Стороны устанавливают претензионный порядок рассмотрения споров, связанных с разногласиями по качеству и (или) количеству поставленного товара. Срок для предъявления претензии по количеству и качеству товара - 5 (пять) рабочих дней с момента приемки Заказчиком поставленного товара по количеству и качеству; по показателям качества товара, носящих скрытый характер, обнаружение которых возможно только по результатам проведенного исследования (экспертизы) – 10 (десять) рабочих дней с момента получения результатов проведенных экспертиз (исследований) от экспертов, экспертных организаций.</w:t>
      </w:r>
    </w:p>
    <w:p>
      <w:pPr>
        <w:pStyle w:val="Style23"/>
        <w:shd w:val="clear" w:color="auto" w:fill="FFFFFF"/>
        <w:spacing w:before="0" w:after="0"/>
        <w:ind w:firstLine="567"/>
        <w:contextualSpacing/>
        <w:rPr>
          <w:kern w:val="2"/>
          <w:sz w:val="20"/>
          <w:szCs w:val="20"/>
        </w:rPr>
      </w:pPr>
      <w:r>
        <w:rPr>
          <w:kern w:val="2"/>
          <w:sz w:val="20"/>
          <w:szCs w:val="20"/>
        </w:rPr>
        <w:t>6.5. В случае выявленных недостатков, Поставщик обязуется в срок, установленный в претензии, составленной Заказчиком, устранить указанные недостатки за свой счет.</w:t>
      </w:r>
    </w:p>
    <w:p>
      <w:pPr>
        <w:pStyle w:val="Style23"/>
        <w:shd w:val="clear" w:color="auto" w:fill="FFFFFF"/>
        <w:spacing w:before="0" w:after="0"/>
        <w:ind w:firstLine="567"/>
        <w:contextualSpacing/>
        <w:rPr>
          <w:kern w:val="2"/>
          <w:sz w:val="20"/>
          <w:szCs w:val="20"/>
        </w:rPr>
      </w:pPr>
      <w:r>
        <w:rPr>
          <w:kern w:val="2"/>
          <w:sz w:val="20"/>
          <w:szCs w:val="20"/>
        </w:rPr>
        <w:t>6.6. Расходы по оплате стоимости лабораторного исследования, установившего несоответствие качества товара, относятся в полном объеме на счет Поставщика.</w:t>
      </w:r>
    </w:p>
    <w:p>
      <w:pPr>
        <w:pStyle w:val="Style23"/>
        <w:shd w:val="clear" w:color="auto" w:fill="FFFFFF"/>
        <w:spacing w:before="0" w:after="0"/>
        <w:ind w:firstLine="567"/>
        <w:contextualSpacing/>
        <w:rPr>
          <w:kern w:val="2"/>
          <w:sz w:val="20"/>
          <w:szCs w:val="20"/>
        </w:rPr>
      </w:pPr>
      <w:r>
        <w:rPr>
          <w:kern w:val="2"/>
          <w:sz w:val="20"/>
          <w:szCs w:val="20"/>
        </w:rPr>
        <w:t>6.7. Если Поставщик в установленный срок не устранит нарушения, Заказчик вправе предъявить Поставщику требование о возмещении своих расходов на устранение недостатков товара и (или) принять решение об одностороннем отказе от исполнения Договора.</w:t>
      </w:r>
    </w:p>
    <w:p>
      <w:pPr>
        <w:pStyle w:val="Style23"/>
        <w:shd w:val="clear" w:color="auto" w:fill="FFFFFF"/>
        <w:spacing w:before="0" w:after="0"/>
        <w:ind w:firstLine="567"/>
        <w:contextualSpacing/>
        <w:rPr>
          <w:kern w:val="2"/>
          <w:sz w:val="20"/>
          <w:szCs w:val="20"/>
        </w:rPr>
      </w:pPr>
      <w:r>
        <w:rPr>
          <w:kern w:val="2"/>
          <w:sz w:val="20"/>
          <w:szCs w:val="20"/>
        </w:rPr>
        <w:t>6.8. Расходы, связанные с обратной транспортировкой некачественного, не соответствующего Договору товара, несет Поставщик.</w:t>
      </w:r>
    </w:p>
    <w:p>
      <w:pPr>
        <w:pStyle w:val="ListParagraph"/>
        <w:keepNext w:val="true"/>
        <w:keepLines/>
        <w:numPr>
          <w:ilvl w:val="0"/>
          <w:numId w:val="2"/>
        </w:numPr>
        <w:tabs>
          <w:tab w:val="clear" w:pos="708"/>
          <w:tab w:val="left" w:pos="284" w:leader="none"/>
        </w:tabs>
        <w:spacing w:before="240" w:after="0"/>
        <w:ind w:left="0" w:hanging="0"/>
        <w:contextualSpacing/>
        <w:jc w:val="center"/>
        <w:outlineLvl w:val="0"/>
        <w:rPr>
          <w:b/>
          <w:b/>
          <w:bCs/>
          <w:sz w:val="20"/>
          <w:szCs w:val="20"/>
        </w:rPr>
      </w:pPr>
      <w:bookmarkStart w:id="23" w:name="_ref_1-58d4f7ed94884e"/>
      <w:bookmarkEnd w:id="23"/>
      <w:r>
        <w:rPr>
          <w:b/>
          <w:bCs/>
          <w:sz w:val="20"/>
          <w:szCs w:val="20"/>
        </w:rPr>
        <w:t>Ответственность сторон</w:t>
      </w:r>
      <w:bookmarkStart w:id="24" w:name="_ref_1-1ea59368989948"/>
      <w:bookmarkEnd w:id="24"/>
    </w:p>
    <w:p>
      <w:pPr>
        <w:pStyle w:val="ListParagraph"/>
        <w:keepNext w:val="true"/>
        <w:keepLines/>
        <w:numPr>
          <w:ilvl w:val="1"/>
          <w:numId w:val="2"/>
        </w:numPr>
        <w:tabs>
          <w:tab w:val="clear" w:pos="708"/>
          <w:tab w:val="left" w:pos="993" w:leader="none"/>
        </w:tabs>
        <w:spacing w:before="240" w:after="0"/>
        <w:ind w:left="0" w:firstLine="567"/>
        <w:contextualSpacing/>
        <w:jc w:val="both"/>
        <w:outlineLvl w:val="0"/>
        <w:rPr>
          <w:bCs/>
          <w:sz w:val="20"/>
          <w:szCs w:val="20"/>
        </w:rPr>
      </w:pPr>
      <w:r>
        <w:rPr>
          <w:bCs/>
          <w:sz w:val="20"/>
          <w:szCs w:val="20"/>
        </w:rPr>
        <w:t>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w:t>
      </w:r>
    </w:p>
    <w:p>
      <w:pPr>
        <w:pStyle w:val="ListParagraph"/>
        <w:keepNext w:val="true"/>
        <w:keepLines/>
        <w:numPr>
          <w:ilvl w:val="1"/>
          <w:numId w:val="2"/>
        </w:numPr>
        <w:tabs>
          <w:tab w:val="clear" w:pos="708"/>
          <w:tab w:val="left" w:pos="993" w:leader="none"/>
        </w:tabs>
        <w:spacing w:before="240" w:after="0"/>
        <w:ind w:left="0" w:firstLine="567"/>
        <w:contextualSpacing/>
        <w:jc w:val="both"/>
        <w:outlineLvl w:val="0"/>
        <w:rPr>
          <w:bCs/>
          <w:sz w:val="20"/>
          <w:szCs w:val="20"/>
        </w:rPr>
      </w:pPr>
      <w:r>
        <w:rPr>
          <w:bCs/>
          <w:sz w:val="20"/>
          <w:szCs w:val="20"/>
        </w:rPr>
        <w:t>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направляет Поставщику требование об уплате неустоек (штрафов, пеней).</w:t>
      </w:r>
    </w:p>
    <w:p>
      <w:pPr>
        <w:pStyle w:val="ListParagraph"/>
        <w:keepNext w:val="true"/>
        <w:keepLines/>
        <w:numPr>
          <w:ilvl w:val="1"/>
          <w:numId w:val="2"/>
        </w:numPr>
        <w:tabs>
          <w:tab w:val="clear" w:pos="708"/>
          <w:tab w:val="left" w:pos="993" w:leader="none"/>
        </w:tabs>
        <w:spacing w:before="240" w:after="0"/>
        <w:ind w:left="0" w:firstLine="567"/>
        <w:contextualSpacing/>
        <w:jc w:val="both"/>
        <w:outlineLvl w:val="0"/>
        <w:rPr>
          <w:bCs/>
          <w:sz w:val="20"/>
          <w:szCs w:val="20"/>
        </w:rPr>
      </w:pPr>
      <w:r>
        <w:rPr>
          <w:bCs/>
          <w:sz w:val="20"/>
          <w:szCs w:val="20"/>
        </w:rPr>
        <w:t>Размер штрафа устанавливается Договором в виде фиксированной суммы, в том числе рассчитываемой как процент цены Договора, или в случае, если Договором предусмотрены этапы исполнения Договора, как процент этапа исполнения Договора (далее – «цена Договора (этапа)»).</w:t>
      </w:r>
    </w:p>
    <w:p>
      <w:pPr>
        <w:pStyle w:val="ListParagraph"/>
        <w:keepNext w:val="true"/>
        <w:keepLines/>
        <w:numPr>
          <w:ilvl w:val="1"/>
          <w:numId w:val="2"/>
        </w:numPr>
        <w:tabs>
          <w:tab w:val="clear" w:pos="708"/>
          <w:tab w:val="left" w:pos="993" w:leader="none"/>
        </w:tabs>
        <w:spacing w:before="240" w:after="0"/>
        <w:ind w:left="0" w:firstLine="567"/>
        <w:contextualSpacing/>
        <w:jc w:val="both"/>
        <w:outlineLvl w:val="0"/>
        <w:rPr>
          <w:sz w:val="20"/>
          <w:szCs w:val="20"/>
        </w:rPr>
      </w:pPr>
      <w:r>
        <w:rPr>
          <w:sz w:val="20"/>
          <w:szCs w:val="20"/>
        </w:rPr>
        <w:t>Штрафы начисляются за каждый факт неисполнения или ненадлежащего исполнения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и устанавливаются в виде фиксированной суммы - 5 процентов цены Договора.</w:t>
      </w:r>
    </w:p>
    <w:p>
      <w:pPr>
        <w:pStyle w:val="ListParagraph"/>
        <w:keepNext w:val="true"/>
        <w:keepLines/>
        <w:numPr>
          <w:ilvl w:val="1"/>
          <w:numId w:val="2"/>
        </w:numPr>
        <w:tabs>
          <w:tab w:val="clear" w:pos="708"/>
          <w:tab w:val="left" w:pos="993" w:leader="none"/>
        </w:tabs>
        <w:spacing w:before="240" w:after="0"/>
        <w:ind w:left="0" w:firstLine="567"/>
        <w:contextualSpacing/>
        <w:jc w:val="both"/>
        <w:outlineLvl w:val="0"/>
        <w:rPr>
          <w:sz w:val="20"/>
          <w:szCs w:val="20"/>
        </w:rPr>
      </w:pPr>
      <w:r>
        <w:rPr>
          <w:sz w:val="20"/>
          <w:szCs w:val="20"/>
        </w:rPr>
        <w:t>Пеня начисляется за каждый день просрочки исполнения Поставщиком обязательства, предусмотренного Договором, в размере одной трехсотой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pPr>
        <w:pStyle w:val="Normal"/>
        <w:tabs>
          <w:tab w:val="clear" w:pos="708"/>
          <w:tab w:val="left" w:pos="993" w:leader="none"/>
        </w:tabs>
        <w:ind w:firstLine="567"/>
        <w:jc w:val="both"/>
        <w:rPr/>
      </w:pPr>
      <w:r>
        <w:rPr>
          <w:lang w:eastAsia="x-none"/>
        </w:rPr>
        <w:t>7.6.</w:t>
        <w:tab/>
      </w:r>
      <w:r>
        <w:rPr>
          <w:lang w:val="x-none" w:eastAsia="x-none"/>
        </w:rPr>
        <w:t>Общая сумма начисленной неустойки (штрафов, пени) за неисполнение или ненадлежащее исполнение Поставщиком обязательств, предусмотренных Договором, не может превышать цену Договора.</w:t>
      </w:r>
    </w:p>
    <w:p>
      <w:pPr>
        <w:pStyle w:val="Normal"/>
        <w:tabs>
          <w:tab w:val="clear" w:pos="708"/>
          <w:tab w:val="left" w:pos="993" w:leader="none"/>
        </w:tabs>
        <w:ind w:firstLine="567"/>
        <w:jc w:val="both"/>
        <w:rPr/>
      </w:pPr>
      <w:r>
        <w:rPr/>
        <w:t>7.7.</w:t>
        <w:tab/>
        <w:t xml:space="preserve">Поставщик обязан возместить убытки, причиненные Заказчику в ходе исполнения Договора, в порядке, предусмотренном действующим законодательством. </w:t>
      </w:r>
    </w:p>
    <w:p>
      <w:pPr>
        <w:pStyle w:val="Normal"/>
        <w:tabs>
          <w:tab w:val="clear" w:pos="708"/>
          <w:tab w:val="left" w:pos="993" w:leader="none"/>
          <w:tab w:val="left" w:pos="1134" w:leader="none"/>
        </w:tabs>
        <w:ind w:firstLine="567"/>
        <w:jc w:val="both"/>
        <w:rPr/>
      </w:pPr>
      <w:r>
        <w:rPr/>
        <w:t>7.8.</w:t>
        <w:tab/>
        <w:t>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w:t>
      </w:r>
    </w:p>
    <w:p>
      <w:pPr>
        <w:pStyle w:val="Normal"/>
        <w:tabs>
          <w:tab w:val="clear" w:pos="708"/>
          <w:tab w:val="left" w:pos="993" w:leader="none"/>
        </w:tabs>
        <w:ind w:firstLine="567"/>
        <w:jc w:val="both"/>
        <w:rPr/>
      </w:pPr>
      <w:r>
        <w:rPr/>
        <w:t>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ключевой ставки Центрального банка Российской Федерации от неуплаченной в срок суммы.</w:t>
      </w:r>
    </w:p>
    <w:p>
      <w:pPr>
        <w:pStyle w:val="Normal"/>
        <w:tabs>
          <w:tab w:val="clear" w:pos="708"/>
          <w:tab w:val="left" w:pos="993" w:leader="none"/>
        </w:tabs>
        <w:ind w:firstLine="567"/>
        <w:jc w:val="both"/>
        <w:rPr/>
      </w:pPr>
      <w:r>
        <w:rPr/>
        <w:t>7.9.</w:t>
        <w:tab/>
        <w:t>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pPr>
        <w:pStyle w:val="Normal"/>
        <w:tabs>
          <w:tab w:val="clear" w:pos="708"/>
          <w:tab w:val="left" w:pos="1134" w:leader="none"/>
        </w:tabs>
        <w:ind w:firstLine="567"/>
        <w:jc w:val="both"/>
        <w:rPr>
          <w:iCs/>
        </w:rPr>
      </w:pPr>
      <w:r>
        <w:rPr/>
        <w:t>7.10.</w:t>
        <w:tab/>
        <w:t>Уплата неустоек (штрафов, пеней) не освобождает виновную Сторону от выполнения принятых на себя обязательств по Договору.</w:t>
      </w:r>
    </w:p>
    <w:p>
      <w:pPr>
        <w:pStyle w:val="Normal"/>
        <w:tabs>
          <w:tab w:val="clear" w:pos="708"/>
          <w:tab w:val="left" w:pos="1134" w:leader="none"/>
        </w:tabs>
        <w:ind w:firstLine="567"/>
        <w:jc w:val="both"/>
        <w:rPr/>
      </w:pPr>
      <w:r>
        <w:rPr/>
        <w:t>7.11.</w:t>
        <w:tab/>
      </w:r>
      <w:bookmarkStart w:id="25" w:name="_ref_1-89ff00b0a9e343"/>
      <w:bookmarkEnd w:id="25"/>
      <w:r>
        <w:rPr/>
        <w:t>Если иное не предусмотрено законом, сторона, не исполнившая или ненадлежащим образом исполнившая обязательство при осуществлении предпринимательской деятельности,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должника, отсутствие на рынке нужных для исполнения товаров, отсутствие у должника необходимых денежных средств.</w:t>
      </w:r>
    </w:p>
    <w:p>
      <w:pPr>
        <w:pStyle w:val="Normal"/>
        <w:tabs>
          <w:tab w:val="clear" w:pos="708"/>
          <w:tab w:val="left" w:pos="1134" w:leader="none"/>
        </w:tabs>
        <w:ind w:firstLine="567"/>
        <w:jc w:val="both"/>
        <w:rPr/>
      </w:pPr>
      <w:r>
        <w:rPr/>
      </w:r>
    </w:p>
    <w:p>
      <w:pPr>
        <w:pStyle w:val="ListParagraph"/>
        <w:numPr>
          <w:ilvl w:val="0"/>
          <w:numId w:val="2"/>
        </w:numPr>
        <w:tabs>
          <w:tab w:val="clear" w:pos="708"/>
          <w:tab w:val="left" w:pos="284" w:leader="none"/>
        </w:tabs>
        <w:spacing w:before="0" w:after="0"/>
        <w:ind w:left="0" w:hanging="0"/>
        <w:contextualSpacing/>
        <w:jc w:val="center"/>
        <w:rPr>
          <w:b/>
          <w:b/>
          <w:sz w:val="20"/>
          <w:szCs w:val="20"/>
        </w:rPr>
      </w:pPr>
      <w:r>
        <w:rPr>
          <w:b/>
          <w:sz w:val="20"/>
          <w:szCs w:val="20"/>
        </w:rPr>
        <w:t>Обеспечение исполнения Договора</w:t>
      </w:r>
    </w:p>
    <w:p>
      <w:pPr>
        <w:pStyle w:val="ListParagraph"/>
        <w:numPr>
          <w:ilvl w:val="1"/>
          <w:numId w:val="2"/>
        </w:numPr>
        <w:tabs>
          <w:tab w:val="clear" w:pos="708"/>
          <w:tab w:val="left" w:pos="993" w:leader="none"/>
          <w:tab w:val="left" w:pos="1134" w:leader="none"/>
        </w:tabs>
        <w:spacing w:before="0" w:after="0"/>
        <w:ind w:left="0" w:firstLine="567"/>
        <w:contextualSpacing/>
        <w:jc w:val="both"/>
        <w:rPr>
          <w:sz w:val="20"/>
          <w:szCs w:val="20"/>
        </w:rPr>
      </w:pPr>
      <w:r>
        <w:rPr>
          <w:kern w:val="2"/>
          <w:sz w:val="20"/>
          <w:szCs w:val="20"/>
        </w:rPr>
        <w:t xml:space="preserve">Обеспечение исполнения Договора не предусмотрено. </w:t>
      </w:r>
    </w:p>
    <w:p>
      <w:pPr>
        <w:pStyle w:val="ListParagraph"/>
        <w:tabs>
          <w:tab w:val="clear" w:pos="708"/>
          <w:tab w:val="left" w:pos="993" w:leader="none"/>
          <w:tab w:val="left" w:pos="1134" w:leader="none"/>
        </w:tabs>
        <w:ind w:left="567" w:hanging="0"/>
        <w:jc w:val="both"/>
        <w:rPr>
          <w:sz w:val="20"/>
          <w:szCs w:val="20"/>
        </w:rPr>
      </w:pPr>
      <w:r>
        <w:rPr>
          <w:sz w:val="20"/>
          <w:szCs w:val="20"/>
        </w:rPr>
      </w:r>
    </w:p>
    <w:p>
      <w:pPr>
        <w:pStyle w:val="ListParagraph"/>
        <w:keepNext w:val="true"/>
        <w:keepLines/>
        <w:numPr>
          <w:ilvl w:val="0"/>
          <w:numId w:val="2"/>
        </w:numPr>
        <w:tabs>
          <w:tab w:val="clear" w:pos="708"/>
          <w:tab w:val="left" w:pos="284" w:leader="none"/>
        </w:tabs>
        <w:spacing w:before="240" w:after="0"/>
        <w:ind w:left="0" w:hanging="0"/>
        <w:contextualSpacing/>
        <w:jc w:val="center"/>
        <w:outlineLvl w:val="0"/>
        <w:rPr/>
      </w:pPr>
      <w:bookmarkStart w:id="26" w:name="_ref_1-863ffbf6630049"/>
      <w:bookmarkEnd w:id="26"/>
      <w:r>
        <w:rPr>
          <w:b/>
          <w:bCs/>
          <w:sz w:val="20"/>
          <w:szCs w:val="20"/>
        </w:rPr>
        <w:t>Изменение и расторжение договора</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bookmarkStart w:id="27" w:name="_ref_1-fa9997f7492b4a"/>
      <w:bookmarkEnd w:id="27"/>
      <w:r>
        <w:rPr>
          <w:bCs/>
          <w:sz w:val="20"/>
          <w:szCs w:val="20"/>
        </w:rPr>
        <w:t>Расторжение Договора допускается по соглашению Сторон, по решению суда, а также в случае одностороннего отказа от исполнения Договора.</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lang w:eastAsia="en-US"/>
        </w:rPr>
      </w:pPr>
      <w:r>
        <w:rPr>
          <w:bCs/>
          <w:sz w:val="20"/>
          <w:szCs w:val="20"/>
        </w:rPr>
        <w:t>Заказчик вправе принять решение об одностороннем отказе от исполнения Договора по следующим основаниям:</w:t>
      </w:r>
    </w:p>
    <w:p>
      <w:pPr>
        <w:pStyle w:val="Normal"/>
        <w:tabs>
          <w:tab w:val="clear" w:pos="708"/>
          <w:tab w:val="left" w:pos="993" w:leader="none"/>
        </w:tabs>
        <w:spacing w:before="0" w:after="0"/>
        <w:ind w:firstLine="567"/>
        <w:contextualSpacing/>
        <w:jc w:val="both"/>
        <w:rPr/>
      </w:pPr>
      <w:r>
        <w:rPr/>
        <w:t>существенное нарушение Поставщиком требований к качеству товара, а именно обнаружение Заказчиком неустранимых недостатков;</w:t>
      </w:r>
    </w:p>
    <w:p>
      <w:pPr>
        <w:pStyle w:val="Normal"/>
        <w:tabs>
          <w:tab w:val="clear" w:pos="708"/>
          <w:tab w:val="left" w:pos="993" w:leader="none"/>
        </w:tabs>
        <w:spacing w:before="0" w:after="0"/>
        <w:ind w:firstLine="567"/>
        <w:contextualSpacing/>
        <w:jc w:val="both"/>
        <w:rPr/>
      </w:pPr>
      <w:r>
        <w:rPr/>
        <w:t>невыполнение Поставщиком обязательства по передаче вместе с товаром документов или копий документов, предусмотренных Договором;</w:t>
      </w:r>
    </w:p>
    <w:p>
      <w:pPr>
        <w:pStyle w:val="Normal"/>
        <w:tabs>
          <w:tab w:val="clear" w:pos="708"/>
          <w:tab w:val="left" w:pos="993" w:leader="none"/>
        </w:tabs>
        <w:spacing w:before="0" w:after="0"/>
        <w:ind w:firstLine="567"/>
        <w:contextualSpacing/>
        <w:jc w:val="both"/>
        <w:rPr/>
      </w:pPr>
      <w:r>
        <w:rPr/>
        <w:t>невыполнение Поставщиком требования Заказчика о замене товара, доукомплектовании товара, поставки недопоставленного количества товара;</w:t>
      </w:r>
    </w:p>
    <w:p>
      <w:pPr>
        <w:pStyle w:val="Normal"/>
        <w:tabs>
          <w:tab w:val="clear" w:pos="708"/>
          <w:tab w:val="left" w:pos="993" w:leader="none"/>
        </w:tabs>
        <w:spacing w:before="0" w:after="0"/>
        <w:ind w:firstLine="567"/>
        <w:contextualSpacing/>
        <w:jc w:val="both"/>
        <w:rPr/>
      </w:pPr>
      <w:r>
        <w:rPr/>
        <w:t>неоднократное нарушение Поставщиком сроков поставки товара.</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До принятия такого решения Заказчик вправе провести экспертизу поставленных товаров с привлечением экспертов, экспертных организаций.</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Договора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Решение Заказчика об одностороннем отказе от исполнения Договора не позднее чем в течение трех рабочих дней с даты принятия указанного решения,  направляется Поставщику по почте заказным письмом с уведомлением о вручении по адресу Поставщика,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Решение Заказчика об одностороннем отказе от исполнения Договора вступает в силу и Договор считается расторгнутым через десять дней с даты надлежащего уведомления Заказчиком Поставщика об одностороннем отказе от исполнения Договора.</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Заказчик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Поставщика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а также Заказчику компенсированы затраты на проведение экспертизы поставленных товаров с привлечением экспертов, экспертных организаций. Данное правило не применяется в случае повторного нарушения Поставщиком условий Договора, которые в соответствии с гражданским законодательством являются основанием для одностороннего отказа Заказчика от исполнения Договора.</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 xml:space="preserve">Поставщик вправе принять решение об одностороннем отказе от исполнения Договора в случае </w:t>
      </w:r>
      <w:bookmarkStart w:id="28" w:name="sub_523322"/>
      <w:r>
        <w:rPr>
          <w:bCs/>
          <w:sz w:val="20"/>
          <w:szCs w:val="20"/>
        </w:rPr>
        <w:t>неоднократного нарушения сроков оплаты товара.</w:t>
      </w:r>
      <w:bookmarkEnd w:id="28"/>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 xml:space="preserve">Решение Поставщика об одностороннем отказе от исполнения Договора не позднее чем в течение трех рабочих дней с даты принятия такого решения, направляется Заказчику по почте заказным письмом с уведомлением о вручении по адресу Заказчика,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w:t>
      </w:r>
    </w:p>
    <w:p>
      <w:pPr>
        <w:pStyle w:val="ListParagraph"/>
        <w:numPr>
          <w:ilvl w:val="1"/>
          <w:numId w:val="2"/>
        </w:numPr>
        <w:tabs>
          <w:tab w:val="clear" w:pos="708"/>
          <w:tab w:val="left" w:pos="993" w:leader="none"/>
          <w:tab w:val="left" w:pos="1134" w:leader="none"/>
        </w:tabs>
        <w:spacing w:before="0" w:after="0"/>
        <w:ind w:left="0" w:firstLine="567"/>
        <w:contextualSpacing/>
        <w:jc w:val="both"/>
        <w:outlineLvl w:val="1"/>
        <w:rPr>
          <w:bCs/>
          <w:sz w:val="20"/>
          <w:szCs w:val="20"/>
        </w:rPr>
      </w:pPr>
      <w:r>
        <w:rPr>
          <w:bCs/>
          <w:sz w:val="20"/>
          <w:szCs w:val="20"/>
        </w:rPr>
        <w:t>Решение Поставщика об одностороннем отказе от исполнения Договора вступает в силу и Договор считается расторгнутым через десять дней с даты надлежащего уведомления Поставщиком Заказчика об одностороннем отказе от исполнения Договора.</w:t>
      </w:r>
    </w:p>
    <w:p>
      <w:pPr>
        <w:pStyle w:val="ListParagraph"/>
        <w:numPr>
          <w:ilvl w:val="1"/>
          <w:numId w:val="2"/>
        </w:numPr>
        <w:tabs>
          <w:tab w:val="clear" w:pos="708"/>
          <w:tab w:val="left" w:pos="993" w:leader="none"/>
          <w:tab w:val="left" w:pos="1134" w:leader="none"/>
        </w:tabs>
        <w:spacing w:before="0" w:after="0"/>
        <w:ind w:left="0" w:firstLine="567"/>
        <w:contextualSpacing/>
        <w:jc w:val="both"/>
        <w:outlineLvl w:val="1"/>
        <w:rPr>
          <w:bCs/>
          <w:sz w:val="20"/>
          <w:szCs w:val="20"/>
        </w:rPr>
      </w:pPr>
      <w:r>
        <w:rPr>
          <w:bCs/>
          <w:sz w:val="20"/>
          <w:szCs w:val="20"/>
        </w:rPr>
        <w:t>Поставщик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Заказчика о принятом решении об одностороннем отказе от исполнения Договора устранены нарушения условий Договора, послужившие основанием для принятия указанного решения.</w:t>
      </w:r>
    </w:p>
    <w:p>
      <w:pPr>
        <w:pStyle w:val="ListParagraph"/>
        <w:numPr>
          <w:ilvl w:val="1"/>
          <w:numId w:val="2"/>
        </w:numPr>
        <w:tabs>
          <w:tab w:val="clear" w:pos="708"/>
          <w:tab w:val="left" w:pos="993" w:leader="none"/>
          <w:tab w:val="left" w:pos="1134" w:leader="none"/>
        </w:tabs>
        <w:spacing w:before="0" w:after="0"/>
        <w:ind w:left="0" w:firstLine="567"/>
        <w:contextualSpacing/>
        <w:jc w:val="both"/>
        <w:outlineLvl w:val="1"/>
        <w:rPr>
          <w:bCs/>
          <w:sz w:val="20"/>
          <w:szCs w:val="20"/>
        </w:rPr>
      </w:pPr>
      <w:r>
        <w:rPr>
          <w:bCs/>
          <w:sz w:val="20"/>
          <w:szCs w:val="20"/>
        </w:rPr>
        <w:t>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pPr>
        <w:pStyle w:val="ListParagraph"/>
        <w:numPr>
          <w:ilvl w:val="1"/>
          <w:numId w:val="2"/>
        </w:numPr>
        <w:tabs>
          <w:tab w:val="clear" w:pos="708"/>
          <w:tab w:val="left" w:pos="993" w:leader="none"/>
          <w:tab w:val="left" w:pos="1134" w:leader="none"/>
        </w:tabs>
        <w:spacing w:before="0" w:after="0"/>
        <w:ind w:left="0" w:firstLine="567"/>
        <w:contextualSpacing/>
        <w:jc w:val="both"/>
        <w:outlineLvl w:val="1"/>
        <w:rPr>
          <w:bCs/>
          <w:sz w:val="20"/>
          <w:szCs w:val="20"/>
        </w:rPr>
      </w:pPr>
      <w:r>
        <w:rPr>
          <w:bCs/>
          <w:sz w:val="20"/>
          <w:szCs w:val="20"/>
        </w:rPr>
        <w:t>Расторжение Договора по соглашению Сторон совершается в письменной форме и возможно в случае наступления условий, при которых для одной из Сторон или обеих Сторон дальнейшее исполнение обязательств по Договору невозможно либо возникает нецелесообразность исполнения Договора.</w:t>
      </w:r>
    </w:p>
    <w:p>
      <w:pPr>
        <w:pStyle w:val="ListParagraph"/>
        <w:numPr>
          <w:ilvl w:val="1"/>
          <w:numId w:val="2"/>
        </w:numPr>
        <w:tabs>
          <w:tab w:val="clear" w:pos="708"/>
          <w:tab w:val="left" w:pos="993" w:leader="none"/>
          <w:tab w:val="left" w:pos="1134" w:leader="none"/>
        </w:tabs>
        <w:spacing w:before="0" w:after="0"/>
        <w:ind w:left="0" w:firstLine="567"/>
        <w:contextualSpacing/>
        <w:jc w:val="both"/>
        <w:outlineLvl w:val="1"/>
        <w:rPr>
          <w:bCs/>
          <w:sz w:val="20"/>
          <w:szCs w:val="20"/>
        </w:rPr>
      </w:pPr>
      <w:r>
        <w:rPr>
          <w:bCs/>
          <w:sz w:val="20"/>
          <w:szCs w:val="20"/>
        </w:rPr>
        <w:t>В случае расторжения Договора по соглашению Сторон Поставщик возвращает Заказчику все денежные средства, перечисленные для исполнения обязательств по Договору, а Заказчик оплачивает расходы (издержки) Поставщика за фактически исполненные обязательства по Договору.</w:t>
      </w:r>
    </w:p>
    <w:p>
      <w:pPr>
        <w:pStyle w:val="ListParagraph"/>
        <w:numPr>
          <w:ilvl w:val="1"/>
          <w:numId w:val="2"/>
        </w:numPr>
        <w:tabs>
          <w:tab w:val="clear" w:pos="708"/>
          <w:tab w:val="left" w:pos="993" w:leader="none"/>
          <w:tab w:val="left" w:pos="1134" w:leader="none"/>
        </w:tabs>
        <w:spacing w:before="0" w:after="0"/>
        <w:ind w:left="0" w:firstLine="567"/>
        <w:contextualSpacing/>
        <w:jc w:val="both"/>
        <w:outlineLvl w:val="1"/>
        <w:rPr>
          <w:bCs/>
          <w:sz w:val="20"/>
          <w:szCs w:val="20"/>
        </w:rPr>
      </w:pPr>
      <w:r>
        <w:rPr>
          <w:bCs/>
          <w:sz w:val="20"/>
          <w:szCs w:val="20"/>
        </w:rPr>
        <w:t>Требование о расторжении Договора может быть заявлено Стороной в суд только после получения отказа другой Стороны на предложение расторгнуть Договор либо неполучения ответа в течение 10 (десяти) дней с даты получения предложения о расторжении Договора.</w:t>
      </w:r>
    </w:p>
    <w:p>
      <w:pPr>
        <w:pStyle w:val="ListParagraph"/>
        <w:numPr>
          <w:ilvl w:val="1"/>
          <w:numId w:val="2"/>
        </w:numPr>
        <w:tabs>
          <w:tab w:val="clear" w:pos="708"/>
          <w:tab w:val="left" w:pos="993" w:leader="none"/>
          <w:tab w:val="left" w:pos="1134" w:leader="none"/>
        </w:tabs>
        <w:spacing w:before="0" w:after="0"/>
        <w:ind w:left="0" w:firstLine="567"/>
        <w:contextualSpacing/>
        <w:jc w:val="both"/>
        <w:outlineLvl w:val="1"/>
        <w:rPr>
          <w:bCs/>
          <w:sz w:val="20"/>
          <w:szCs w:val="20"/>
        </w:rPr>
      </w:pPr>
      <w:r>
        <w:rPr>
          <w:bCs/>
          <w:sz w:val="20"/>
          <w:szCs w:val="20"/>
        </w:rPr>
        <w:t>Расторжение Договора влечет прекращение обязательств Сторон по Договору, за исключением обязательств по оплате поставленного товара, связанных с недостатками товара, неисполненных на дату расторжения Договора, и не освобождает Стороны от ответственности за неисполнение обязательств по Договору, которое имело место до дня расторжения Договора.</w:t>
      </w:r>
    </w:p>
    <w:p>
      <w:pPr>
        <w:pStyle w:val="ListParagraph"/>
        <w:numPr>
          <w:ilvl w:val="1"/>
          <w:numId w:val="2"/>
        </w:numPr>
        <w:tabs>
          <w:tab w:val="clear" w:pos="708"/>
          <w:tab w:val="left" w:pos="993" w:leader="none"/>
          <w:tab w:val="left" w:pos="1134" w:leader="none"/>
        </w:tabs>
        <w:spacing w:before="0" w:after="0"/>
        <w:ind w:left="0" w:firstLine="567"/>
        <w:contextualSpacing/>
        <w:jc w:val="both"/>
        <w:outlineLvl w:val="1"/>
        <w:rPr/>
      </w:pPr>
      <w:r>
        <w:rPr>
          <w:bCs/>
          <w:sz w:val="20"/>
          <w:szCs w:val="20"/>
        </w:rPr>
        <w:t>Договоры, заключенные по результатам закупок, изменяются в порядке и по основаниям, которые предусмотрены положениями этих договоров, а также законодательством РФ, с учетом особенностей, установленных Положением о закупке заказчика и документацией о закупке.</w:t>
      </w:r>
    </w:p>
    <w:p>
      <w:pPr>
        <w:pStyle w:val="ListParagraph"/>
        <w:numPr>
          <w:ilvl w:val="1"/>
          <w:numId w:val="2"/>
        </w:numPr>
        <w:tabs>
          <w:tab w:val="clear" w:pos="708"/>
          <w:tab w:val="left" w:pos="993" w:leader="none"/>
          <w:tab w:val="left" w:pos="1134" w:leader="none"/>
        </w:tabs>
        <w:spacing w:before="0" w:after="0"/>
        <w:ind w:left="0" w:firstLine="567"/>
        <w:contextualSpacing/>
        <w:jc w:val="both"/>
        <w:outlineLvl w:val="1"/>
        <w:rPr/>
      </w:pPr>
      <w:r>
        <w:rPr>
          <w:bCs/>
          <w:sz w:val="20"/>
          <w:szCs w:val="20"/>
        </w:rPr>
        <w:t>При исполнении договора не допускается перемена поставщика (исполнителя, подрядчика), за исключением случая, если новый поставщик (исполнитель, подрядчик) является правопреемником поставщика (исполнителя, подрядчика) по такому договору вследствие реорганизации юридического лица в форме преобразования, слияния или присоединения.</w:t>
      </w:r>
    </w:p>
    <w:p>
      <w:pPr>
        <w:pStyle w:val="ListParagraph"/>
        <w:numPr>
          <w:ilvl w:val="1"/>
          <w:numId w:val="2"/>
        </w:numPr>
        <w:tabs>
          <w:tab w:val="clear" w:pos="708"/>
          <w:tab w:val="left" w:pos="993" w:leader="none"/>
          <w:tab w:val="left" w:pos="1134" w:leader="none"/>
        </w:tabs>
        <w:spacing w:before="0" w:after="0"/>
        <w:ind w:left="0" w:firstLine="567"/>
        <w:contextualSpacing/>
        <w:jc w:val="both"/>
        <w:outlineLvl w:val="1"/>
        <w:rPr/>
      </w:pPr>
      <w:r>
        <w:rPr>
          <w:bCs/>
          <w:sz w:val="20"/>
          <w:szCs w:val="20"/>
        </w:rPr>
        <w:t>Если договор предусматривает поставку товара российского происхождения, в отношении которого установлены запрет, ограничение, преимущество, предусмотренные п. 1 ч. 2 ст. 3.1-4 Закона № 223-ФЗ, при исполнении договора не допускается замена такого товара на происходящий из иностранного государства товар. Если договор заключен с российским лицом и установлены запрет, ограничение, преимущество, предусмотренные п. 1 ч. 2 ст. 3.1-4 Закона № 223-ФЗ, не допускается перемена подрядчика (исполнителя) (в случае, если эта перемена допускается гражданским законодательством), с которым заключен договор, на иностранное лицо.</w:t>
      </w:r>
    </w:p>
    <w:p>
      <w:pPr>
        <w:pStyle w:val="Normal"/>
        <w:numPr>
          <w:ilvl w:val="0"/>
          <w:numId w:val="0"/>
        </w:numPr>
        <w:tabs>
          <w:tab w:val="clear" w:pos="708"/>
          <w:tab w:val="left" w:pos="993" w:leader="none"/>
          <w:tab w:val="left" w:pos="1134" w:leader="none"/>
        </w:tabs>
        <w:spacing w:before="0" w:after="0"/>
        <w:ind w:left="0" w:hanging="0"/>
        <w:contextualSpacing/>
        <w:jc w:val="both"/>
        <w:outlineLvl w:val="1"/>
        <w:rPr>
          <w:bCs/>
        </w:rPr>
      </w:pPr>
      <w:r>
        <w:rPr>
          <w:bCs/>
        </w:rPr>
      </w:r>
    </w:p>
    <w:p>
      <w:pPr>
        <w:pStyle w:val="Normal"/>
        <w:numPr>
          <w:ilvl w:val="0"/>
          <w:numId w:val="0"/>
        </w:numPr>
        <w:tabs>
          <w:tab w:val="clear" w:pos="708"/>
          <w:tab w:val="left" w:pos="993" w:leader="none"/>
          <w:tab w:val="left" w:pos="1134" w:leader="none"/>
        </w:tabs>
        <w:spacing w:before="0" w:after="0"/>
        <w:ind w:left="0" w:hanging="0"/>
        <w:contextualSpacing/>
        <w:jc w:val="both"/>
        <w:outlineLvl w:val="1"/>
        <w:rPr>
          <w:bCs/>
        </w:rPr>
      </w:pPr>
      <w:r>
        <w:rPr>
          <w:bCs/>
        </w:rPr>
      </w:r>
    </w:p>
    <w:p>
      <w:pPr>
        <w:pStyle w:val="ListParagraph"/>
        <w:keepNext w:val="true"/>
        <w:keepLines/>
        <w:numPr>
          <w:ilvl w:val="0"/>
          <w:numId w:val="2"/>
        </w:numPr>
        <w:tabs>
          <w:tab w:val="clear" w:pos="708"/>
          <w:tab w:val="left" w:pos="426" w:leader="none"/>
        </w:tabs>
        <w:spacing w:before="240" w:after="0"/>
        <w:ind w:left="0" w:hanging="0"/>
        <w:contextualSpacing/>
        <w:jc w:val="center"/>
        <w:outlineLvl w:val="0"/>
        <w:rPr>
          <w:b/>
          <w:b/>
          <w:bCs/>
          <w:sz w:val="20"/>
          <w:szCs w:val="20"/>
        </w:rPr>
      </w:pPr>
      <w:r>
        <w:rPr>
          <w:b/>
          <w:bCs/>
          <w:sz w:val="20"/>
          <w:szCs w:val="20"/>
        </w:rPr>
        <w:t>Форс-мажорные обстоятельства</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 xml:space="preserve">Стороны освобождаются от ответственности за частичное или полное невыполнение обязательств по Договору, если оно явилось следствием обстоятельств непреодолимой силы (форс-мажор), а именно: пожара, наводнения, землетрясения, войны, военных действий, блокады, эмбарго, общих забастовок, и, если эти обстоятельства непосредственно повлияли на исполнение Договора. </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Сторона, для которой создалась невозможность выполнения обязательств по Договору, обязана немедленно (в течение 3 (трех) дней) известить другую Сторону о наступлении и прекращении вышеуказанных обстоятельств, указанных в пункте 8.1 Договора. Несвоевременное извещение об этих обстоятельствах лишает, соответствующую Сторону права ссылается на них в будущем.</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Обязанность доказать наличие обстоятельств непреодолимой силы лежит на Стороне Договора, не выполнившей свои обязательства по Договору.</w:t>
      </w:r>
    </w:p>
    <w:p>
      <w:pPr>
        <w:pStyle w:val="ListParagraph"/>
        <w:numPr>
          <w:ilvl w:val="1"/>
          <w:numId w:val="2"/>
        </w:numPr>
        <w:tabs>
          <w:tab w:val="clear" w:pos="708"/>
          <w:tab w:val="left" w:pos="993" w:leader="none"/>
        </w:tabs>
        <w:spacing w:before="0" w:after="0"/>
        <w:ind w:left="0" w:firstLine="567"/>
        <w:contextualSpacing/>
        <w:jc w:val="both"/>
        <w:outlineLvl w:val="1"/>
        <w:rPr>
          <w:bCs/>
          <w:sz w:val="20"/>
          <w:szCs w:val="20"/>
        </w:rPr>
      </w:pPr>
      <w:r>
        <w:rPr>
          <w:bCs/>
          <w:sz w:val="20"/>
          <w:szCs w:val="20"/>
        </w:rPr>
        <w:t>Если обстоятельства, указанные в пункте 8.1 Договора, и их последствия будут длиться более 1 (одного) месяца, то Стороны вправе расторгнуть Договор. В этом случае ни одна из Сторон не имеет права потребовать от другой Стороны возмещения убытков.</w:t>
      </w:r>
    </w:p>
    <w:p>
      <w:pPr>
        <w:pStyle w:val="Normal"/>
        <w:ind w:firstLine="567"/>
        <w:jc w:val="both"/>
        <w:rPr/>
      </w:pPr>
      <w:r>
        <w:rPr/>
      </w:r>
    </w:p>
    <w:p>
      <w:pPr>
        <w:pStyle w:val="ListParagraph"/>
        <w:keepNext w:val="true"/>
        <w:keepLines/>
        <w:numPr>
          <w:ilvl w:val="0"/>
          <w:numId w:val="2"/>
        </w:numPr>
        <w:tabs>
          <w:tab w:val="clear" w:pos="708"/>
          <w:tab w:val="left" w:pos="426" w:leader="none"/>
        </w:tabs>
        <w:spacing w:before="0" w:after="0"/>
        <w:ind w:left="0" w:hanging="0"/>
        <w:contextualSpacing/>
        <w:jc w:val="center"/>
        <w:outlineLvl w:val="0"/>
        <w:rPr>
          <w:b/>
          <w:b/>
          <w:bCs/>
          <w:sz w:val="20"/>
          <w:szCs w:val="20"/>
        </w:rPr>
      </w:pPr>
      <w:r>
        <w:rPr>
          <w:b/>
          <w:bCs/>
          <w:sz w:val="20"/>
          <w:szCs w:val="20"/>
        </w:rPr>
        <w:t>Разрешение споров</w:t>
      </w:r>
    </w:p>
    <w:p>
      <w:pPr>
        <w:pStyle w:val="ListParagraph"/>
        <w:numPr>
          <w:ilvl w:val="1"/>
          <w:numId w:val="2"/>
        </w:numPr>
        <w:tabs>
          <w:tab w:val="clear" w:pos="708"/>
          <w:tab w:val="left" w:pos="1134" w:leader="none"/>
        </w:tabs>
        <w:spacing w:before="0" w:after="0"/>
        <w:ind w:left="0" w:firstLine="567"/>
        <w:contextualSpacing/>
        <w:jc w:val="both"/>
        <w:outlineLvl w:val="1"/>
        <w:rPr>
          <w:bCs/>
          <w:sz w:val="20"/>
          <w:szCs w:val="20"/>
        </w:rPr>
      </w:pPr>
      <w:bookmarkStart w:id="29" w:name="_ref_1-f9e8a7aa2bfb4f"/>
      <w:bookmarkEnd w:id="29"/>
      <w:r>
        <w:rPr>
          <w:bCs/>
          <w:sz w:val="20"/>
          <w:szCs w:val="20"/>
        </w:rPr>
        <w:t>Досудебный (претензионный) порядок разрешения споров</w:t>
      </w:r>
    </w:p>
    <w:p>
      <w:pPr>
        <w:pStyle w:val="ListParagraph"/>
        <w:numPr>
          <w:ilvl w:val="1"/>
          <w:numId w:val="2"/>
        </w:numPr>
        <w:tabs>
          <w:tab w:val="clear" w:pos="708"/>
          <w:tab w:val="left" w:pos="1134" w:leader="none"/>
        </w:tabs>
        <w:spacing w:before="0" w:after="0"/>
        <w:ind w:left="0" w:firstLine="567"/>
        <w:contextualSpacing/>
        <w:jc w:val="both"/>
        <w:outlineLvl w:val="2"/>
        <w:rPr>
          <w:bCs/>
          <w:sz w:val="20"/>
          <w:szCs w:val="20"/>
        </w:rPr>
      </w:pPr>
      <w:bookmarkStart w:id="30" w:name="_ref_1-2b3cd2cc368140"/>
      <w:bookmarkEnd w:id="30"/>
      <w:r>
        <w:rPr>
          <w:bCs/>
          <w:sz w:val="20"/>
          <w:szCs w:val="20"/>
        </w:rPr>
        <w:t>До предъявления иска, вытекающего из Договора, сторона, которая считает, что ее права нарушены (далее - заинтересованная сторона), обязана направить другой стороне письменную претензию.</w:t>
      </w:r>
      <w:bookmarkStart w:id="31" w:name="_ref_1-0dfee3d218bc40"/>
      <w:bookmarkEnd w:id="31"/>
    </w:p>
    <w:p>
      <w:pPr>
        <w:pStyle w:val="ListParagraph"/>
        <w:numPr>
          <w:ilvl w:val="1"/>
          <w:numId w:val="2"/>
        </w:numPr>
        <w:tabs>
          <w:tab w:val="clear" w:pos="708"/>
          <w:tab w:val="left" w:pos="1134" w:leader="none"/>
        </w:tabs>
        <w:spacing w:before="0" w:after="0"/>
        <w:ind w:left="0" w:firstLine="567"/>
        <w:contextualSpacing/>
        <w:jc w:val="both"/>
        <w:outlineLvl w:val="2"/>
        <w:rPr>
          <w:bCs/>
          <w:sz w:val="20"/>
          <w:szCs w:val="20"/>
        </w:rPr>
      </w:pPr>
      <w:r>
        <w:rPr>
          <w:bCs/>
          <w:sz w:val="20"/>
          <w:szCs w:val="20"/>
        </w:rPr>
        <w:t>Претензия должна содержать требования заинтересованной стороны и их обоснование с указанием нарушенных другой стороной норм законодательства и (или) условий Договора. К претензии необходимо приложить копии документов, подтверждающих изложенные в ней обстоятельства.</w:t>
      </w:r>
      <w:bookmarkStart w:id="32" w:name="_ref_1-bde82292778d45"/>
      <w:bookmarkEnd w:id="32"/>
    </w:p>
    <w:p>
      <w:pPr>
        <w:pStyle w:val="ListParagraph"/>
        <w:numPr>
          <w:ilvl w:val="1"/>
          <w:numId w:val="2"/>
        </w:numPr>
        <w:tabs>
          <w:tab w:val="clear" w:pos="708"/>
          <w:tab w:val="left" w:pos="1134" w:leader="none"/>
        </w:tabs>
        <w:spacing w:before="0" w:after="0"/>
        <w:ind w:left="0" w:firstLine="567"/>
        <w:contextualSpacing/>
        <w:jc w:val="both"/>
        <w:outlineLvl w:val="2"/>
        <w:rPr>
          <w:bCs/>
          <w:sz w:val="20"/>
          <w:szCs w:val="20"/>
        </w:rPr>
      </w:pPr>
      <w:r>
        <w:rPr>
          <w:bCs/>
          <w:sz w:val="20"/>
          <w:szCs w:val="20"/>
        </w:rPr>
        <w:t>Сторона, которая получила претензию, обязана ее рассмотреть и направить письменный мотивированный ответ другой стороне в течение 10 рабочих дней с момента получения претензии.</w:t>
      </w:r>
      <w:bookmarkStart w:id="33" w:name="_ref_1-816e24104b0d44"/>
      <w:bookmarkEnd w:id="33"/>
    </w:p>
    <w:p>
      <w:pPr>
        <w:pStyle w:val="ListParagraph"/>
        <w:numPr>
          <w:ilvl w:val="1"/>
          <w:numId w:val="2"/>
        </w:numPr>
        <w:tabs>
          <w:tab w:val="clear" w:pos="708"/>
          <w:tab w:val="left" w:pos="1134" w:leader="none"/>
        </w:tabs>
        <w:spacing w:before="0" w:after="0"/>
        <w:ind w:left="0" w:firstLine="567"/>
        <w:contextualSpacing/>
        <w:jc w:val="both"/>
        <w:outlineLvl w:val="2"/>
        <w:rPr>
          <w:bCs/>
          <w:sz w:val="20"/>
          <w:szCs w:val="20"/>
        </w:rPr>
      </w:pPr>
      <w:r>
        <w:rPr>
          <w:bCs/>
          <w:sz w:val="20"/>
          <w:szCs w:val="20"/>
        </w:rPr>
        <w:t>Заинтересованная сторона вправе передать спор на рассмотрение суда по истечении 10 рабочих дней со дня направления претензии.</w:t>
      </w:r>
      <w:bookmarkStart w:id="34" w:name="_ref_1-381a32beff3246"/>
      <w:bookmarkEnd w:id="34"/>
    </w:p>
    <w:p>
      <w:pPr>
        <w:pStyle w:val="ListParagraph"/>
        <w:numPr>
          <w:ilvl w:val="1"/>
          <w:numId w:val="2"/>
        </w:numPr>
        <w:tabs>
          <w:tab w:val="clear" w:pos="708"/>
          <w:tab w:val="left" w:pos="1134" w:leader="none"/>
        </w:tabs>
        <w:spacing w:before="0" w:after="0"/>
        <w:ind w:left="0" w:firstLine="567"/>
        <w:contextualSpacing/>
        <w:jc w:val="both"/>
        <w:outlineLvl w:val="2"/>
        <w:rPr>
          <w:bCs/>
          <w:sz w:val="20"/>
          <w:szCs w:val="20"/>
        </w:rPr>
      </w:pPr>
      <w:r>
        <w:rPr>
          <w:bCs/>
          <w:sz w:val="20"/>
          <w:szCs w:val="20"/>
        </w:rPr>
        <w:t>Все споры, вытекающие из Договора, подлежат рассмотрению арбитражным судом Алтайского края.</w:t>
      </w:r>
    </w:p>
    <w:p>
      <w:pPr>
        <w:pStyle w:val="ListParagraph"/>
        <w:numPr>
          <w:ilvl w:val="0"/>
          <w:numId w:val="0"/>
        </w:numPr>
        <w:tabs>
          <w:tab w:val="clear" w:pos="708"/>
          <w:tab w:val="left" w:pos="1134" w:leader="none"/>
        </w:tabs>
        <w:ind w:left="567" w:hanging="0"/>
        <w:jc w:val="both"/>
        <w:outlineLvl w:val="2"/>
        <w:rPr>
          <w:bCs/>
          <w:sz w:val="20"/>
          <w:szCs w:val="20"/>
        </w:rPr>
      </w:pPr>
      <w:r>
        <w:rPr>
          <w:bCs/>
          <w:sz w:val="20"/>
          <w:szCs w:val="20"/>
        </w:rPr>
      </w:r>
    </w:p>
    <w:p>
      <w:pPr>
        <w:pStyle w:val="ListParagraph"/>
        <w:keepNext w:val="true"/>
        <w:keepLines/>
        <w:numPr>
          <w:ilvl w:val="0"/>
          <w:numId w:val="2"/>
        </w:numPr>
        <w:tabs>
          <w:tab w:val="clear" w:pos="708"/>
          <w:tab w:val="left" w:pos="426" w:leader="none"/>
        </w:tabs>
        <w:spacing w:before="240" w:after="0"/>
        <w:ind w:left="0" w:hanging="0"/>
        <w:contextualSpacing/>
        <w:jc w:val="center"/>
        <w:outlineLvl w:val="0"/>
        <w:rPr/>
      </w:pPr>
      <w:bookmarkStart w:id="35" w:name="_ref_1-584e0ed997b74e"/>
      <w:bookmarkEnd w:id="35"/>
      <w:r>
        <w:rPr>
          <w:b/>
          <w:bCs/>
          <w:sz w:val="20"/>
          <w:szCs w:val="20"/>
        </w:rPr>
        <w:t>Заключительные положения</w:t>
      </w:r>
    </w:p>
    <w:p>
      <w:pPr>
        <w:pStyle w:val="ListParagraph"/>
        <w:numPr>
          <w:ilvl w:val="1"/>
          <w:numId w:val="2"/>
        </w:numPr>
        <w:tabs>
          <w:tab w:val="clear" w:pos="708"/>
          <w:tab w:val="left" w:pos="1134" w:leader="none"/>
        </w:tabs>
        <w:spacing w:before="0" w:after="0"/>
        <w:ind w:left="0" w:firstLine="567"/>
        <w:contextualSpacing/>
        <w:jc w:val="both"/>
        <w:outlineLvl w:val="1"/>
        <w:rPr/>
      </w:pPr>
      <w:bookmarkStart w:id="36" w:name="_ref_1-469fb396b38049"/>
      <w:bookmarkEnd w:id="36"/>
      <w:r>
        <w:rPr>
          <w:bCs/>
          <w:sz w:val="20"/>
          <w:szCs w:val="20"/>
        </w:rPr>
        <w:t>Договор вступает в силу и становится обязательным для сторон с момента его заключения</w:t>
      </w:r>
      <w:bookmarkStart w:id="37" w:name="_ref_1-0abe67956f1349"/>
      <w:bookmarkEnd w:id="37"/>
      <w:r>
        <w:rPr>
          <w:bCs/>
          <w:sz w:val="20"/>
          <w:szCs w:val="20"/>
        </w:rPr>
        <w:t>.</w:t>
      </w:r>
    </w:p>
    <w:p>
      <w:pPr>
        <w:pStyle w:val="ListParagraph"/>
        <w:numPr>
          <w:ilvl w:val="1"/>
          <w:numId w:val="2"/>
        </w:numPr>
        <w:tabs>
          <w:tab w:val="clear" w:pos="708"/>
          <w:tab w:val="left" w:pos="1134" w:leader="none"/>
        </w:tabs>
        <w:spacing w:before="0" w:after="0"/>
        <w:ind w:left="0" w:firstLine="567"/>
        <w:contextualSpacing/>
        <w:jc w:val="both"/>
        <w:outlineLvl w:val="1"/>
        <w:rPr/>
      </w:pPr>
      <w:r>
        <w:rPr>
          <w:bCs/>
          <w:sz w:val="20"/>
          <w:szCs w:val="20"/>
        </w:rPr>
        <w:t>Договор действует до 31.</w:t>
      </w:r>
      <w:r>
        <w:rPr>
          <w:bCs/>
          <w:sz w:val="20"/>
          <w:szCs w:val="20"/>
        </w:rPr>
        <w:t>03</w:t>
      </w:r>
      <w:r>
        <w:rPr>
          <w:bCs/>
          <w:sz w:val="20"/>
          <w:szCs w:val="20"/>
        </w:rPr>
        <w:t>.202</w:t>
      </w:r>
      <w:r>
        <w:rPr>
          <w:bCs/>
          <w:sz w:val="20"/>
          <w:szCs w:val="20"/>
        </w:rPr>
        <w:t>7</w:t>
      </w:r>
      <w:r>
        <w:rPr>
          <w:bCs/>
          <w:sz w:val="20"/>
          <w:szCs w:val="20"/>
        </w:rPr>
        <w:t xml:space="preserve"> года включительно, а в части неисполненных обязательств - до полного их исполнения Сторонами. Окончание срока действия настоящего Договора не влечет прекращения неисполненных обязательств Сторон по настоящему Договору. Окончание срока действия настоящего договора не влечет за собой прекращение обязательств Заказчика по оплате и не освобождает стороны от ответственности за нарушения, имевшие место при исполнении настоящего договора.</w:t>
      </w:r>
    </w:p>
    <w:p>
      <w:pPr>
        <w:pStyle w:val="ListParagraph"/>
        <w:numPr>
          <w:ilvl w:val="1"/>
          <w:numId w:val="2"/>
        </w:numPr>
        <w:tabs>
          <w:tab w:val="clear" w:pos="708"/>
          <w:tab w:val="left" w:pos="1134" w:leader="none"/>
        </w:tabs>
        <w:spacing w:before="0" w:after="0"/>
        <w:ind w:left="0" w:firstLine="567"/>
        <w:contextualSpacing/>
        <w:jc w:val="both"/>
        <w:outlineLvl w:val="1"/>
        <w:rPr/>
      </w:pPr>
      <w:r>
        <w:rPr>
          <w:bCs/>
          <w:sz w:val="20"/>
          <w:szCs w:val="20"/>
        </w:rPr>
        <w:t xml:space="preserve">Договор составлен </w:t>
      </w:r>
      <w:bookmarkStart w:id="38" w:name="_ref_1-a36067250cfd45"/>
      <w:bookmarkEnd w:id="38"/>
      <w:r>
        <w:rPr/>
        <w:t xml:space="preserve">  </w:t>
      </w:r>
      <w:bookmarkStart w:id="39" w:name="_Hlk228180921"/>
      <w:r>
        <w:rPr>
          <w:sz w:val="20"/>
          <w:szCs w:val="20"/>
        </w:rPr>
        <w:t>в форме электронного документа, подписанного уполномоченными лицами Сторон с использованием усиленной квалифицированной электронной подписи.</w:t>
      </w:r>
      <w:bookmarkEnd w:id="39"/>
    </w:p>
    <w:p>
      <w:pPr>
        <w:pStyle w:val="ListParagraph"/>
        <w:numPr>
          <w:ilvl w:val="1"/>
          <w:numId w:val="2"/>
        </w:numPr>
        <w:tabs>
          <w:tab w:val="clear" w:pos="708"/>
          <w:tab w:val="left" w:pos="1134" w:leader="none"/>
        </w:tabs>
        <w:spacing w:before="0" w:after="0"/>
        <w:ind w:left="0" w:firstLine="567"/>
        <w:contextualSpacing/>
        <w:jc w:val="both"/>
        <w:outlineLvl w:val="1"/>
        <w:rPr/>
      </w:pPr>
      <w:r>
        <w:rPr>
          <w:bCs/>
          <w:sz w:val="20"/>
          <w:szCs w:val="20"/>
        </w:rPr>
        <w:t>Приложения к договору:</w:t>
      </w:r>
    </w:p>
    <w:p>
      <w:pPr>
        <w:pStyle w:val="Normal"/>
        <w:numPr>
          <w:ilvl w:val="0"/>
          <w:numId w:val="0"/>
        </w:numPr>
        <w:ind w:left="0" w:firstLine="567"/>
        <w:jc w:val="both"/>
        <w:outlineLvl w:val="2"/>
        <w:rPr/>
      </w:pPr>
      <w:bookmarkStart w:id="40" w:name="_ref_1-fa3a775b777f43"/>
      <w:bookmarkEnd w:id="40"/>
      <w:r>
        <w:rPr>
          <w:bCs/>
        </w:rPr>
        <w:t>Приложение  Спецификация товара</w:t>
      </w:r>
    </w:p>
    <w:p>
      <w:pPr>
        <w:pStyle w:val="Normal"/>
        <w:numPr>
          <w:ilvl w:val="0"/>
          <w:numId w:val="0"/>
        </w:numPr>
        <w:ind w:left="0" w:firstLine="567"/>
        <w:jc w:val="both"/>
        <w:outlineLvl w:val="2"/>
        <w:rPr/>
      </w:pPr>
      <w:r>
        <w:rPr>
          <w:bCs/>
        </w:rPr>
        <w:t>Приложение № 2 Перечень АЗС</w:t>
      </w:r>
    </w:p>
    <w:p>
      <w:pPr>
        <w:pStyle w:val="ListParagraph"/>
        <w:keepNext w:val="true"/>
        <w:keepLines/>
        <w:numPr>
          <w:ilvl w:val="0"/>
          <w:numId w:val="2"/>
        </w:numPr>
        <w:tabs>
          <w:tab w:val="clear" w:pos="708"/>
          <w:tab w:val="left" w:pos="426" w:leader="none"/>
        </w:tabs>
        <w:spacing w:before="240" w:after="0"/>
        <w:ind w:left="0" w:hanging="0"/>
        <w:contextualSpacing/>
        <w:jc w:val="center"/>
        <w:outlineLvl w:val="0"/>
        <w:rPr/>
      </w:pPr>
      <w:r>
        <w:rPr>
          <w:b/>
          <w:bCs/>
          <w:sz w:val="20"/>
          <w:szCs w:val="20"/>
        </w:rPr>
        <w:t>Адреса и реквизиты сторон</w:t>
      </w:r>
    </w:p>
    <w:p>
      <w:pPr>
        <w:pStyle w:val="Normal"/>
        <w:ind w:firstLine="567"/>
        <w:jc w:val="both"/>
        <w:rPr/>
      </w:pPr>
      <w:r>
        <w:rPr/>
      </w:r>
      <w:bookmarkStart w:id="41" w:name="_docEnd_1"/>
      <w:bookmarkStart w:id="42" w:name="_docEnd_1"/>
      <w:bookmarkEnd w:id="42"/>
    </w:p>
    <w:tbl>
      <w:tblPr>
        <w:tblW w:w="9360" w:type="dxa"/>
        <w:jc w:val="left"/>
        <w:tblInd w:w="62" w:type="dxa"/>
        <w:tblLayout w:type="fixed"/>
        <w:tblCellMar>
          <w:top w:w="102" w:type="dxa"/>
          <w:left w:w="62" w:type="dxa"/>
          <w:bottom w:w="102" w:type="dxa"/>
          <w:right w:w="62" w:type="dxa"/>
        </w:tblCellMar>
        <w:tblLook w:val="04a0" w:noHBand="0" w:noVBand="1" w:firstColumn="1" w:lastRow="0" w:lastColumn="0" w:firstRow="1"/>
      </w:tblPr>
      <w:tblGrid>
        <w:gridCol w:w="4680"/>
        <w:gridCol w:w="4679"/>
      </w:tblGrid>
      <w:tr>
        <w:trPr/>
        <w:tc>
          <w:tcPr>
            <w:tcW w:w="4680" w:type="dxa"/>
            <w:tcBorders>
              <w:bottom w:val="single" w:sz="4" w:space="0" w:color="000000"/>
            </w:tcBorders>
          </w:tcPr>
          <w:p>
            <w:pPr>
              <w:pStyle w:val="Normal"/>
              <w:widowControl w:val="false"/>
              <w:jc w:val="center"/>
              <w:rPr/>
            </w:pPr>
            <w:r>
              <w:rPr/>
              <w:t>Заказчик</w:t>
            </w:r>
          </w:p>
        </w:tc>
        <w:tc>
          <w:tcPr>
            <w:tcW w:w="4679" w:type="dxa"/>
            <w:tcBorders>
              <w:bottom w:val="single" w:sz="4" w:space="0" w:color="000000"/>
            </w:tcBorders>
          </w:tcPr>
          <w:p>
            <w:pPr>
              <w:pStyle w:val="Normal"/>
              <w:widowControl w:val="false"/>
              <w:jc w:val="center"/>
              <w:rPr/>
            </w:pPr>
            <w:r>
              <w:rPr/>
              <w:t>Поставщик</w:t>
            </w:r>
          </w:p>
        </w:tc>
      </w:tr>
      <w:tr>
        <w:trPr>
          <w:trHeight w:val="604" w:hRule="atLeast"/>
        </w:trPr>
        <w:tc>
          <w:tcPr>
            <w:tcW w:w="4680" w:type="dxa"/>
            <w:vMerge w:val="restart"/>
            <w:tcBorders>
              <w:top w:val="single" w:sz="4" w:space="0" w:color="000000"/>
              <w:left w:val="single" w:sz="4" w:space="0" w:color="000000"/>
              <w:bottom w:val="single" w:sz="4" w:space="0" w:color="000000"/>
              <w:right w:val="single" w:sz="4" w:space="0" w:color="000000"/>
            </w:tcBorders>
          </w:tcPr>
          <w:p>
            <w:pPr>
              <w:pStyle w:val="ConsPlusNormal"/>
              <w:widowControl w:val="false"/>
              <w:spacing w:before="0" w:after="0"/>
              <w:ind w:hanging="0"/>
              <w:contextualSpacing/>
              <w:jc w:val="both"/>
              <w:rPr>
                <w:rFonts w:ascii="Times New Roman" w:hAnsi="Times New Roman" w:cs="Times New Roman"/>
              </w:rPr>
            </w:pPr>
            <w:r>
              <w:rPr>
                <w:rFonts w:cs="Times New Roman" w:ascii="Times New Roman" w:hAnsi="Times New Roman"/>
              </w:rPr>
              <w:t>Заказчик</w:t>
            </w:r>
          </w:p>
          <w:p>
            <w:pPr>
              <w:pStyle w:val="ConsPlusNormal"/>
              <w:widowControl w:val="false"/>
              <w:spacing w:before="0" w:after="0"/>
              <w:ind w:hanging="0"/>
              <w:contextualSpacing/>
              <w:rPr>
                <w:rFonts w:ascii="Times New Roman" w:hAnsi="Times New Roman" w:cs="Times New Roman"/>
              </w:rPr>
            </w:pPr>
            <w:r>
              <w:rPr>
                <w:rFonts w:cs="Times New Roman" w:ascii="Times New Roman" w:hAnsi="Times New Roman"/>
              </w:rPr>
              <w:t>Муниципальное унитарное предприятие «Теплоресурс Змеиногорского района»</w:t>
            </w:r>
          </w:p>
          <w:p>
            <w:pPr>
              <w:pStyle w:val="ConsPlusNormal"/>
              <w:widowControl w:val="false"/>
              <w:spacing w:before="0" w:after="0"/>
              <w:ind w:hanging="0"/>
              <w:contextualSpacing/>
              <w:rPr>
                <w:rFonts w:ascii="Times New Roman" w:hAnsi="Times New Roman" w:cs="Times New Roman"/>
              </w:rPr>
            </w:pPr>
            <w:r>
              <w:rPr>
                <w:rFonts w:cs="Times New Roman" w:ascii="Times New Roman" w:hAnsi="Times New Roman"/>
              </w:rPr>
              <w:t xml:space="preserve">658480, Алтайский край, Змеиногорский район, г. Змеиногорск, ул. Шумакова, зд.4 8(385-87) 2-15-02 </w:t>
            </w:r>
            <w:hyperlink r:id="rId2">
              <w:r>
                <w:rPr/>
                <w:t>mupteploresurszmn@mail.ru</w:t>
              </w:r>
            </w:hyperlink>
            <w:r>
              <w:rPr>
                <w:rFonts w:cs="Times New Roman" w:ascii="Times New Roman" w:hAnsi="Times New Roman"/>
              </w:rPr>
              <w:t xml:space="preserve"> ИНН 2206005140 КПП 220601001 ОГРН 1232200004827 р/с 40702810602000001508 к/с 30101810200000000604 ПАО СБЕРБАНК БИК 040173604 </w:t>
            </w:r>
          </w:p>
          <w:p>
            <w:pPr>
              <w:pStyle w:val="ConsPlusNormal"/>
              <w:widowControl w:val="false"/>
              <w:spacing w:before="0" w:after="0"/>
              <w:ind w:hanging="0"/>
              <w:contextualSpacing/>
              <w:rPr>
                <w:rFonts w:ascii="Times New Roman" w:hAnsi="Times New Roman" w:cs="Times New Roman"/>
              </w:rPr>
            </w:pPr>
            <w:r>
              <w:rPr>
                <w:rFonts w:cs="Times New Roman" w:ascii="Times New Roman" w:hAnsi="Times New Roman"/>
              </w:rPr>
            </w:r>
          </w:p>
          <w:p>
            <w:pPr>
              <w:pStyle w:val="ConsPlusNormal"/>
              <w:widowControl w:val="false"/>
              <w:spacing w:before="0" w:after="0"/>
              <w:ind w:hanging="0"/>
              <w:contextualSpacing/>
              <w:rPr>
                <w:rFonts w:ascii="Times New Roman" w:hAnsi="Times New Roman" w:cs="Times New Roman"/>
              </w:rPr>
            </w:pPr>
            <w:r>
              <w:rPr>
                <w:rFonts w:cs="Times New Roman" w:ascii="Times New Roman" w:hAnsi="Times New Roman"/>
              </w:rPr>
            </w:r>
          </w:p>
          <w:p>
            <w:pPr>
              <w:pStyle w:val="ConsPlusNormal"/>
              <w:widowControl w:val="false"/>
              <w:spacing w:before="0" w:after="0"/>
              <w:ind w:hanging="0"/>
              <w:contextualSpacing/>
              <w:rPr>
                <w:rFonts w:ascii="Times New Roman" w:hAnsi="Times New Roman" w:cs="Times New Roman"/>
              </w:rPr>
            </w:pPr>
            <w:r>
              <w:rPr>
                <w:rFonts w:cs="Times New Roman" w:ascii="Times New Roman" w:hAnsi="Times New Roman"/>
              </w:rPr>
            </w:r>
          </w:p>
          <w:p>
            <w:pPr>
              <w:pStyle w:val="Normal"/>
              <w:widowControl w:val="false"/>
              <w:rPr/>
            </w:pPr>
            <w:r>
              <w:rPr/>
              <w:t>Директор _______________________ С.А.Шакалов</w:t>
            </w:r>
          </w:p>
        </w:tc>
        <w:tc>
          <w:tcPr>
            <w:tcW w:w="46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both"/>
              <w:rPr>
                <w:i/>
                <w:i/>
              </w:rPr>
            </w:pPr>
            <w:r>
              <w:rPr>
                <w:i/>
              </w:rPr>
              <w:t>Наименование Поставщика</w:t>
            </w:r>
          </w:p>
        </w:tc>
      </w:tr>
      <w:tr>
        <w:trPr>
          <w:trHeight w:val="1104" w:hRule="atLeast"/>
        </w:trPr>
        <w:tc>
          <w:tcPr>
            <w:tcW w:w="4680" w:type="dxa"/>
            <w:vMerge w:val="continue"/>
            <w:tcBorders>
              <w:left w:val="single" w:sz="4" w:space="0" w:color="000000"/>
              <w:right w:val="single" w:sz="4" w:space="0" w:color="000000"/>
            </w:tcBorders>
          </w:tcPr>
          <w:p>
            <w:pPr>
              <w:pStyle w:val="Normal"/>
              <w:widowControl w:val="false"/>
              <w:rPr/>
            </w:pPr>
            <w:r>
              <w:rPr/>
            </w:r>
          </w:p>
        </w:tc>
        <w:tc>
          <w:tcPr>
            <w:tcW w:w="4679" w:type="dxa"/>
            <w:tcBorders>
              <w:top w:val="single" w:sz="4" w:space="0" w:color="000000"/>
              <w:left w:val="single" w:sz="4" w:space="0" w:color="000000"/>
              <w:right w:val="single" w:sz="4" w:space="0" w:color="000000"/>
            </w:tcBorders>
          </w:tcPr>
          <w:p>
            <w:pPr>
              <w:pStyle w:val="Normal"/>
              <w:widowControl w:val="false"/>
              <w:rPr/>
            </w:pPr>
            <w:r>
              <w:rPr/>
              <w:t>Адрес места нахождения:</w:t>
            </w:r>
          </w:p>
          <w:p>
            <w:pPr>
              <w:pStyle w:val="Normal"/>
              <w:widowControl w:val="false"/>
              <w:rPr/>
            </w:pPr>
            <w:r>
              <w:rPr/>
            </w:r>
          </w:p>
          <w:p>
            <w:pPr>
              <w:pStyle w:val="Normal"/>
              <w:widowControl w:val="false"/>
              <w:rPr/>
            </w:pPr>
            <w:r>
              <w:rPr/>
            </w:r>
          </w:p>
          <w:p>
            <w:pPr>
              <w:pStyle w:val="Normal"/>
              <w:widowControl w:val="false"/>
              <w:rPr/>
            </w:pPr>
            <w:r>
              <w:rPr/>
              <w:t>Телефон (факс):</w:t>
            </w:r>
          </w:p>
          <w:p>
            <w:pPr>
              <w:pStyle w:val="Normal"/>
              <w:widowControl w:val="false"/>
              <w:rPr/>
            </w:pPr>
            <w:r>
              <w:rPr>
                <w:lang w:val="en-US"/>
              </w:rPr>
              <w:t xml:space="preserve">e-mail: </w:t>
            </w:r>
            <w:r>
              <w:rPr/>
              <w:t xml:space="preserve"> </w:t>
            </w:r>
          </w:p>
        </w:tc>
      </w:tr>
      <w:tr>
        <w:trPr/>
        <w:tc>
          <w:tcPr>
            <w:tcW w:w="4680" w:type="dxa"/>
            <w:vMerge w:val="continue"/>
            <w:tcBorders>
              <w:left w:val="single" w:sz="4" w:space="0" w:color="000000"/>
              <w:right w:val="single" w:sz="4" w:space="0" w:color="000000"/>
            </w:tcBorders>
          </w:tcPr>
          <w:p>
            <w:pPr>
              <w:pStyle w:val="Normal"/>
              <w:widowControl w:val="false"/>
              <w:rPr/>
            </w:pPr>
            <w:r>
              <w:rPr/>
            </w:r>
          </w:p>
        </w:tc>
        <w:tc>
          <w:tcPr>
            <w:tcW w:w="467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Реквизиты:</w:t>
            </w:r>
          </w:p>
          <w:p>
            <w:pPr>
              <w:pStyle w:val="Normal"/>
              <w:widowControl w:val="false"/>
              <w:rPr>
                <w:lang w:val="en-US"/>
              </w:rPr>
            </w:pPr>
            <w:r>
              <w:rPr>
                <w:lang w:val="en-US"/>
              </w:rPr>
            </w:r>
          </w:p>
        </w:tc>
      </w:tr>
      <w:tr>
        <w:trPr/>
        <w:tc>
          <w:tcPr>
            <w:tcW w:w="4680" w:type="dxa"/>
            <w:vMerge w:val="continue"/>
            <w:tcBorders>
              <w:left w:val="single" w:sz="4" w:space="0" w:color="000000"/>
              <w:bottom w:val="single" w:sz="4" w:space="0" w:color="000000"/>
              <w:right w:val="single" w:sz="4" w:space="0" w:color="000000"/>
            </w:tcBorders>
          </w:tcPr>
          <w:p>
            <w:pPr>
              <w:pStyle w:val="Normal"/>
              <w:widowControl w:val="false"/>
              <w:rPr/>
            </w:pPr>
            <w:r>
              <w:rPr/>
            </w:r>
          </w:p>
        </w:tc>
        <w:tc>
          <w:tcPr>
            <w:tcW w:w="467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bl>
    <w:p>
      <w:pPr>
        <w:sectPr>
          <w:type w:val="nextPage"/>
          <w:pgSz w:w="11906" w:h="16838"/>
          <w:pgMar w:left="993" w:right="850" w:gutter="0" w:header="0" w:top="851" w:footer="0" w:bottom="709"/>
          <w:pgNumType w:start="1" w:fmt="decimal"/>
          <w:formProt w:val="false"/>
          <w:titlePg/>
          <w:textDirection w:val="lrTb"/>
          <w:docGrid w:type="default" w:linePitch="272" w:charSpace="0"/>
        </w:sectPr>
      </w:pPr>
    </w:p>
    <w:p>
      <w:pPr>
        <w:pStyle w:val="Normal"/>
        <w:keepNext w:val="true"/>
        <w:keepLines/>
        <w:widowControl/>
        <w:jc w:val="right"/>
        <w:rPr/>
      </w:pPr>
      <w:r>
        <w:rPr/>
        <w:t xml:space="preserve">Приложение № </w:t>
      </w:r>
      <w:r>
        <w:rPr/>
        <w:fldChar w:fldCharType="begin"/>
      </w:r>
      <w:r>
        <w:rPr/>
        <w:instrText xml:space="preserve"> REF _ref_1-236eae86859e4c \n \h </w:instrText>
      </w:r>
      <w:r>
        <w:rPr/>
        <w:fldChar w:fldCharType="separate"/>
      </w:r>
      <w:r>
        <w:rPr/>
        <w:t>Ошибка: источник перекрёстной ссылки не найден</w:t>
      </w:r>
      <w:r>
        <w:rPr/>
        <w:fldChar w:fldCharType="end"/>
      </w:r>
      <w:r>
        <w:rPr/>
        <w:br/>
        <w:t>к договору поставки</w:t>
        <w:br/>
        <w:t>№            от  «____» _______________ 2026 г.</w:t>
      </w:r>
    </w:p>
    <w:p>
      <w:pPr>
        <w:pStyle w:val="Normal"/>
        <w:widowControl/>
        <w:ind w:firstLine="567"/>
        <w:jc w:val="both"/>
        <w:rPr/>
      </w:pPr>
      <w:r>
        <w:rPr/>
      </w:r>
      <w:bookmarkStart w:id="43" w:name="_docStart_2"/>
      <w:bookmarkStart w:id="44" w:name="_docStart_2"/>
      <w:bookmarkEnd w:id="44"/>
    </w:p>
    <w:p>
      <w:pPr>
        <w:pStyle w:val="Normal"/>
        <w:spacing w:before="0" w:after="240"/>
        <w:ind w:firstLine="567"/>
        <w:jc w:val="center"/>
        <w:rPr>
          <w:b/>
          <w:b/>
          <w:bCs/>
        </w:rPr>
      </w:pPr>
      <w:r>
        <w:rPr>
          <w:b/>
          <w:bCs/>
        </w:rPr>
        <w:t>СПЕЦИФИКАЦИЯ</w:t>
      </w:r>
    </w:p>
    <w:tbl>
      <w:tblPr>
        <w:tblW w:w="4800" w:type="pct"/>
        <w:jc w:val="left"/>
        <w:tblInd w:w="0" w:type="dxa"/>
        <w:tblLayout w:type="fixed"/>
        <w:tblCellMar>
          <w:top w:w="0" w:type="dxa"/>
          <w:left w:w="70" w:type="dxa"/>
          <w:bottom w:w="0" w:type="dxa"/>
          <w:right w:w="70" w:type="dxa"/>
        </w:tblCellMar>
        <w:tblLook w:val="0000" w:noHBand="0" w:noVBand="0" w:firstColumn="0" w:lastRow="0" w:lastColumn="0" w:firstRow="0"/>
      </w:tblPr>
      <w:tblGrid>
        <w:gridCol w:w="158"/>
        <w:gridCol w:w="387"/>
        <w:gridCol w:w="2278"/>
        <w:gridCol w:w="378"/>
        <w:gridCol w:w="1167"/>
        <w:gridCol w:w="3853"/>
        <w:gridCol w:w="1281"/>
        <w:gridCol w:w="2144"/>
        <w:gridCol w:w="1869"/>
        <w:gridCol w:w="6"/>
        <w:gridCol w:w="1551"/>
      </w:tblGrid>
      <w:tr>
        <w:trPr>
          <w:trHeight w:val="480" w:hRule="atLeast"/>
        </w:trPr>
        <w:tc>
          <w:tcPr>
            <w:tcW w:w="545"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t xml:space="preserve">№ </w:t>
            </w:r>
            <w:r>
              <w:rPr/>
              <w:t>п/п</w:t>
            </w:r>
          </w:p>
        </w:tc>
        <w:tc>
          <w:tcPr>
            <w:tcW w:w="22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t>Наименование товара</w:t>
            </w:r>
          </w:p>
        </w:tc>
        <w:tc>
          <w:tcPr>
            <w:tcW w:w="1545"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t>Наименование страны происхождения</w:t>
            </w:r>
          </w:p>
        </w:tc>
        <w:tc>
          <w:tcPr>
            <w:tcW w:w="385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t xml:space="preserve">Функциональные, технические и качественные характеристики, эксплуатационные характеристики </w:t>
            </w:r>
          </w:p>
        </w:tc>
        <w:tc>
          <w:tcPr>
            <w:tcW w:w="128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t>Ед. изм.</w:t>
            </w:r>
          </w:p>
        </w:tc>
        <w:tc>
          <w:tcPr>
            <w:tcW w:w="214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pPr>
            <w:r>
              <w:rPr/>
            </w:r>
          </w:p>
          <w:p>
            <w:pPr>
              <w:pStyle w:val="Normal"/>
              <w:widowControl w:val="false"/>
              <w:jc w:val="center"/>
              <w:rPr/>
            </w:pPr>
            <w:r>
              <w:rPr/>
              <w:t>Количество</w:t>
            </w:r>
          </w:p>
        </w:tc>
        <w:tc>
          <w:tcPr>
            <w:tcW w:w="18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t xml:space="preserve">Цена единицы </w:t>
              <w:br/>
              <w:t>(с учетом НДС/НДС не облагается), руб.</w:t>
            </w:r>
          </w:p>
        </w:tc>
        <w:tc>
          <w:tcPr>
            <w:tcW w:w="1557"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t>Сумма (с учетом НДС/НДС не облагается), руб.</w:t>
            </w:r>
          </w:p>
        </w:tc>
      </w:tr>
      <w:tr>
        <w:trPr>
          <w:trHeight w:val="240" w:hRule="atLeast"/>
        </w:trPr>
        <w:tc>
          <w:tcPr>
            <w:tcW w:w="545" w:type="dxa"/>
            <w:gridSpan w:val="2"/>
            <w:tcBorders>
              <w:top w:val="single" w:sz="6" w:space="0" w:color="000000"/>
              <w:left w:val="single" w:sz="6" w:space="0" w:color="000000"/>
              <w:bottom w:val="single" w:sz="4" w:space="0" w:color="000000"/>
              <w:right w:val="single" w:sz="6" w:space="0" w:color="000000"/>
            </w:tcBorders>
            <w:vAlign w:val="center"/>
          </w:tcPr>
          <w:p>
            <w:pPr>
              <w:pStyle w:val="Normal"/>
              <w:widowControl w:val="false"/>
              <w:spacing w:before="120" w:after="0"/>
              <w:jc w:val="center"/>
              <w:rPr/>
            </w:pPr>
            <w:r>
              <w:rPr/>
              <w:t>1</w:t>
            </w:r>
          </w:p>
        </w:tc>
        <w:tc>
          <w:tcPr>
            <w:tcW w:w="2278" w:type="dxa"/>
            <w:tcBorders>
              <w:top w:val="single" w:sz="6" w:space="0" w:color="000000"/>
              <w:left w:val="single" w:sz="6" w:space="0" w:color="000000"/>
              <w:bottom w:val="single" w:sz="4" w:space="0" w:color="000000"/>
              <w:right w:val="single" w:sz="6" w:space="0" w:color="000000"/>
            </w:tcBorders>
            <w:vAlign w:val="center"/>
          </w:tcPr>
          <w:p>
            <w:pPr>
              <w:pStyle w:val="Normal"/>
              <w:widowControl w:val="false"/>
              <w:jc w:val="center"/>
              <w:rPr/>
            </w:pPr>
            <w:r>
              <w:rPr/>
              <w:t xml:space="preserve">Бензин автомобильный АИ-92 </w:t>
            </w:r>
          </w:p>
        </w:tc>
        <w:tc>
          <w:tcPr>
            <w:tcW w:w="1545" w:type="dxa"/>
            <w:gridSpan w:val="2"/>
            <w:tcBorders>
              <w:top w:val="single" w:sz="6" w:space="0" w:color="000000"/>
              <w:left w:val="single" w:sz="6" w:space="0" w:color="000000"/>
              <w:bottom w:val="single" w:sz="4" w:space="0" w:color="000000"/>
              <w:right w:val="single" w:sz="6" w:space="0" w:color="000000"/>
            </w:tcBorders>
            <w:vAlign w:val="center"/>
          </w:tcPr>
          <w:p>
            <w:pPr>
              <w:pStyle w:val="Normal"/>
              <w:widowControl w:val="false"/>
              <w:jc w:val="center"/>
              <w:rPr/>
            </w:pPr>
            <w:r>
              <w:rPr/>
            </w:r>
          </w:p>
        </w:tc>
        <w:tc>
          <w:tcPr>
            <w:tcW w:w="3853" w:type="dxa"/>
            <w:tcBorders>
              <w:top w:val="single" w:sz="6" w:space="0" w:color="000000"/>
              <w:left w:val="single" w:sz="6" w:space="0" w:color="000000"/>
              <w:bottom w:val="single" w:sz="4" w:space="0" w:color="000000"/>
              <w:right w:val="single" w:sz="6" w:space="0" w:color="000000"/>
            </w:tcBorders>
            <w:vAlign w:val="center"/>
          </w:tcPr>
          <w:p>
            <w:pPr>
              <w:pStyle w:val="Normal"/>
              <w:widowControl w:val="false"/>
              <w:jc w:val="center"/>
              <w:rPr/>
            </w:pPr>
            <w:r>
              <w:rPr/>
            </w:r>
          </w:p>
        </w:tc>
        <w:tc>
          <w:tcPr>
            <w:tcW w:w="1281" w:type="dxa"/>
            <w:tcBorders>
              <w:top w:val="single" w:sz="6" w:space="0" w:color="000000"/>
              <w:left w:val="single" w:sz="6" w:space="0" w:color="000000"/>
              <w:bottom w:val="single" w:sz="4" w:space="0" w:color="000000"/>
              <w:right w:val="single" w:sz="6" w:space="0" w:color="000000"/>
            </w:tcBorders>
            <w:vAlign w:val="center"/>
          </w:tcPr>
          <w:p>
            <w:pPr>
              <w:pStyle w:val="Normal"/>
              <w:widowControl w:val="false"/>
              <w:jc w:val="center"/>
              <w:rPr/>
            </w:pPr>
            <w:r>
              <w:rPr/>
              <w:t>л; дм3</w:t>
            </w:r>
          </w:p>
        </w:tc>
        <w:tc>
          <w:tcPr>
            <w:tcW w:w="2144" w:type="dxa"/>
            <w:tcBorders>
              <w:top w:val="single" w:sz="6" w:space="0" w:color="000000"/>
              <w:left w:val="single" w:sz="6" w:space="0" w:color="000000"/>
              <w:bottom w:val="single" w:sz="4" w:space="0" w:color="000000"/>
              <w:right w:val="single" w:sz="6" w:space="0" w:color="000000"/>
            </w:tcBorders>
            <w:vAlign w:val="center"/>
          </w:tcPr>
          <w:p>
            <w:pPr>
              <w:pStyle w:val="Normal"/>
              <w:widowControl w:val="false"/>
              <w:jc w:val="center"/>
              <w:rPr/>
            </w:pPr>
            <w:r>
              <w:rPr/>
              <w:t>60000</w:t>
            </w:r>
          </w:p>
        </w:tc>
        <w:tc>
          <w:tcPr>
            <w:tcW w:w="1869" w:type="dxa"/>
            <w:tcBorders>
              <w:top w:val="single" w:sz="6" w:space="0" w:color="000000"/>
              <w:left w:val="single" w:sz="6" w:space="0" w:color="000000"/>
              <w:bottom w:val="single" w:sz="4" w:space="0" w:color="000000"/>
              <w:right w:val="single" w:sz="6" w:space="0" w:color="000000"/>
            </w:tcBorders>
            <w:vAlign w:val="center"/>
          </w:tcPr>
          <w:p>
            <w:pPr>
              <w:pStyle w:val="Normal"/>
              <w:widowControl w:val="false"/>
              <w:jc w:val="center"/>
              <w:rPr/>
            </w:pPr>
            <w:r>
              <w:rPr/>
            </w:r>
          </w:p>
        </w:tc>
        <w:tc>
          <w:tcPr>
            <w:tcW w:w="1557"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r>
          </w:p>
        </w:tc>
      </w:tr>
      <w:tr>
        <w:trPr>
          <w:trHeight w:val="240" w:hRule="atLeast"/>
        </w:trPr>
        <w:tc>
          <w:tcPr>
            <w:tcW w:w="54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pPr>
            <w:r>
              <w:rPr/>
              <w:t>2</w:t>
            </w:r>
          </w:p>
        </w:tc>
        <w:tc>
          <w:tcPr>
            <w:tcW w:w="22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 xml:space="preserve">Бензин автомобильный АИ-95 </w:t>
            </w:r>
          </w:p>
        </w:tc>
        <w:tc>
          <w:tcPr>
            <w:tcW w:w="154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
          </w:p>
        </w:tc>
        <w:tc>
          <w:tcPr>
            <w:tcW w:w="38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л; дм3</w:t>
            </w:r>
          </w:p>
        </w:tc>
        <w:tc>
          <w:tcPr>
            <w:tcW w:w="21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20000</w:t>
            </w:r>
          </w:p>
        </w:tc>
        <w:tc>
          <w:tcPr>
            <w:tcW w:w="1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
          </w:p>
        </w:tc>
        <w:tc>
          <w:tcPr>
            <w:tcW w:w="1557" w:type="dxa"/>
            <w:gridSpan w:val="2"/>
            <w:tcBorders>
              <w:top w:val="single" w:sz="6" w:space="0" w:color="000000"/>
              <w:left w:val="single" w:sz="4" w:space="0" w:color="000000"/>
              <w:bottom w:val="single" w:sz="4" w:space="0" w:color="000000"/>
              <w:right w:val="single" w:sz="6" w:space="0" w:color="000000"/>
            </w:tcBorders>
            <w:vAlign w:val="center"/>
          </w:tcPr>
          <w:p>
            <w:pPr>
              <w:pStyle w:val="Normal"/>
              <w:widowControl w:val="false"/>
              <w:jc w:val="center"/>
              <w:rPr/>
            </w:pPr>
            <w:r>
              <w:rPr/>
            </w:r>
          </w:p>
        </w:tc>
      </w:tr>
      <w:tr>
        <w:trPr>
          <w:trHeight w:val="240" w:hRule="atLeast"/>
        </w:trPr>
        <w:tc>
          <w:tcPr>
            <w:tcW w:w="54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pPr>
            <w:r>
              <w:rPr/>
              <w:t>3</w:t>
            </w:r>
          </w:p>
        </w:tc>
        <w:tc>
          <w:tcPr>
            <w:tcW w:w="22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Дизельное топливо (зимнее)</w:t>
            </w:r>
          </w:p>
        </w:tc>
        <w:tc>
          <w:tcPr>
            <w:tcW w:w="154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
          </w:p>
        </w:tc>
        <w:tc>
          <w:tcPr>
            <w:tcW w:w="38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л; дм3</w:t>
            </w:r>
          </w:p>
        </w:tc>
        <w:tc>
          <w:tcPr>
            <w:tcW w:w="21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30000</w:t>
            </w:r>
          </w:p>
        </w:tc>
        <w:tc>
          <w:tcPr>
            <w:tcW w:w="1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
          </w:p>
        </w:tc>
        <w:tc>
          <w:tcPr>
            <w:tcW w:w="1557" w:type="dxa"/>
            <w:gridSpan w:val="2"/>
            <w:tcBorders>
              <w:top w:val="single" w:sz="6" w:space="0" w:color="000000"/>
              <w:left w:val="single" w:sz="4" w:space="0" w:color="000000"/>
              <w:bottom w:val="single" w:sz="4" w:space="0" w:color="000000"/>
              <w:right w:val="single" w:sz="6" w:space="0" w:color="000000"/>
            </w:tcBorders>
            <w:vAlign w:val="center"/>
          </w:tcPr>
          <w:p>
            <w:pPr>
              <w:pStyle w:val="Normal"/>
              <w:widowControl w:val="false"/>
              <w:jc w:val="center"/>
              <w:rPr/>
            </w:pPr>
            <w:r>
              <w:rPr/>
            </w:r>
          </w:p>
        </w:tc>
      </w:tr>
      <w:tr>
        <w:trPr>
          <w:trHeight w:val="358" w:hRule="atLeast"/>
        </w:trPr>
        <w:tc>
          <w:tcPr>
            <w:tcW w:w="158" w:type="dxa"/>
            <w:tcBorders>
              <w:top w:val="single" w:sz="4" w:space="0" w:color="000000"/>
              <w:right w:val="single" w:sz="4" w:space="0" w:color="000000"/>
            </w:tcBorders>
          </w:tcPr>
          <w:p>
            <w:pPr>
              <w:pStyle w:val="Normal"/>
              <w:widowControl w:val="false"/>
              <w:jc w:val="right"/>
              <w:rPr>
                <w:b/>
                <w:b/>
              </w:rPr>
            </w:pPr>
            <w:r>
              <w:rPr>
                <w:b/>
              </w:rPr>
            </w:r>
          </w:p>
        </w:tc>
        <w:tc>
          <w:tcPr>
            <w:tcW w:w="3043" w:type="dxa"/>
            <w:gridSpan w:val="3"/>
            <w:tcBorders>
              <w:top w:val="single" w:sz="4" w:space="0" w:color="000000"/>
            </w:tcBorders>
          </w:tcPr>
          <w:p>
            <w:pPr>
              <w:pStyle w:val="Normal"/>
              <w:widowControl w:val="false"/>
              <w:jc w:val="right"/>
              <w:rPr>
                <w:b/>
                <w:b/>
              </w:rPr>
            </w:pPr>
            <w:r>
              <w:rPr>
                <w:b/>
              </w:rPr>
            </w:r>
          </w:p>
        </w:tc>
        <w:tc>
          <w:tcPr>
            <w:tcW w:w="10320" w:type="dxa"/>
            <w:gridSpan w:val="6"/>
            <w:tcBorders>
              <w:top w:val="single" w:sz="4" w:space="0" w:color="000000"/>
              <w:right w:val="single" w:sz="4" w:space="0" w:color="000000"/>
            </w:tcBorders>
            <w:vAlign w:val="center"/>
          </w:tcPr>
          <w:p>
            <w:pPr>
              <w:pStyle w:val="Normal"/>
              <w:widowControl w:val="false"/>
              <w:jc w:val="right"/>
              <w:rPr>
                <w:b/>
                <w:b/>
              </w:rPr>
            </w:pPr>
            <w:r>
              <w:rPr>
                <w:b/>
              </w:rPr>
              <w:t>Итого</w:t>
            </w:r>
          </w:p>
        </w:tc>
        <w:tc>
          <w:tcPr>
            <w:tcW w:w="15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b/>
              </w:rPr>
            </w:pPr>
            <w:r>
              <w:rPr>
                <w:b/>
              </w:rPr>
            </w:r>
          </w:p>
        </w:tc>
      </w:tr>
      <w:tr>
        <w:trPr>
          <w:trHeight w:val="264" w:hRule="atLeast"/>
        </w:trPr>
        <w:tc>
          <w:tcPr>
            <w:tcW w:w="158" w:type="dxa"/>
            <w:tcBorders>
              <w:right w:val="single" w:sz="4" w:space="0" w:color="000000"/>
            </w:tcBorders>
          </w:tcPr>
          <w:p>
            <w:pPr>
              <w:pStyle w:val="Normal"/>
              <w:widowControl w:val="false"/>
              <w:jc w:val="right"/>
              <w:rPr>
                <w:b/>
                <w:b/>
              </w:rPr>
            </w:pPr>
            <w:r>
              <w:rPr>
                <w:b/>
              </w:rPr>
            </w:r>
          </w:p>
        </w:tc>
        <w:tc>
          <w:tcPr>
            <w:tcW w:w="3043" w:type="dxa"/>
            <w:gridSpan w:val="3"/>
            <w:tcBorders/>
          </w:tcPr>
          <w:p>
            <w:pPr>
              <w:pStyle w:val="Normal"/>
              <w:widowControl w:val="false"/>
              <w:jc w:val="right"/>
              <w:rPr>
                <w:b/>
                <w:b/>
              </w:rPr>
            </w:pPr>
            <w:r>
              <w:rPr>
                <w:b/>
              </w:rPr>
            </w:r>
          </w:p>
        </w:tc>
        <w:tc>
          <w:tcPr>
            <w:tcW w:w="10320" w:type="dxa"/>
            <w:gridSpan w:val="6"/>
            <w:tcBorders>
              <w:right w:val="single" w:sz="4" w:space="0" w:color="000000"/>
            </w:tcBorders>
            <w:vAlign w:val="center"/>
          </w:tcPr>
          <w:p>
            <w:pPr>
              <w:pStyle w:val="Normal"/>
              <w:widowControl w:val="false"/>
              <w:jc w:val="right"/>
              <w:rPr>
                <w:b/>
                <w:b/>
              </w:rPr>
            </w:pPr>
            <w:r>
              <w:rPr>
                <w:b/>
              </w:rPr>
              <w:t>В т.ч. НДС (_____ %)</w:t>
            </w:r>
          </w:p>
        </w:tc>
        <w:tc>
          <w:tcPr>
            <w:tcW w:w="15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b/>
              </w:rPr>
            </w:pPr>
            <w:r>
              <w:rPr>
                <w:b/>
              </w:rPr>
            </w:r>
          </w:p>
        </w:tc>
      </w:tr>
    </w:tbl>
    <w:p>
      <w:pPr>
        <w:pStyle w:val="Normal"/>
        <w:jc w:val="both"/>
        <w:rPr/>
      </w:pPr>
      <w:r>
        <w:rPr/>
      </w:r>
    </w:p>
    <w:p>
      <w:pPr>
        <w:pStyle w:val="Normal"/>
        <w:widowControl/>
        <w:tabs>
          <w:tab w:val="clear" w:pos="708"/>
          <w:tab w:val="left" w:pos="851" w:leader="none"/>
        </w:tabs>
        <w:ind w:left="567" w:hanging="0"/>
        <w:jc w:val="both"/>
        <w:rPr>
          <w:bCs/>
        </w:rPr>
      </w:pPr>
      <w:r>
        <w:rPr>
          <w:bCs/>
        </w:rPr>
      </w:r>
    </w:p>
    <w:tbl>
      <w:tblPr>
        <w:tblW w:w="4900" w:type="pct"/>
        <w:jc w:val="left"/>
        <w:tblInd w:w="-10" w:type="dxa"/>
        <w:tblLayout w:type="fixed"/>
        <w:tblCellMar>
          <w:top w:w="0" w:type="dxa"/>
          <w:left w:w="108" w:type="dxa"/>
          <w:bottom w:w="0" w:type="dxa"/>
          <w:right w:w="108" w:type="dxa"/>
        </w:tblCellMar>
        <w:tblLook w:val="04a0" w:noHBand="0" w:noVBand="1" w:firstColumn="1" w:lastRow="0" w:lastColumn="0" w:firstRow="1"/>
      </w:tblPr>
      <w:tblGrid>
        <w:gridCol w:w="7832"/>
        <w:gridCol w:w="7555"/>
      </w:tblGrid>
      <w:tr>
        <w:trPr>
          <w:trHeight w:val="2233" w:hRule="atLeast"/>
        </w:trPr>
        <w:tc>
          <w:tcPr>
            <w:tcW w:w="7832" w:type="dxa"/>
            <w:tcBorders/>
            <w:shd w:color="auto" w:fill="FFFFFF" w:val="clear"/>
          </w:tcPr>
          <w:p>
            <w:pPr>
              <w:pStyle w:val="Normal"/>
              <w:widowControl w:val="false"/>
              <w:rPr>
                <w:bCs/>
              </w:rPr>
            </w:pPr>
            <w:r>
              <w:rPr>
                <w:bCs/>
              </w:rPr>
              <w:t>Заказчик</w:t>
            </w:r>
          </w:p>
          <w:p>
            <w:pPr>
              <w:pStyle w:val="Normal"/>
              <w:widowControl w:val="false"/>
              <w:rPr>
                <w:bCs/>
              </w:rPr>
            </w:pPr>
            <w:r>
              <w:rPr>
                <w:bCs/>
              </w:rPr>
            </w:r>
          </w:p>
          <w:p>
            <w:pPr>
              <w:pStyle w:val="Normal"/>
              <w:widowControl w:val="false"/>
              <w:rPr>
                <w:bCs/>
              </w:rPr>
            </w:pPr>
            <w:r>
              <w:rPr>
                <w:bCs/>
              </w:rPr>
            </w:r>
          </w:p>
          <w:p>
            <w:pPr>
              <w:pStyle w:val="Normal"/>
              <w:widowControl w:val="false"/>
              <w:rPr>
                <w:bCs/>
              </w:rPr>
            </w:pPr>
            <w:r>
              <w:rPr>
                <w:bCs/>
              </w:rPr>
              <w:t xml:space="preserve">_________________/ А.В.Иванилов / </w:t>
            </w:r>
          </w:p>
          <w:p>
            <w:pPr>
              <w:pStyle w:val="Normal"/>
              <w:widowControl w:val="false"/>
              <w:rPr>
                <w:bCs/>
              </w:rPr>
            </w:pPr>
            <w:r>
              <w:rPr>
                <w:bCs/>
              </w:rPr>
            </w:r>
          </w:p>
          <w:p>
            <w:pPr>
              <w:pStyle w:val="Normal"/>
              <w:widowControl w:val="false"/>
              <w:rPr>
                <w:bCs/>
              </w:rPr>
            </w:pPr>
            <w:r>
              <w:rPr>
                <w:bCs/>
              </w:rPr>
              <w:t>М.П.</w:t>
            </w:r>
          </w:p>
        </w:tc>
        <w:tc>
          <w:tcPr>
            <w:tcW w:w="7555" w:type="dxa"/>
            <w:tcBorders/>
            <w:shd w:color="auto" w:fill="FFFFFF" w:val="clear"/>
          </w:tcPr>
          <w:p>
            <w:pPr>
              <w:pStyle w:val="Normal"/>
              <w:widowControl w:val="false"/>
              <w:ind w:left="177" w:hanging="0"/>
              <w:rPr>
                <w:bCs/>
              </w:rPr>
            </w:pPr>
            <w:r>
              <w:rPr>
                <w:bCs/>
              </w:rPr>
              <w:t xml:space="preserve">               </w:t>
            </w:r>
            <w:r>
              <w:rPr>
                <w:bCs/>
              </w:rPr>
              <w:t>Поставщик</w:t>
            </w:r>
          </w:p>
          <w:p>
            <w:pPr>
              <w:pStyle w:val="Normal"/>
              <w:widowControl w:val="false"/>
              <w:ind w:left="177" w:hanging="0"/>
              <w:rPr>
                <w:bCs/>
              </w:rPr>
            </w:pPr>
            <w:r>
              <w:rPr>
                <w:bCs/>
              </w:rPr>
            </w:r>
          </w:p>
          <w:p>
            <w:pPr>
              <w:pStyle w:val="Normal"/>
              <w:widowControl w:val="false"/>
              <w:ind w:left="177" w:hanging="0"/>
              <w:rPr>
                <w:bCs/>
              </w:rPr>
            </w:pPr>
            <w:r>
              <w:rPr>
                <w:bCs/>
              </w:rPr>
            </w:r>
          </w:p>
          <w:p>
            <w:pPr>
              <w:pStyle w:val="Normal"/>
              <w:widowControl w:val="false"/>
              <w:ind w:left="177" w:hanging="0"/>
              <w:rPr>
                <w:bCs/>
              </w:rPr>
            </w:pPr>
            <w:r>
              <w:rPr>
                <w:bCs/>
              </w:rPr>
              <w:t>_________________/______________/</w:t>
            </w:r>
          </w:p>
          <w:p>
            <w:pPr>
              <w:pStyle w:val="Normal"/>
              <w:widowControl w:val="false"/>
              <w:ind w:left="177" w:hanging="0"/>
              <w:rPr>
                <w:bCs/>
              </w:rPr>
            </w:pPr>
            <w:r>
              <w:rPr>
                <w:bCs/>
              </w:rPr>
            </w:r>
          </w:p>
          <w:p>
            <w:pPr>
              <w:pStyle w:val="Normal"/>
              <w:widowControl w:val="false"/>
              <w:ind w:left="177" w:hanging="0"/>
              <w:rPr>
                <w:bCs/>
              </w:rPr>
            </w:pPr>
            <w:r>
              <w:rPr>
                <w:bCs/>
              </w:rPr>
              <w:t>М.П.</w:t>
            </w:r>
          </w:p>
          <w:p>
            <w:pPr>
              <w:pStyle w:val="Normal"/>
              <w:widowControl w:val="false"/>
              <w:ind w:left="177" w:hanging="0"/>
              <w:rPr>
                <w:bCs/>
              </w:rPr>
            </w:pPr>
            <w:r>
              <w:rPr>
                <w:bCs/>
              </w:rPr>
            </w:r>
          </w:p>
          <w:p>
            <w:pPr>
              <w:pStyle w:val="Normal"/>
              <w:widowControl w:val="false"/>
              <w:ind w:left="177" w:hanging="0"/>
              <w:rPr>
                <w:bCs/>
              </w:rPr>
            </w:pPr>
            <w:r>
              <w:rPr>
                <w:bCs/>
              </w:rPr>
            </w:r>
          </w:p>
          <w:p>
            <w:pPr>
              <w:pStyle w:val="Normal"/>
              <w:widowControl w:val="false"/>
              <w:ind w:left="177" w:hanging="0"/>
              <w:rPr>
                <w:bCs/>
              </w:rPr>
            </w:pPr>
            <w:r>
              <w:rPr>
                <w:bCs/>
              </w:rPr>
            </w:r>
          </w:p>
        </w:tc>
      </w:tr>
    </w:tbl>
    <w:p>
      <w:pPr>
        <w:pStyle w:val="Normal"/>
        <w:widowControl/>
        <w:jc w:val="both"/>
        <w:rPr/>
      </w:pPr>
      <w:r>
        <w:rPr/>
      </w:r>
    </w:p>
    <w:p>
      <w:pPr>
        <w:pStyle w:val="Normal"/>
        <w:widowControl/>
        <w:spacing w:lineRule="auto" w:line="259" w:before="0" w:after="160"/>
        <w:rPr/>
      </w:pPr>
      <w:r>
        <w:rPr/>
      </w:r>
    </w:p>
    <w:p>
      <w:pPr>
        <w:pStyle w:val="Normal"/>
        <w:shd w:val="clear" w:color="auto" w:fill="FFFFFF"/>
        <w:tabs>
          <w:tab w:val="clear" w:pos="708"/>
          <w:tab w:val="left" w:pos="993" w:leader="none"/>
          <w:tab w:val="left" w:pos="1560" w:leader="none"/>
        </w:tabs>
        <w:ind w:left="709" w:hanging="0"/>
        <w:jc w:val="both"/>
        <w:rPr>
          <w:iCs/>
        </w:rPr>
      </w:pPr>
      <w:r>
        <w:rPr>
          <w:iC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08"/>
          <w:tab w:val="left" w:pos="3105" w:leader="none"/>
        </w:tabs>
        <w:rPr>
          <w:sz w:val="24"/>
          <w:szCs w:val="24"/>
        </w:rPr>
      </w:pPr>
      <w:r>
        <w:rPr>
          <w:sz w:val="24"/>
          <w:szCs w:val="24"/>
        </w:rPr>
      </w:r>
    </w:p>
    <w:p>
      <w:pPr>
        <w:pStyle w:val="Normal"/>
        <w:keepNext w:val="true"/>
        <w:keepLines/>
        <w:widowControl/>
        <w:jc w:val="right"/>
        <w:rPr/>
      </w:pPr>
      <w:bookmarkStart w:id="45" w:name="_Hlk215765356"/>
      <w:bookmarkEnd w:id="45"/>
      <w:r>
        <w:rPr/>
        <w:t>Приложение № 2</w:t>
      </w:r>
      <w:r>
        <w:rPr/>
        <w:fldChar w:fldCharType="begin"/>
      </w:r>
      <w:r>
        <w:rPr/>
        <w:instrText xml:space="preserve"> REF _ref_1-236eae86859e4c \n \h </w:instrText>
      </w:r>
      <w:r>
        <w:rPr/>
        <w:fldChar w:fldCharType="separate"/>
      </w:r>
      <w:r>
        <w:rPr/>
        <w:t>Ошибка: источник перекрёстной ссылки не найден</w:t>
      </w:r>
      <w:r>
        <w:rPr/>
        <w:fldChar w:fldCharType="end"/>
      </w:r>
      <w:r>
        <w:rPr/>
        <w:br/>
        <w:t>к договору поставки</w:t>
        <w:br/>
        <w:t>№            от  «____» _______________ 2026 г.</w:t>
      </w:r>
    </w:p>
    <w:p>
      <w:pPr>
        <w:pStyle w:val="Normal"/>
        <w:widowControl/>
        <w:ind w:firstLine="567"/>
        <w:jc w:val="both"/>
        <w:rPr/>
      </w:pPr>
      <w:r>
        <w:rPr/>
      </w:r>
    </w:p>
    <w:p>
      <w:pPr>
        <w:pStyle w:val="Normal"/>
        <w:jc w:val="center"/>
        <w:rPr>
          <w:b/>
          <w:b/>
          <w:sz w:val="24"/>
          <w:szCs w:val="24"/>
        </w:rPr>
      </w:pPr>
      <w:r>
        <w:rPr>
          <w:b/>
          <w:sz w:val="24"/>
          <w:szCs w:val="24"/>
        </w:rPr>
        <w:t>Перечень АЗС</w:t>
      </w:r>
    </w:p>
    <w:tbl>
      <w:tblPr>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885"/>
        <w:gridCol w:w="2822"/>
        <w:gridCol w:w="6352"/>
        <w:gridCol w:w="5643"/>
      </w:tblGrid>
      <w:tr>
        <w:trPr>
          <w:trHeight w:val="255" w:hRule="atLeast"/>
        </w:trPr>
        <w:tc>
          <w:tcPr>
            <w:tcW w:w="8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28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r>
              <w:rPr>
                <w:sz w:val="24"/>
                <w:szCs w:val="24"/>
              </w:rPr>
              <w:t>АЗС</w:t>
            </w:r>
          </w:p>
        </w:tc>
        <w:tc>
          <w:tcPr>
            <w:tcW w:w="63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Адрес</w:t>
            </w:r>
          </w:p>
        </w:tc>
        <w:tc>
          <w:tcPr>
            <w:tcW w:w="56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Наличие вида топлива</w:t>
            </w:r>
          </w:p>
        </w:tc>
      </w:tr>
      <w:tr>
        <w:trPr>
          <w:trHeight w:val="285" w:hRule="atLeast"/>
        </w:trPr>
        <w:tc>
          <w:tcPr>
            <w:tcW w:w="885"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r>
          </w:p>
        </w:tc>
        <w:tc>
          <w:tcPr>
            <w:tcW w:w="282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r>
          </w:p>
        </w:tc>
        <w:tc>
          <w:tcPr>
            <w:tcW w:w="635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r>
          </w:p>
        </w:tc>
        <w:tc>
          <w:tcPr>
            <w:tcW w:w="564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i/>
                <w:i/>
                <w:sz w:val="24"/>
                <w:szCs w:val="24"/>
              </w:rPr>
            </w:pPr>
            <w:r>
              <w:rPr>
                <w:i/>
                <w:sz w:val="24"/>
                <w:szCs w:val="24"/>
              </w:rPr>
            </w:r>
          </w:p>
        </w:tc>
      </w:tr>
      <w:tr>
        <w:trPr>
          <w:trHeight w:val="289" w:hRule="atLeast"/>
        </w:trPr>
        <w:tc>
          <w:tcPr>
            <w:tcW w:w="885"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r>
          </w:p>
        </w:tc>
        <w:tc>
          <w:tcPr>
            <w:tcW w:w="282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r>
          </w:p>
        </w:tc>
        <w:tc>
          <w:tcPr>
            <w:tcW w:w="635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r>
          </w:p>
        </w:tc>
        <w:tc>
          <w:tcPr>
            <w:tcW w:w="564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i/>
                <w:i/>
                <w:sz w:val="24"/>
                <w:szCs w:val="24"/>
              </w:rPr>
            </w:pPr>
            <w:r>
              <w:rPr>
                <w:i/>
                <w:sz w:val="24"/>
                <w:szCs w:val="24"/>
              </w:rPr>
            </w:r>
          </w:p>
        </w:tc>
      </w:tr>
    </w:tbl>
    <w:p>
      <w:pPr>
        <w:pStyle w:val="Normal"/>
        <w:ind w:left="765" w:hanging="0"/>
        <w:rPr>
          <w:sz w:val="24"/>
          <w:szCs w:val="24"/>
        </w:rPr>
      </w:pPr>
      <w:r>
        <w:rPr>
          <w:sz w:val="24"/>
          <w:szCs w:val="24"/>
        </w:rPr>
      </w:r>
      <w:bookmarkStart w:id="46" w:name="_Hlk2157653561"/>
      <w:bookmarkStart w:id="47" w:name="_Hlk2157653561"/>
      <w:bookmarkEnd w:id="47"/>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4900" w:type="pct"/>
        <w:jc w:val="left"/>
        <w:tblInd w:w="-10" w:type="dxa"/>
        <w:tblLayout w:type="fixed"/>
        <w:tblCellMar>
          <w:top w:w="0" w:type="dxa"/>
          <w:left w:w="108" w:type="dxa"/>
          <w:bottom w:w="0" w:type="dxa"/>
          <w:right w:w="108" w:type="dxa"/>
        </w:tblCellMar>
        <w:tblLook w:val="04a0" w:noHBand="0" w:noVBand="1" w:firstColumn="1" w:lastRow="0" w:lastColumn="0" w:firstRow="1"/>
      </w:tblPr>
      <w:tblGrid>
        <w:gridCol w:w="7832"/>
        <w:gridCol w:w="7555"/>
      </w:tblGrid>
      <w:tr>
        <w:trPr>
          <w:trHeight w:val="2233" w:hRule="atLeast"/>
        </w:trPr>
        <w:tc>
          <w:tcPr>
            <w:tcW w:w="7832" w:type="dxa"/>
            <w:tcBorders/>
            <w:shd w:color="auto" w:fill="FFFFFF" w:val="clear"/>
          </w:tcPr>
          <w:p>
            <w:pPr>
              <w:pStyle w:val="Normal"/>
              <w:widowControl w:val="false"/>
              <w:rPr>
                <w:bCs/>
              </w:rPr>
            </w:pPr>
            <w:r>
              <w:rPr>
                <w:bCs/>
              </w:rPr>
              <w:t>Заказчик</w:t>
            </w:r>
          </w:p>
          <w:p>
            <w:pPr>
              <w:pStyle w:val="Normal"/>
              <w:widowControl w:val="false"/>
              <w:rPr>
                <w:bCs/>
              </w:rPr>
            </w:pPr>
            <w:r>
              <w:rPr>
                <w:bCs/>
              </w:rPr>
            </w:r>
          </w:p>
          <w:p>
            <w:pPr>
              <w:pStyle w:val="Normal"/>
              <w:widowControl w:val="false"/>
              <w:rPr>
                <w:bCs/>
              </w:rPr>
            </w:pPr>
            <w:r>
              <w:rPr>
                <w:bCs/>
              </w:rPr>
            </w:r>
          </w:p>
          <w:p>
            <w:pPr>
              <w:pStyle w:val="Normal"/>
              <w:widowControl w:val="false"/>
              <w:rPr>
                <w:bCs/>
              </w:rPr>
            </w:pPr>
            <w:r>
              <w:rPr>
                <w:bCs/>
              </w:rPr>
              <w:t xml:space="preserve">_________________/ А.В.Иванилов / </w:t>
            </w:r>
          </w:p>
          <w:p>
            <w:pPr>
              <w:pStyle w:val="Normal"/>
              <w:widowControl w:val="false"/>
              <w:rPr>
                <w:bCs/>
              </w:rPr>
            </w:pPr>
            <w:r>
              <w:rPr>
                <w:bCs/>
              </w:rPr>
            </w:r>
          </w:p>
          <w:p>
            <w:pPr>
              <w:pStyle w:val="Normal"/>
              <w:widowControl w:val="false"/>
              <w:rPr>
                <w:bCs/>
              </w:rPr>
            </w:pPr>
            <w:r>
              <w:rPr>
                <w:bCs/>
              </w:rPr>
              <w:t>М.П.</w:t>
            </w:r>
          </w:p>
        </w:tc>
        <w:tc>
          <w:tcPr>
            <w:tcW w:w="7555" w:type="dxa"/>
            <w:tcBorders/>
            <w:shd w:color="auto" w:fill="FFFFFF" w:val="clear"/>
          </w:tcPr>
          <w:p>
            <w:pPr>
              <w:pStyle w:val="Normal"/>
              <w:widowControl w:val="false"/>
              <w:ind w:left="177" w:hanging="0"/>
              <w:rPr>
                <w:bCs/>
              </w:rPr>
            </w:pPr>
            <w:r>
              <w:rPr>
                <w:bCs/>
              </w:rPr>
              <w:t xml:space="preserve">               </w:t>
            </w:r>
            <w:r>
              <w:rPr>
                <w:bCs/>
              </w:rPr>
              <w:t>Поставщик</w:t>
            </w:r>
          </w:p>
          <w:p>
            <w:pPr>
              <w:pStyle w:val="Normal"/>
              <w:widowControl w:val="false"/>
              <w:ind w:left="177" w:hanging="0"/>
              <w:rPr>
                <w:bCs/>
              </w:rPr>
            </w:pPr>
            <w:r>
              <w:rPr>
                <w:bCs/>
              </w:rPr>
            </w:r>
          </w:p>
          <w:p>
            <w:pPr>
              <w:pStyle w:val="Normal"/>
              <w:widowControl w:val="false"/>
              <w:ind w:left="177" w:hanging="0"/>
              <w:rPr>
                <w:bCs/>
              </w:rPr>
            </w:pPr>
            <w:r>
              <w:rPr>
                <w:bCs/>
              </w:rPr>
            </w:r>
          </w:p>
          <w:p>
            <w:pPr>
              <w:pStyle w:val="Normal"/>
              <w:widowControl w:val="false"/>
              <w:ind w:left="177" w:hanging="0"/>
              <w:rPr>
                <w:bCs/>
              </w:rPr>
            </w:pPr>
            <w:r>
              <w:rPr>
                <w:bCs/>
              </w:rPr>
              <w:t>_________________/______________/</w:t>
            </w:r>
          </w:p>
          <w:p>
            <w:pPr>
              <w:pStyle w:val="Normal"/>
              <w:widowControl w:val="false"/>
              <w:ind w:left="177" w:hanging="0"/>
              <w:rPr>
                <w:bCs/>
              </w:rPr>
            </w:pPr>
            <w:r>
              <w:rPr>
                <w:bCs/>
              </w:rPr>
            </w:r>
          </w:p>
          <w:p>
            <w:pPr>
              <w:pStyle w:val="Normal"/>
              <w:widowControl w:val="false"/>
              <w:ind w:left="177" w:hanging="0"/>
              <w:rPr>
                <w:bCs/>
              </w:rPr>
            </w:pPr>
            <w:r>
              <w:rPr>
                <w:bCs/>
              </w:rPr>
              <w:t>М.П.</w:t>
            </w:r>
          </w:p>
          <w:p>
            <w:pPr>
              <w:pStyle w:val="Normal"/>
              <w:widowControl w:val="false"/>
              <w:ind w:left="177" w:hanging="0"/>
              <w:rPr>
                <w:bCs/>
              </w:rPr>
            </w:pPr>
            <w:r>
              <w:rPr>
                <w:bCs/>
              </w:rPr>
            </w:r>
          </w:p>
          <w:p>
            <w:pPr>
              <w:pStyle w:val="Normal"/>
              <w:widowControl w:val="false"/>
              <w:ind w:left="177" w:hanging="0"/>
              <w:rPr>
                <w:bCs/>
              </w:rPr>
            </w:pPr>
            <w:r>
              <w:rPr>
                <w:bCs/>
              </w:rPr>
            </w:r>
          </w:p>
          <w:p>
            <w:pPr>
              <w:pStyle w:val="Normal"/>
              <w:widowControl w:val="false"/>
              <w:ind w:left="177" w:hanging="0"/>
              <w:rPr>
                <w:bCs/>
              </w:rPr>
            </w:pPr>
            <w:r>
              <w:rPr>
                <w:bCs/>
              </w:rPr>
            </w:r>
          </w:p>
        </w:tc>
      </w:tr>
    </w:tbl>
    <w:p>
      <w:pPr>
        <w:pStyle w:val="Normal"/>
        <w:widowControl/>
        <w:jc w:val="both"/>
        <w:rPr/>
      </w:pPr>
      <w:r>
        <w:rPr/>
      </w:r>
    </w:p>
    <w:p>
      <w:pPr>
        <w:pStyle w:val="Normal"/>
        <w:widowControl/>
        <w:spacing w:lineRule="auto" w:line="259" w:before="0" w:after="160"/>
        <w:rPr/>
      </w:pPr>
      <w:r>
        <w:rPr/>
      </w:r>
    </w:p>
    <w:p>
      <w:pPr>
        <w:pStyle w:val="Normal"/>
        <w:rPr/>
      </w:pPr>
      <w:r>
        <w:rPr/>
      </w:r>
    </w:p>
    <w:sectPr>
      <w:type w:val="nextPage"/>
      <w:pgSz w:orient="landscape" w:w="16838" w:h="11906"/>
      <w:pgMar w:left="426" w:right="709" w:gutter="0" w:header="0" w:top="567" w:footer="0" w:bottom="56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Cambria Math">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rFonts w:cs="Times New Roman"/>
      </w:rPr>
    </w:lvl>
    <w:lvl w:ilvl="1">
      <w:start w:val="1"/>
      <w:numFmt w:val="decimal"/>
      <w:lvlText w:val="%1.%2."/>
      <w:lvlJc w:val="left"/>
      <w:pPr>
        <w:tabs>
          <w:tab w:val="num" w:pos="0"/>
        </w:tabs>
        <w:ind w:left="927" w:hanging="360"/>
      </w:pPr>
      <w:rPr>
        <w:rFonts w:cs="Times New Roman"/>
      </w:rPr>
    </w:lvl>
    <w:lvl w:ilvl="2">
      <w:start w:val="1"/>
      <w:numFmt w:val="decimal"/>
      <w:lvlText w:val="%1.%2.%3."/>
      <w:lvlJc w:val="left"/>
      <w:pPr>
        <w:tabs>
          <w:tab w:val="num" w:pos="0"/>
        </w:tabs>
        <w:ind w:left="1494" w:hanging="720"/>
      </w:pPr>
      <w:rPr>
        <w:rFonts w:cs="Times New Roman"/>
      </w:rPr>
    </w:lvl>
    <w:lvl w:ilvl="3">
      <w:start w:val="1"/>
      <w:numFmt w:val="decimal"/>
      <w:lvlText w:val="%1.%2.%3.%4."/>
      <w:lvlJc w:val="left"/>
      <w:pPr>
        <w:tabs>
          <w:tab w:val="num" w:pos="0"/>
        </w:tabs>
        <w:ind w:left="1701" w:hanging="720"/>
      </w:pPr>
      <w:rPr>
        <w:rFonts w:cs="Times New Roman"/>
      </w:rPr>
    </w:lvl>
    <w:lvl w:ilvl="4">
      <w:start w:val="1"/>
      <w:numFmt w:val="decimal"/>
      <w:lvlText w:val="%1.%2.%3.%4.%5."/>
      <w:lvlJc w:val="left"/>
      <w:pPr>
        <w:tabs>
          <w:tab w:val="num" w:pos="0"/>
        </w:tabs>
        <w:ind w:left="2268" w:hanging="1080"/>
      </w:pPr>
      <w:rPr>
        <w:rFonts w:cs="Times New Roman"/>
      </w:rPr>
    </w:lvl>
    <w:lvl w:ilvl="5">
      <w:start w:val="1"/>
      <w:numFmt w:val="decimal"/>
      <w:lvlText w:val="%1.%2.%3.%4.%5.%6."/>
      <w:lvlJc w:val="left"/>
      <w:pPr>
        <w:tabs>
          <w:tab w:val="num" w:pos="0"/>
        </w:tabs>
        <w:ind w:left="2475" w:hanging="1080"/>
      </w:pPr>
      <w:rPr>
        <w:rFonts w:cs="Times New Roman"/>
      </w:rPr>
    </w:lvl>
    <w:lvl w:ilvl="6">
      <w:start w:val="1"/>
      <w:numFmt w:val="decimal"/>
      <w:lvlText w:val="%1.%2.%3.%4.%5.%6.%7."/>
      <w:lvlJc w:val="left"/>
      <w:pPr>
        <w:tabs>
          <w:tab w:val="num" w:pos="0"/>
        </w:tabs>
        <w:ind w:left="3042" w:hanging="1440"/>
      </w:pPr>
      <w:rPr>
        <w:rFonts w:cs="Times New Roman"/>
      </w:rPr>
    </w:lvl>
    <w:lvl w:ilvl="7">
      <w:start w:val="1"/>
      <w:numFmt w:val="decimal"/>
      <w:lvlText w:val="%1.%2.%3.%4.%5.%6.%7.%8."/>
      <w:lvlJc w:val="left"/>
      <w:pPr>
        <w:tabs>
          <w:tab w:val="num" w:pos="0"/>
        </w:tabs>
        <w:ind w:left="3249" w:hanging="1440"/>
      </w:pPr>
      <w:rPr>
        <w:rFonts w:cs="Times New Roman"/>
      </w:rPr>
    </w:lvl>
    <w:lvl w:ilvl="8">
      <w:start w:val="1"/>
      <w:numFmt w:val="decimal"/>
      <w:lvlText w:val="%1.%2.%3.%4.%5.%6.%7.%8.%9."/>
      <w:lvlJc w:val="left"/>
      <w:pPr>
        <w:tabs>
          <w:tab w:val="num" w:pos="0"/>
        </w:tabs>
        <w:ind w:left="3816" w:hanging="1800"/>
      </w:pPr>
      <w:rPr>
        <w:rFonts w:cs="Times New Roman"/>
      </w:rPr>
    </w:lvl>
  </w:abstractNum>
  <w:abstractNum w:abstractNumId="2">
    <w:lvl w:ilvl="0">
      <w:start w:val="7"/>
      <w:numFmt w:val="decimal"/>
      <w:lvlText w:val="%1."/>
      <w:lvlJc w:val="left"/>
      <w:pPr>
        <w:tabs>
          <w:tab w:val="num" w:pos="0"/>
        </w:tabs>
        <w:ind w:left="360" w:hanging="360"/>
      </w:pPr>
      <w:rPr>
        <w:rFonts w:cs="Times New Roman"/>
      </w:rPr>
    </w:lvl>
    <w:lvl w:ilvl="1">
      <w:start w:val="1"/>
      <w:numFmt w:val="decimal"/>
      <w:lvlText w:val="%1.%2."/>
      <w:lvlJc w:val="left"/>
      <w:pPr>
        <w:tabs>
          <w:tab w:val="num" w:pos="0"/>
        </w:tabs>
        <w:ind w:left="792" w:hanging="432"/>
      </w:pPr>
      <w:rPr>
        <w:rFonts w:cs="Times New Roman"/>
      </w:rPr>
    </w:lvl>
    <w:lvl w:ilvl="2">
      <w:start w:val="1"/>
      <w:numFmt w:val="decimal"/>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3739"/>
    <w:pPr>
      <w:widowControl w:val="false"/>
      <w:suppressAutoHyphens w:val="true"/>
      <w:bidi w:val="0"/>
      <w:spacing w:before="0" w:after="0"/>
      <w:jc w:val="left"/>
    </w:pPr>
    <w:rPr>
      <w:rFonts w:ascii="Times New Roman" w:hAnsi="Times New Roman" w:eastAsia="Times New Roman" w:cs="Times New Roman"/>
      <w:color w:val="auto"/>
      <w:kern w:val="0"/>
      <w:sz w:val="20"/>
      <w:szCs w:val="20"/>
      <w:lang w:val="ru-RU" w:eastAsia="ru-RU" w:bidi="ar-SA"/>
    </w:rPr>
  </w:style>
  <w:style w:type="character" w:styleId="DefaultParagraphFont" w:default="1">
    <w:name w:val="Default Paragraph Font"/>
    <w:uiPriority w:val="1"/>
    <w:semiHidden/>
    <w:unhideWhenUsed/>
    <w:qFormat/>
    <w:rPr/>
  </w:style>
  <w:style w:type="character" w:styleId="Style14" w:customStyle="1">
    <w:name w:val="Интернет-ссылка"/>
    <w:uiPriority w:val="99"/>
    <w:rsid w:val="00683739"/>
    <w:rPr>
      <w:strike w:val="false"/>
      <w:dstrike w:val="false"/>
      <w:color w:val="003399"/>
      <w:u w:val="none"/>
      <w:effect w:val="none"/>
    </w:rPr>
  </w:style>
  <w:style w:type="character" w:styleId="Style15" w:customStyle="1">
    <w:name w:val="Абзац списка Знак"/>
    <w:link w:val="ListParagraph"/>
    <w:uiPriority w:val="34"/>
    <w:qFormat/>
    <w:locked/>
    <w:rsid w:val="00683739"/>
    <w:rPr>
      <w:rFonts w:ascii="Times New Roman" w:hAnsi="Times New Roman" w:eastAsia="Times New Roman" w:cs="Times New Roman"/>
      <w:sz w:val="24"/>
      <w:szCs w:val="24"/>
      <w:lang w:eastAsia="ru-RU"/>
    </w:rPr>
  </w:style>
  <w:style w:type="character" w:styleId="Style16" w:customStyle="1">
    <w:name w:val="Символ сноски"/>
    <w:qFormat/>
    <w:rPr/>
  </w:style>
  <w:style w:type="paragraph" w:styleId="Style17">
    <w:name w:val="Заголовок"/>
    <w:basedOn w:val="Normal"/>
    <w:next w:val="Style18"/>
    <w:qFormat/>
    <w:pPr>
      <w:keepNext w:val="true"/>
      <w:spacing w:before="240" w:after="120"/>
    </w:pPr>
    <w:rPr>
      <w:rFonts w:ascii="Liberation Sans" w:hAnsi="Liberation Sans" w:eastAsia="Noto Sans CJK SC" w:cs="Lohit Devanagari"/>
      <w:sz w:val="28"/>
      <w:szCs w:val="28"/>
    </w:rPr>
  </w:style>
  <w:style w:type="paragraph" w:styleId="Style18">
    <w:name w:val="Body Text"/>
    <w:basedOn w:val="Normal"/>
    <w:pPr>
      <w:spacing w:lineRule="auto" w:line="276" w:before="0" w:after="140"/>
    </w:pPr>
    <w:rPr/>
  </w:style>
  <w:style w:type="paragraph" w:styleId="Style19">
    <w:name w:val="List"/>
    <w:basedOn w:val="Style18"/>
    <w:pPr/>
    <w:rPr>
      <w:rFonts w:cs="Lohit Devanagari"/>
    </w:rPr>
  </w:style>
  <w:style w:type="paragraph" w:styleId="Style20">
    <w:name w:val="Caption"/>
    <w:basedOn w:val="Normal"/>
    <w:qFormat/>
    <w:pPr>
      <w:suppressLineNumbers/>
      <w:spacing w:before="120" w:after="120"/>
    </w:pPr>
    <w:rPr>
      <w:rFonts w:cs="Lohit Devanagari"/>
      <w:i/>
      <w:iCs/>
      <w:sz w:val="24"/>
      <w:szCs w:val="24"/>
    </w:rPr>
  </w:style>
  <w:style w:type="paragraph" w:styleId="Style21">
    <w:name w:val="Указатель"/>
    <w:basedOn w:val="Normal"/>
    <w:qFormat/>
    <w:pPr>
      <w:suppressLineNumbers/>
    </w:pPr>
    <w:rPr>
      <w:rFonts w:cs="Lohit Devanagari"/>
    </w:rPr>
  </w:style>
  <w:style w:type="paragraph" w:styleId="Style22">
    <w:name w:val="Title"/>
    <w:basedOn w:val="Normal"/>
    <w:next w:val="Style18"/>
    <w:qFormat/>
    <w:pPr>
      <w:keepNext w:val="true"/>
      <w:spacing w:before="240" w:after="120"/>
    </w:pPr>
    <w:rPr>
      <w:rFonts w:ascii="Liberation Sans" w:hAnsi="Liberation Sans" w:eastAsia="Noto Sans CJK SC" w:cs="Lohit Devanagari"/>
      <w:sz w:val="28"/>
      <w:szCs w:val="28"/>
    </w:rPr>
  </w:style>
  <w:style w:type="paragraph" w:styleId="Caption">
    <w:name w:val="caption"/>
    <w:basedOn w:val="Normal"/>
    <w:qFormat/>
    <w:pPr>
      <w:suppressLineNumbers/>
      <w:spacing w:before="120" w:after="120"/>
    </w:pPr>
    <w:rPr>
      <w:rFonts w:cs="Lohit Devanagari"/>
      <w:i/>
      <w:iCs/>
      <w:sz w:val="24"/>
      <w:szCs w:val="24"/>
    </w:rPr>
  </w:style>
  <w:style w:type="paragraph" w:styleId="Indexheading">
    <w:name w:val="index heading"/>
    <w:basedOn w:val="Normal"/>
    <w:qFormat/>
    <w:pPr>
      <w:suppressLineNumbers/>
    </w:pPr>
    <w:rPr>
      <w:rFonts w:cs="Lohit Devanagari"/>
    </w:rPr>
  </w:style>
  <w:style w:type="paragraph" w:styleId="ConsPlusNormal" w:customStyle="1">
    <w:name w:val="ConsPlusNormal"/>
    <w:qFormat/>
    <w:rsid w:val="00683739"/>
    <w:pPr>
      <w:widowControl w:val="false"/>
      <w:suppressAutoHyphens w:val="true"/>
      <w:bidi w:val="0"/>
      <w:spacing w:before="0" w:after="0"/>
      <w:ind w:firstLine="720"/>
      <w:jc w:val="left"/>
    </w:pPr>
    <w:rPr>
      <w:rFonts w:ascii="Arial" w:hAnsi="Arial" w:eastAsia="Times New Roman" w:cs="Arial"/>
      <w:color w:val="auto"/>
      <w:kern w:val="0"/>
      <w:sz w:val="20"/>
      <w:szCs w:val="20"/>
      <w:lang w:val="ru-RU" w:eastAsia="ru-RU" w:bidi="ar-SA"/>
    </w:rPr>
  </w:style>
  <w:style w:type="paragraph" w:styleId="ListParagraph">
    <w:name w:val="List Paragraph"/>
    <w:basedOn w:val="Normal"/>
    <w:link w:val="Style15"/>
    <w:uiPriority w:val="34"/>
    <w:qFormat/>
    <w:rsid w:val="00683739"/>
    <w:pPr>
      <w:widowControl/>
      <w:ind w:left="708" w:hanging="0"/>
    </w:pPr>
    <w:rPr>
      <w:sz w:val="24"/>
      <w:szCs w:val="24"/>
    </w:rPr>
  </w:style>
  <w:style w:type="paragraph" w:styleId="Style23" w:customStyle="1">
    <w:name w:val="Обычный + по ширине"/>
    <w:basedOn w:val="Normal"/>
    <w:qFormat/>
    <w:rsid w:val="00683739"/>
    <w:pPr>
      <w:widowControl/>
      <w:jc w:val="both"/>
    </w:pPr>
    <w:rPr>
      <w:sz w:val="24"/>
      <w:szCs w:val="24"/>
    </w:rPr>
  </w:style>
  <w:style w:type="paragraph" w:styleId="Style74" w:customStyle="1">
    <w:name w:val="Style74"/>
    <w:basedOn w:val="Normal"/>
    <w:uiPriority w:val="99"/>
    <w:qFormat/>
    <w:rsid w:val="00666894"/>
    <w:pPr>
      <w:spacing w:lineRule="exact" w:line="281"/>
      <w:ind w:firstLine="529"/>
      <w:jc w:val="both"/>
    </w:pPr>
    <w:rPr>
      <w:sz w:val="24"/>
      <w:szCs w:val="24"/>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upteploresurszmn@mail.ru"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ages>8</Pages>
  <Words>3018</Words>
  <Characters>21388</Characters>
  <CharactersWithSpaces>24378</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2026-08-17T10:21:00Z</dcterms:created>
  <dc:creator>nerdanel</dc:creator>
  <dc:description/>
  <dc:language>ru-RU</dc:language>
  <cp:lastModifiedBy/>
  <dcterms:modified xsi:type="dcterms:W3CDTF">2026-08-18T08:36:54Z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