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ind w:left="6804" w:hanging="0"/>
        <w:rPr>
          <w:rFonts w:ascii="Times New Roman" w:hAnsi="Times New Roman" w:eastAsia="Times New Roman" w:cs="Times New Roman"/>
          <w:b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 xml:space="preserve">РАЗДЕЛ 3. </w:t>
      </w:r>
    </w:p>
    <w:p>
      <w:pPr>
        <w:pStyle w:val="Normal"/>
        <w:widowControl w:val="false"/>
        <w:spacing w:lineRule="auto" w:line="240" w:before="0" w:after="0"/>
        <w:ind w:left="6804" w:hanging="0"/>
        <w:rPr>
          <w:rFonts w:ascii="Times New Roman" w:hAnsi="Times New Roman" w:eastAsia="Times New Roman" w:cs="Times New Roman"/>
          <w:b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>(приложение к аукционной документации)</w:t>
      </w:r>
    </w:p>
    <w:p>
      <w:pPr>
        <w:pStyle w:val="Normal"/>
        <w:widowControl w:val="false"/>
        <w:spacing w:lineRule="auto" w:line="240" w:before="0" w:after="0"/>
        <w:ind w:left="6804" w:hanging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ОПИСАНИЕ ОБЪЕКТА ЗАКУПКИ (ТЕХНИЧЕСКОЕ ЗАДАНИЕ)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на поставку ГСМ</w:t>
      </w:r>
    </w:p>
    <w:p>
      <w:pPr>
        <w:pStyle w:val="ListParagraph"/>
        <w:numPr>
          <w:ilvl w:val="0"/>
          <w:numId w:val="1"/>
        </w:numPr>
        <w:ind w:left="0" w:hanging="0"/>
        <w:jc w:val="left"/>
        <w:rPr>
          <w:b/>
          <w:b/>
          <w:sz w:val="20"/>
        </w:rPr>
      </w:pPr>
      <w:r>
        <w:rPr>
          <w:b/>
          <w:sz w:val="20"/>
        </w:rPr>
        <w:t>Функциональные, технические и качественные характеристики, эксплуатационные характеристики объекта закупки</w:t>
      </w:r>
    </w:p>
    <w:tbl>
      <w:tblPr>
        <w:tblW w:w="5000" w:type="pct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3"/>
        <w:gridCol w:w="919"/>
        <w:gridCol w:w="2538"/>
        <w:gridCol w:w="1392"/>
        <w:gridCol w:w="1600"/>
        <w:gridCol w:w="739"/>
        <w:gridCol w:w="1143"/>
      </w:tblGrid>
      <w:tr>
        <w:trPr>
          <w:trHeight w:val="985" w:hRule="atLeast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Наименование показателя товара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Значение показателя товара, которое не может изменяться участником при подаче заявки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Значение показателя товара, при определении которого участником могут не и пользоваться точные цифровые или иные параметры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ОКПД 2</w:t>
            </w:r>
          </w:p>
        </w:tc>
      </w:tr>
      <w:tr>
        <w:trPr>
          <w:trHeight w:val="410" w:hRule="atLeast"/>
        </w:trPr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Бензин автомобильный АИ-92 </w:t>
            </w:r>
          </w:p>
        </w:tc>
        <w:tc>
          <w:tcPr>
            <w:tcW w:w="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Экологический класс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Не ниже К5 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60000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19.20.21.125</w:t>
            </w:r>
          </w:p>
        </w:tc>
      </w:tr>
      <w:tr>
        <w:trPr>
          <w:trHeight w:val="570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Октановое число бензина автомобильного по исследовательскому методу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6" w:firstLine="106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92 и &lt; 95</w:t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570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ГОСТ 32513-2023 «Бензин автомобильный. Технические условия»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49" w:hRule="atLeast"/>
        </w:trPr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Бензин автомобильный 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АИ-95 </w:t>
            </w:r>
          </w:p>
        </w:tc>
        <w:tc>
          <w:tcPr>
            <w:tcW w:w="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Экологический класс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Не ниже К5 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19.20.21.135</w:t>
            </w:r>
          </w:p>
        </w:tc>
      </w:tr>
      <w:tr>
        <w:trPr>
          <w:trHeight w:val="918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Октановое число бензина автомобильного по исследовательскому методу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95 и &lt; 98</w:t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918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ГОСТ 32513-2023 «Бензин автомобильный. Технические условия»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91" w:hRule="atLeast"/>
        </w:trPr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Дизельное топливо (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highlight w:val="yellow"/>
                <w:lang w:eastAsia="ru-RU"/>
              </w:rPr>
              <w:t>зимнее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Экологический класс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Не ниже К5 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30000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highlight w:val="yellow"/>
                <w:lang w:eastAsia="ru-RU"/>
              </w:rPr>
              <w:t>19.20.21.345</w:t>
            </w:r>
          </w:p>
        </w:tc>
      </w:tr>
      <w:tr>
        <w:trPr>
          <w:trHeight w:val="277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Тип топлива дизельного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Зимнее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16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Сорт/класс топлива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yellow"/>
                <w:lang w:eastAsia="ru-RU"/>
              </w:rPr>
            </w:pPr>
            <w:commentRangeStart w:id="0"/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highlight w:val="yellow"/>
                <w:lang w:eastAsia="ru-RU"/>
              </w:rPr>
              <w:t xml:space="preserve">Не ниже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highlight w:val="yellow"/>
                <w:lang w:val="en-US" w:eastAsia="ru-RU"/>
              </w:rPr>
              <w:t>F</w:t>
            </w:r>
            <w:commentRangeEnd w:id="0"/>
            <w:r>
              <w:commentReference w:id="0"/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highlight w:val="yellow"/>
                <w:lang w:val="en-US" w:eastAsia="ru-RU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16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ГОСТ 32511-2013 «Топливо дизельное ЕВРО. Технические условия»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pStyle w:val="ListParagraph"/>
        <w:ind w:left="0" w:hanging="0"/>
        <w:rPr>
          <w:rFonts w:eastAsia="Calibri" w:eastAsiaTheme="minorHAnsi"/>
          <w:sz w:val="20"/>
          <w:lang w:eastAsia="en-US"/>
        </w:rPr>
      </w:pPr>
      <w:r>
        <w:rPr>
          <w:rFonts w:eastAsia="Calibri" w:eastAsiaTheme="minorHAnsi"/>
          <w:sz w:val="20"/>
          <w:lang w:eastAsia="en-US"/>
        </w:rPr>
      </w:r>
    </w:p>
    <w:p>
      <w:pPr>
        <w:pStyle w:val="ListParagraph"/>
        <w:ind w:left="0" w:hanging="0"/>
        <w:rPr>
          <w:sz w:val="20"/>
        </w:rPr>
      </w:pPr>
      <w:r>
        <w:rPr>
          <w:rFonts w:eastAsia="Calibri" w:eastAsiaTheme="minorHAnsi"/>
          <w:sz w:val="20"/>
          <w:lang w:eastAsia="en-US"/>
        </w:rPr>
        <w:t>Поставщик обеспечивает заправку автомобильного транспорта Заказчика через сеть АЗС/АЗК, находящихся на территории Алтайского края, в том числе  г. Змеиногорска на расстоянии не более чем 7 км от места нахождения Заказчика (улица Ленина, 31), а также возможность заправки на АЗС, расположенных на трасах по направлению следования: г. Змеиногорск - г. Барнаул; г. Змеиногорск- г. Рубцовск.</w:t>
      </w:r>
    </w:p>
    <w:p>
      <w:pPr>
        <w:pStyle w:val="ListParagraph"/>
        <w:numPr>
          <w:ilvl w:val="0"/>
          <w:numId w:val="1"/>
        </w:numPr>
        <w:ind w:left="0" w:hanging="0"/>
        <w:rPr>
          <w:sz w:val="20"/>
        </w:rPr>
      </w:pPr>
      <w:r>
        <w:rPr>
          <w:b/>
          <w:bCs/>
          <w:sz w:val="20"/>
        </w:rPr>
        <w:t>Срок поставки товаров:</w:t>
      </w:r>
      <w:r>
        <w:rPr>
          <w:sz w:val="20"/>
        </w:rPr>
        <w:t xml:space="preserve"> Поставка товара осуществляется с </w:t>
      </w:r>
      <w:r>
        <w:rPr>
          <w:sz w:val="20"/>
        </w:rPr>
        <w:t>01.01.27</w:t>
      </w:r>
      <w:r>
        <w:rPr>
          <w:sz w:val="20"/>
        </w:rPr>
        <w:t>, и по 31.</w:t>
      </w:r>
      <w:r>
        <w:rPr>
          <w:sz w:val="20"/>
        </w:rPr>
        <w:t>03</w:t>
      </w:r>
      <w:r>
        <w:rPr>
          <w:sz w:val="20"/>
        </w:rPr>
        <w:t>.202</w:t>
      </w:r>
      <w:r>
        <w:rPr>
          <w:sz w:val="20"/>
        </w:rPr>
        <w:t>7</w:t>
      </w:r>
      <w:r>
        <w:rPr>
          <w:sz w:val="20"/>
        </w:rPr>
        <w:t xml:space="preserve"> года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fals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nerdanel" w:date="2026-04-27T11:26:00Z" w:initials="n">
    <w:p>
      <w:r>
        <w:rPr>
          <w:rFonts w:ascii="Arial" w:hAnsi="Arial" w:eastAsia="Arial" w:cs="Arial"/>
          <w:sz w:val="24"/>
          <w:szCs w:val="24"/>
          <w:lang w:val="en-US" w:eastAsia="en-US" w:bidi="en-US"/>
        </w:rPr>
        <w:t>Класс F считается межсезонным ДТ, а не зимним. Уточните сведения, подсвеченные желтымм. Указан ОКПД 2 на Топливо дизельное межсезонное экологического класса К5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924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88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692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5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46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024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28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92" w:hanging="1800"/>
      </w:pPr>
      <w:rPr/>
    </w:lvl>
  </w:abstractNum>
  <w:abstractNum w:abstractNumId="2">
    <w:lvl w:ilvl="0">
      <w:start w:val="1"/>
      <w:numFmt w:val="decimal"/>
      <w:suff w:val="space"/>
      <w:lvlText w:val="Статья %1."/>
      <w:lvlJc w:val="left"/>
      <w:pPr>
        <w:tabs>
          <w:tab w:val="num" w:pos="0"/>
        </w:tabs>
        <w:ind w:left="567" w:hanging="0"/>
      </w:pPr>
      <w:rPr>
        <w:sz w:val="22"/>
        <w:i w:val="false"/>
        <w:b/>
        <w:rFonts w:ascii="Times New Roman" w:hAnsi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dstrike w:val="false"/>
        <w:strike w:val="false"/>
        <w:vertAlign w:val="baseline"/>
        <w:position w:val="0"/>
        <w:sz w:val="20"/>
        <w:sz w:val="20"/>
        <w:i w:val="false"/>
        <w:b/>
        <w:rFonts w:ascii="Times New Roman" w:hAnsi="Times New Roman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567" w:hanging="567"/>
      </w:pPr>
      <w:rPr>
        <w:vertAlign w:val="baseline"/>
        <w:position w:val="0"/>
        <w:sz w:val="20"/>
        <w:sz w:val="20"/>
        <w:i w:val="false"/>
        <w:b/>
        <w:rFonts w:ascii="Times New Roman" w:hAnsi="Times New Roman"/>
      </w:rPr>
    </w:lvl>
    <w:lvl w:ilvl="3">
      <w:start w:val="1"/>
      <w:numFmt w:val="decimal"/>
      <w:lvlText w:val="%1.%2.%3.%4."/>
      <w:lvlJc w:val="left"/>
      <w:pPr>
        <w:tabs>
          <w:tab w:val="num" w:pos="709"/>
        </w:tabs>
        <w:ind w:left="567" w:hanging="567"/>
      </w:pPr>
      <w:rPr/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567" w:hanging="567"/>
      </w:pPr>
      <w:rPr/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567" w:hanging="567"/>
      </w:pPr>
      <w:rPr/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567" w:hanging="567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567" w:hanging="567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567" w:hanging="567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Liberation Sans" w:hAnsi="Liberation Sans" w:eastAsia="Liberation Sans" w:cs="Liberation Sans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Style9" w:customStyle="1">
    <w:name w:val="Нижний колонтитул Знак"/>
    <w:basedOn w:val="DefaultParagraphFont"/>
    <w:uiPriority w:val="99"/>
    <w:qFormat/>
    <w:rPr/>
  </w:style>
  <w:style w:type="character" w:styleId="Style10" w:customStyle="1">
    <w:name w:val="Название объекта Знак"/>
    <w:basedOn w:val="DefaultParagraphFont"/>
    <w:link w:val="Caption"/>
    <w:uiPriority w:val="35"/>
    <w:qFormat/>
    <w:rPr>
      <w:b/>
      <w:bCs/>
      <w:color w:val="4472C4" w:themeColor="accent1"/>
      <w:sz w:val="18"/>
      <w:szCs w:val="18"/>
    </w:rPr>
  </w:style>
  <w:style w:type="character" w:styleId="Style11">
    <w:name w:val="Интернет-ссылка"/>
    <w:uiPriority w:val="99"/>
    <w:unhideWhenUsed/>
    <w:rPr>
      <w:color w:val="0563C1" w:themeColor="hyperlink"/>
      <w:u w:val="single"/>
    </w:rPr>
  </w:style>
  <w:style w:type="character" w:styleId="Style12" w:customStyle="1">
    <w:name w:val="Текст сноски Знак"/>
    <w:uiPriority w:val="99"/>
    <w:qFormat/>
    <w:rPr>
      <w:sz w:val="18"/>
    </w:rPr>
  </w:style>
  <w:style w:type="character" w:styleId="Style13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4">
    <w:name w:val="Привязка сноски"/>
    <w:rPr>
      <w:vertAlign w:val="superscript"/>
    </w:rPr>
  </w:style>
  <w:style w:type="character" w:styleId="Style15" w:customStyle="1">
    <w:name w:val="Текст концевой сноски Знак"/>
    <w:uiPriority w:val="99"/>
    <w:qFormat/>
    <w:rPr>
      <w:sz w:val="20"/>
    </w:rPr>
  </w:style>
  <w:style w:type="character" w:styleId="Style1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7">
    <w:name w:val="Привязка концевой сноски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8" w:customStyle="1">
    <w:name w:val="Текст примечания Знак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Style19" w:customStyle="1">
    <w:name w:val="Тема примечания Знак"/>
    <w:basedOn w:val="Style18"/>
    <w:link w:val="Annotationsubject"/>
    <w:uiPriority w:val="99"/>
    <w:semiHidden/>
    <w:qFormat/>
    <w:rPr>
      <w:b/>
      <w:bCs/>
      <w:sz w:val="20"/>
      <w:szCs w:val="20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Lohit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5">
    <w:name w:val="Title"/>
    <w:basedOn w:val="Normal"/>
    <w:next w:val="Style21"/>
    <w:link w:val="Style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6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9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30">
    <w:name w:val="Footnote Text"/>
    <w:basedOn w:val="Normal"/>
    <w:link w:val="Style12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1">
    <w:name w:val="Endnote Text"/>
    <w:basedOn w:val="Normal"/>
    <w:link w:val="Style15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Caption">
    <w:name w:val="caption"/>
    <w:basedOn w:val="Normal"/>
    <w:link w:val="Style1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8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9"/>
    <w:uiPriority w:val="99"/>
    <w:semiHidden/>
    <w:unhideWhenUsed/>
    <w:qFormat/>
    <w:pPr/>
    <w:rPr>
      <w:b/>
      <w:bCs/>
    </w:rPr>
  </w:style>
  <w:style w:type="paragraph" w:styleId="Revision">
    <w:name w:val="Revision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99"/>
    <w:qFormat/>
    <w:pPr>
      <w:spacing w:lineRule="auto" w:line="240" w:before="0" w:after="0"/>
      <w:ind w:left="720" w:hanging="0"/>
      <w:contextualSpacing/>
      <w:jc w:val="both"/>
    </w:pPr>
    <w:rPr>
      <w:rFonts w:ascii="Times New Roman" w:hAnsi="Times New Roman" w:eastAsia="Times New Roman" w:cs="Times New Roman"/>
      <w:szCs w:val="20"/>
      <w:lang w:eastAsia="ru-RU"/>
    </w:rPr>
  </w:style>
  <w:style w:type="paragraph" w:styleId="ConsPlusNormal" w:customStyle="1">
    <w:name w:val="ConsPlus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Style34" w:customStyle="1">
    <w:name w:val="Подпункт контракта"/>
    <w:basedOn w:val="ConsPlusNormal"/>
    <w:qFormat/>
    <w:pPr>
      <w:numPr>
        <w:ilvl w:val="2"/>
        <w:numId w:val="2"/>
      </w:numPr>
      <w:jc w:val="both"/>
    </w:pPr>
    <w:rPr>
      <w:rFonts w:ascii="Times New Roman" w:hAnsi="Times New Roman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1</Pages>
  <Words>219</Words>
  <Characters>1467</Characters>
  <CharactersWithSpaces>1647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2026-08-17T06:10:00Z</dcterms:created>
  <dc:creator>nerdanel</dc:creator>
  <dc:description/>
  <dc:language>ru-RU</dc:language>
  <cp:lastModifiedBy/>
  <dcterms:modified xsi:type="dcterms:W3CDTF">2026-08-18T15:14:27Z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