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0"/>
        <w:ind w:hanging="0" w:left="0"/>
        <w:contextualSpacing/>
        <w:jc w:val="center"/>
        <w:outlineLvl w:val="0"/>
        <w:rPr>
          <w:rFonts w:ascii="Times New Roman" w:hAnsi="Times New Roman"/>
          <w:b/>
        </w:rPr>
      </w:pPr>
      <w:r>
        <w:rPr>
          <w:rFonts w:ascii="Times New Roman" w:hAnsi="Times New Roman"/>
          <w:b/>
        </w:rPr>
        <w:t>Договор № ____________</w:t>
      </w:r>
    </w:p>
    <w:p>
      <w:pPr>
        <w:pStyle w:val="Normal"/>
        <w:spacing w:lineRule="auto" w:line="240" w:before="0" w:after="0"/>
        <w:contextualSpacing/>
        <w:rPr>
          <w:rFonts w:ascii="Times New Roman" w:hAnsi="Times New Roman"/>
        </w:rPr>
      </w:pPr>
      <w:r>
        <w:rPr>
          <w:rFonts w:ascii="Times New Roman" w:hAnsi="Times New Roman"/>
        </w:rPr>
      </w:r>
    </w:p>
    <w:p>
      <w:pPr>
        <w:pStyle w:val="Normal"/>
        <w:spacing w:lineRule="auto" w:line="240" w:before="0" w:after="0"/>
        <w:contextualSpacing/>
        <w:rPr>
          <w:rFonts w:ascii="Times New Roman" w:hAnsi="Times New Roman"/>
        </w:rPr>
      </w:pPr>
      <w:r>
        <w:rPr>
          <w:rFonts w:ascii="Times New Roman" w:hAnsi="Times New Roman"/>
        </w:rPr>
        <w:t>г. Москва</w:t>
        <w:tab/>
        <w:tab/>
        <w:tab/>
        <w:tab/>
        <w:tab/>
        <w:tab/>
        <w:tab/>
        <w:t xml:space="preserve">                     «____»__________2026 г.</w:t>
      </w:r>
    </w:p>
    <w:p>
      <w:pPr>
        <w:pStyle w:val="Normal"/>
        <w:spacing w:lineRule="auto" w:line="240" w:before="0" w:after="0"/>
        <w:contextualSpacing/>
        <w:rPr>
          <w:rFonts w:ascii="Times New Roman" w:hAnsi="Times New Roman"/>
        </w:rPr>
      </w:pPr>
      <w:r>
        <w:rPr>
          <w:rFonts w:ascii="Times New Roman" w:hAnsi="Times New Roman"/>
        </w:rPr>
      </w:r>
    </w:p>
    <w:p>
      <w:pPr>
        <w:pStyle w:val="BodyText"/>
        <w:tabs>
          <w:tab w:val="clear" w:pos="708"/>
          <w:tab w:val="left" w:pos="142" w:leader="none"/>
        </w:tabs>
        <w:spacing w:lineRule="auto" w:line="240" w:before="0" w:after="0"/>
        <w:ind w:firstLine="709"/>
        <w:contextualSpacing/>
        <w:rPr>
          <w:rFonts w:ascii="Times New Roman" w:hAnsi="Times New Roman"/>
          <w:sz w:val="22"/>
          <w:szCs w:val="22"/>
        </w:rPr>
      </w:pPr>
      <w:r>
        <w:rPr>
          <w:sz w:val="22"/>
          <w:szCs w:val="22"/>
        </w:rPr>
        <w:t>Акционерное общество «Специализированный научно-исследовательский институт приборостроения» (АО «СНИИП»), именуемое в дальнейшем «Покупатель», в лице генерального директора Никитина Алексея Борисовича, действующего на основании Устава, с одной стороны, и _________________ (_____________________) , далее именуемое «Поставщик», в лице ___________________________, действующего на основании ____________________, с другой стороны, именуемые в дальнейшем «Стороны», заключили настоящий Договор (далее – Договор) о нижеследующем:</w:t>
      </w:r>
    </w:p>
    <w:p>
      <w:pPr>
        <w:pStyle w:val="BodyText"/>
        <w:tabs>
          <w:tab w:val="clear" w:pos="708"/>
          <w:tab w:val="left" w:pos="142" w:leader="none"/>
        </w:tabs>
        <w:spacing w:lineRule="auto" w:line="240" w:before="0" w:after="0"/>
        <w:ind w:firstLine="709"/>
        <w:contextualSpacing/>
        <w:rPr>
          <w:rFonts w:ascii="Times New Roman" w:hAnsi="Times New Roman"/>
          <w:sz w:val="22"/>
          <w:szCs w:val="22"/>
        </w:rPr>
      </w:pPr>
      <w:r>
        <w:rPr>
          <w:sz w:val="22"/>
          <w:szCs w:val="22"/>
        </w:rPr>
      </w:r>
    </w:p>
    <w:p>
      <w:pPr>
        <w:pStyle w:val="Normal"/>
        <w:numPr>
          <w:ilvl w:val="0"/>
          <w:numId w:val="1"/>
        </w:numPr>
        <w:spacing w:lineRule="auto" w:line="240" w:before="0" w:after="0"/>
        <w:contextualSpacing/>
        <w:jc w:val="center"/>
        <w:rPr>
          <w:rFonts w:ascii="Times New Roman" w:hAnsi="Times New Roman"/>
          <w:sz w:val="22"/>
          <w:szCs w:val="22"/>
        </w:rPr>
      </w:pPr>
      <w:r>
        <w:rPr>
          <w:rFonts w:ascii="Times New Roman" w:hAnsi="Times New Roman"/>
          <w:b/>
          <w:sz w:val="22"/>
          <w:szCs w:val="22"/>
        </w:rPr>
        <w:t>Предмет Договора.</w:t>
      </w:r>
    </w:p>
    <w:p>
      <w:pPr>
        <w:pStyle w:val="Normal"/>
        <w:spacing w:lineRule="auto" w:line="240" w:before="0" w:after="0"/>
        <w:ind w:hanging="0" w:left="540"/>
        <w:contextualSpacing/>
        <w:rPr>
          <w:rFonts w:ascii="Times New Roman" w:hAnsi="Times New Roman"/>
          <w:b/>
          <w:sz w:val="22"/>
          <w:szCs w:val="22"/>
        </w:rPr>
      </w:pPr>
      <w:r>
        <w:rPr>
          <w:rFonts w:ascii="Times New Roman" w:hAnsi="Times New Roman"/>
          <w:b/>
          <w:sz w:val="22"/>
          <w:szCs w:val="22"/>
        </w:rPr>
      </w:r>
    </w:p>
    <w:p>
      <w:pPr>
        <w:pStyle w:val="BodyText2"/>
        <w:spacing w:lineRule="auto" w:line="240" w:before="0" w:after="0"/>
        <w:ind w:firstLine="709" w:left="0"/>
        <w:contextualSpacing/>
        <w:rPr>
          <w:rFonts w:ascii="Times New Roman" w:hAnsi="Times New Roman"/>
          <w:sz w:val="22"/>
          <w:szCs w:val="22"/>
        </w:rPr>
      </w:pPr>
      <w:r>
        <w:rPr>
          <w:sz w:val="22"/>
          <w:szCs w:val="22"/>
        </w:rPr>
        <w:t xml:space="preserve">1.1. В соответствии с настоящим Договором Поставщик обязуется поставить и передать в собственность Покупателя товар согласно Спецификации и требованиям Технического задания, являющихся приложениями № 1 и № 4 настоящего Договора (далее — продукция), а Покупатель обязуется принять и оплатить продукцию на условиях, установленных настоящим Договором. </w:t>
      </w:r>
    </w:p>
    <w:p>
      <w:pPr>
        <w:pStyle w:val="BodyText2"/>
        <w:spacing w:lineRule="auto" w:line="240" w:before="0" w:after="0"/>
        <w:ind w:firstLine="709" w:left="0"/>
        <w:contextualSpacing/>
        <w:rPr>
          <w:rFonts w:ascii="Times New Roman" w:hAnsi="Times New Roman"/>
          <w:sz w:val="22"/>
          <w:szCs w:val="22"/>
        </w:rPr>
      </w:pPr>
      <w:r>
        <w:rPr>
          <w:sz w:val="22"/>
          <w:szCs w:val="22"/>
        </w:rPr>
        <w:t>1.2. Наименование, номенклатура продукции, ее количество, цена за единицу продукции, качество (комплектность), сроки поставки, место поставки, а также иные (дополнительные) условия указываются в Спецификации и Техническом задании.</w:t>
      </w:r>
    </w:p>
    <w:p>
      <w:pPr>
        <w:pStyle w:val="BodyText2"/>
        <w:spacing w:lineRule="auto" w:line="240" w:before="0" w:after="0"/>
        <w:ind w:firstLine="709" w:left="0"/>
        <w:contextualSpacing/>
        <w:rPr>
          <w:rFonts w:ascii="Times New Roman" w:hAnsi="Times New Roman"/>
          <w:sz w:val="22"/>
          <w:szCs w:val="22"/>
        </w:rPr>
      </w:pPr>
      <w:r>
        <w:rPr>
          <w:sz w:val="22"/>
          <w:szCs w:val="22"/>
        </w:rPr>
        <w:t xml:space="preserve">1.3. </w:t>
      </w:r>
      <w:r>
        <w:rPr>
          <w:rFonts w:cs="Times New Roman"/>
          <w:color w:val="auto"/>
          <w:kern w:val="0"/>
          <w:sz w:val="22"/>
          <w:szCs w:val="22"/>
          <w:lang w:val="ru-RU" w:bidi="ar-SA"/>
        </w:rPr>
        <w:t>Продукция должна быть новой, то есть не бывшей в употреблении (эксплуатации), не прошедшей ремонт, в том числе восстановление, замену составных частей, восстановление потребительских свойств, без дефектов материала и изготовления, не модифицированная, не переделанная, не поврежденная, без каких-либо ограничений (залог, запрет, арест и т. п.), не являться выставочным образцом, не иметь механических повреждений, не иметь следов коррозии. Продукция должна быть произведенной не ранее 2026г.</w:t>
      </w:r>
    </w:p>
    <w:p>
      <w:pPr>
        <w:pStyle w:val="BodyText2"/>
        <w:spacing w:lineRule="auto" w:line="240" w:before="0" w:after="0"/>
        <w:ind w:firstLine="709" w:left="0"/>
        <w:contextualSpacing/>
        <w:rPr>
          <w:rFonts w:ascii="Times New Roman" w:hAnsi="Times New Roman"/>
          <w:sz w:val="22"/>
          <w:szCs w:val="22"/>
        </w:rPr>
      </w:pPr>
      <w:r>
        <w:rPr>
          <w:sz w:val="22"/>
          <w:szCs w:val="22"/>
        </w:rPr>
      </w:r>
    </w:p>
    <w:p>
      <w:pPr>
        <w:pStyle w:val="BodyText2"/>
        <w:numPr>
          <w:ilvl w:val="0"/>
          <w:numId w:val="1"/>
        </w:numPr>
        <w:spacing w:lineRule="auto" w:line="240" w:before="0" w:after="0"/>
        <w:contextualSpacing/>
        <w:jc w:val="center"/>
        <w:rPr>
          <w:rFonts w:ascii="Times New Roman" w:hAnsi="Times New Roman"/>
          <w:sz w:val="22"/>
          <w:szCs w:val="22"/>
        </w:rPr>
      </w:pPr>
      <w:r>
        <w:rPr>
          <w:b/>
          <w:sz w:val="22"/>
          <w:szCs w:val="22"/>
        </w:rPr>
        <w:t>Срок и условия поставки.</w:t>
      </w:r>
    </w:p>
    <w:p>
      <w:pPr>
        <w:pStyle w:val="BodyText2"/>
        <w:tabs>
          <w:tab w:val="clear" w:pos="2167"/>
        </w:tabs>
        <w:spacing w:lineRule="auto" w:line="240" w:before="0" w:after="0"/>
        <w:ind w:hanging="0" w:left="540"/>
        <w:contextualSpacing/>
        <w:rPr>
          <w:rFonts w:ascii="Times New Roman" w:hAnsi="Times New Roman"/>
          <w:b/>
          <w:sz w:val="22"/>
          <w:szCs w:val="22"/>
        </w:rPr>
      </w:pPr>
      <w:r>
        <w:rPr>
          <w:b/>
          <w:sz w:val="22"/>
          <w:szCs w:val="22"/>
        </w:rPr>
      </w:r>
    </w:p>
    <w:p>
      <w:pPr>
        <w:pStyle w:val="BodyText"/>
        <w:tabs>
          <w:tab w:val="clear" w:pos="708"/>
          <w:tab w:val="left" w:pos="142" w:leader="none"/>
        </w:tabs>
        <w:spacing w:lineRule="auto" w:line="240" w:before="0" w:after="0"/>
        <w:ind w:firstLine="709"/>
        <w:contextualSpacing/>
        <w:rPr>
          <w:rFonts w:ascii="Times New Roman" w:hAnsi="Times New Roman"/>
          <w:sz w:val="22"/>
          <w:szCs w:val="22"/>
        </w:rPr>
      </w:pPr>
      <w:r>
        <w:rPr>
          <w:sz w:val="22"/>
          <w:szCs w:val="22"/>
        </w:rPr>
        <w:t xml:space="preserve">2.1. Срок поставки продукции по настоящему Договору указывается в Спецификации (приложение №1 к Договору). </w:t>
      </w:r>
    </w:p>
    <w:p>
      <w:pPr>
        <w:pStyle w:val="BodyText2"/>
        <w:tabs>
          <w:tab w:val="left" w:pos="0" w:leader="none"/>
          <w:tab w:val="left" w:pos="2167" w:leader="none"/>
        </w:tabs>
        <w:spacing w:lineRule="auto" w:line="240" w:before="0" w:after="0"/>
        <w:ind w:firstLine="709" w:left="0"/>
        <w:contextualSpacing/>
        <w:rPr>
          <w:rFonts w:ascii="Times New Roman" w:hAnsi="Times New Roman"/>
          <w:sz w:val="22"/>
          <w:szCs w:val="22"/>
        </w:rPr>
      </w:pPr>
      <w:r>
        <w:rPr>
          <w:sz w:val="22"/>
          <w:szCs w:val="22"/>
        </w:rPr>
        <w:t>2.2. Датой поставки продукции считается дата приема продукции, на складе Покупателя расположенном по адресу г. Москва, ул. Расплетина д.5 стр.1, указанная в товарной накладной (ТОРГ- 12) или в универсальном передаточном документе (УПД).</w:t>
      </w:r>
    </w:p>
    <w:p>
      <w:pPr>
        <w:pStyle w:val="BodyText2"/>
        <w:tabs>
          <w:tab w:val="clear" w:pos="2167"/>
          <w:tab w:val="left" w:pos="0" w:leader="none"/>
        </w:tabs>
        <w:spacing w:lineRule="auto" w:line="240" w:before="0" w:after="0"/>
        <w:ind w:firstLine="709" w:left="0"/>
        <w:contextualSpacing/>
        <w:rPr>
          <w:rFonts w:ascii="Times New Roman" w:hAnsi="Times New Roman"/>
          <w:sz w:val="22"/>
          <w:szCs w:val="22"/>
        </w:rPr>
      </w:pPr>
      <w:r>
        <w:rPr>
          <w:sz w:val="22"/>
          <w:szCs w:val="22"/>
        </w:rPr>
        <w:t xml:space="preserve">2.3. </w:t>
      </w:r>
      <w:r>
        <w:rPr>
          <w:iCs/>
          <w:sz w:val="22"/>
          <w:szCs w:val="22"/>
        </w:rPr>
        <w:t xml:space="preserve">Маркировка продукции должна соответствовать действующим стандартам, техническим условиям, техническим регламентам изготовителя, указанным в Техническом задании,  и условиям настоящего Договора. Каждая единица продукции должна быть промаркирована методом наклеивания ярлыков из водостойкой пленки (наименование, размер, отбой завода изготовителя). </w:t>
      </w:r>
    </w:p>
    <w:p>
      <w:pPr>
        <w:pStyle w:val="BodyText2"/>
        <w:tabs>
          <w:tab w:val="clear" w:pos="2167"/>
          <w:tab w:val="left" w:pos="0" w:leader="none"/>
        </w:tabs>
        <w:spacing w:lineRule="auto" w:line="240" w:before="0" w:after="0"/>
        <w:ind w:firstLine="709" w:left="0"/>
        <w:contextualSpacing/>
        <w:rPr>
          <w:rFonts w:ascii="Times New Roman" w:hAnsi="Times New Roman"/>
          <w:sz w:val="22"/>
          <w:szCs w:val="22"/>
        </w:rPr>
      </w:pPr>
      <w:r>
        <w:rPr>
          <w:iCs/>
          <w:sz w:val="22"/>
          <w:szCs w:val="22"/>
        </w:rPr>
        <w:t>Продукция поставляется в таре и упаковке, соответствующей стандартам, техническим условиям, техническим регламентам изготовителя, указанным в Техническом задании, и условиям настоящего Договора. Тара и упаковка возврату не подлежат. Поставщик обеспечивает упаковку продукции, способную предотвратить ее повреждение или порчу во время перевозки к месту поставки. Упаковка должна выдерживать, без каких-либо ограничений, интенсивные подъемно-транспортные работы и воздействие осадков во время перевозки.</w:t>
      </w:r>
    </w:p>
    <w:p>
      <w:pPr>
        <w:pStyle w:val="BodyText2"/>
        <w:tabs>
          <w:tab w:val="clear" w:pos="2167"/>
          <w:tab w:val="left" w:pos="0" w:leader="none"/>
        </w:tabs>
        <w:spacing w:lineRule="auto" w:line="240" w:before="0" w:after="0"/>
        <w:ind w:firstLine="709" w:left="0"/>
        <w:contextualSpacing/>
        <w:rPr>
          <w:rFonts w:ascii="Times New Roman" w:hAnsi="Times New Roman"/>
          <w:sz w:val="22"/>
          <w:szCs w:val="22"/>
        </w:rPr>
      </w:pPr>
      <w:r>
        <w:rPr>
          <w:sz w:val="22"/>
          <w:szCs w:val="22"/>
        </w:rPr>
        <w:t xml:space="preserve">2.4. </w:t>
      </w:r>
      <w:r>
        <w:rPr>
          <w:sz w:val="22"/>
          <w:szCs w:val="22"/>
          <w:shd w:fill="auto" w:val="clear"/>
        </w:rPr>
        <w:t>Право собственности на продукцию, а также риск случайной гибели либо случайного повреждения продукции переходят от Поставщика к Покупателю с даты поставки продукции, определяемой в соответствии с п.2.2. настоящего Договора. Подписание товарной накладной (форма ТОРГ-12 или УПД) не освобождает Поставщика от ответственности за качество и комплектность поставляемой продукции.</w:t>
      </w:r>
    </w:p>
    <w:p>
      <w:pPr>
        <w:pStyle w:val="BodyText2"/>
        <w:tabs>
          <w:tab w:val="clear" w:pos="2167"/>
          <w:tab w:val="left" w:pos="0" w:leader="none"/>
        </w:tabs>
        <w:spacing w:lineRule="auto" w:line="240" w:before="0" w:after="0"/>
        <w:ind w:firstLine="709" w:left="0"/>
        <w:contextualSpacing/>
        <w:rPr>
          <w:rFonts w:ascii="Times New Roman" w:hAnsi="Times New Roman"/>
          <w:sz w:val="22"/>
          <w:szCs w:val="22"/>
        </w:rPr>
      </w:pPr>
      <w:r>
        <w:rPr>
          <w:sz w:val="22"/>
          <w:szCs w:val="22"/>
        </w:rPr>
        <w:t>2.5. Поставщик обязан в момент передачи партии продукции предоставить Покупателю следующую т</w:t>
      </w:r>
      <w:r>
        <w:rPr>
          <w:sz w:val="22"/>
          <w:szCs w:val="22"/>
          <w:shd w:fill="auto" w:val="clear"/>
        </w:rPr>
        <w:t>оваросопроводительную документацию в соответствии с п. 3.2 Технического задания</w:t>
      </w:r>
      <w:r>
        <w:rPr>
          <w:sz w:val="22"/>
          <w:szCs w:val="22"/>
        </w:rPr>
        <w:t>.</w:t>
      </w:r>
    </w:p>
    <w:p>
      <w:pPr>
        <w:pStyle w:val="Normal"/>
        <w:spacing w:lineRule="auto" w:line="240" w:before="0" w:after="0"/>
        <w:ind w:firstLine="709"/>
        <w:contextualSpacing/>
        <w:jc w:val="both"/>
        <w:rPr>
          <w:rFonts w:ascii="Times New Roman" w:hAnsi="Times New Roman"/>
          <w:sz w:val="22"/>
          <w:szCs w:val="22"/>
        </w:rPr>
      </w:pPr>
      <w:r>
        <w:rPr>
          <w:rFonts w:ascii="Times New Roman" w:hAnsi="Times New Roman"/>
          <w:sz w:val="22"/>
          <w:szCs w:val="22"/>
          <w:shd w:fill="auto" w:val="clear"/>
        </w:rPr>
        <w:t>В   ТСД   наименование   продукции,   единицы   измерения,   количество,   цена   за   единицу продукции должны строго соответствовать показателям, указанным в Спецификации.</w:t>
      </w:r>
    </w:p>
    <w:p>
      <w:pPr>
        <w:pStyle w:val="Normal"/>
        <w:spacing w:lineRule="auto" w:line="240" w:before="0" w:after="0"/>
        <w:ind w:firstLine="709"/>
        <w:contextualSpacing/>
        <w:jc w:val="both"/>
        <w:rPr>
          <w:rFonts w:ascii="Times New Roman" w:hAnsi="Times New Roman"/>
          <w:sz w:val="22"/>
          <w:szCs w:val="22"/>
        </w:rPr>
      </w:pPr>
      <w:r>
        <w:rPr>
          <w:rFonts w:ascii="Times New Roman" w:hAnsi="Times New Roman"/>
          <w:sz w:val="22"/>
          <w:szCs w:val="22"/>
        </w:rPr>
        <w:t>ТСД должна быть оформлена в соответствии с требованиями действующего законодательства Российской Федерации на русском языке. В случае представления Поставщиком ТСД не в полном комплекте и/или ненадлежащим образом оформленной, Поставщик обязан исправить ТСД в течение 5 (</w:t>
      </w:r>
      <w:r>
        <w:rPr>
          <w:rFonts w:ascii="Times New Roman" w:hAnsi="Times New Roman"/>
          <w:i/>
          <w:sz w:val="22"/>
          <w:szCs w:val="22"/>
        </w:rPr>
        <w:t>пять</w:t>
      </w:r>
      <w:r>
        <w:rPr>
          <w:rFonts w:ascii="Times New Roman" w:hAnsi="Times New Roman"/>
          <w:sz w:val="22"/>
          <w:szCs w:val="22"/>
        </w:rPr>
        <w:t xml:space="preserve">) рабочих дней с момента требования Покупателя.  </w:t>
      </w:r>
    </w:p>
    <w:p>
      <w:pPr>
        <w:pStyle w:val="Normal"/>
        <w:spacing w:lineRule="auto" w:line="240" w:before="0" w:after="0"/>
        <w:ind w:firstLine="709"/>
        <w:contextualSpacing/>
        <w:jc w:val="both"/>
        <w:rPr>
          <w:rFonts w:ascii="Times New Roman" w:hAnsi="Times New Roman"/>
          <w:sz w:val="22"/>
          <w:szCs w:val="22"/>
        </w:rPr>
      </w:pPr>
      <w:r>
        <w:rPr>
          <w:rFonts w:ascii="Times New Roman" w:hAnsi="Times New Roman"/>
          <w:sz w:val="22"/>
          <w:szCs w:val="22"/>
        </w:rPr>
        <w:t>Сертификат (паспорт) качества и/или другая документация, предусмотренная ГОСТ, ТУ или иными документами, устанавливающими требования к изготовлению продукции, передается Покупателю в составе товаросопроводительной документации.</w:t>
      </w:r>
    </w:p>
    <w:p>
      <w:pPr>
        <w:pStyle w:val="Normal"/>
        <w:spacing w:lineRule="auto" w:line="240" w:before="0" w:after="0"/>
        <w:ind w:firstLine="708"/>
        <w:contextualSpacing/>
        <w:jc w:val="both"/>
        <w:rPr/>
      </w:pPr>
      <w:r>
        <w:rPr>
          <w:rFonts w:ascii="Times New Roman" w:hAnsi="Times New Roman"/>
          <w:sz w:val="22"/>
          <w:szCs w:val="22"/>
        </w:rPr>
        <w:t xml:space="preserve">2.6. Поставщик обязуется в письменной форме извещать Покупателя на адреса электронной почты Покупателя </w:t>
      </w:r>
      <w:hyperlink r:id="rId2">
        <w:r>
          <w:rPr>
            <w:rStyle w:val="Hyperlink"/>
            <w:rFonts w:ascii="Times New Roman" w:hAnsi="Times New Roman"/>
            <w:sz w:val="22"/>
            <w:szCs w:val="22"/>
          </w:rPr>
          <w:t>info@sniip.ru</w:t>
        </w:r>
      </w:hyperlink>
      <w:r>
        <w:rPr>
          <w:rFonts w:ascii="Times New Roman" w:hAnsi="Times New Roman"/>
          <w:sz w:val="22"/>
          <w:szCs w:val="22"/>
        </w:rPr>
        <w:t xml:space="preserve"> о готовности к отгрузке продукции не позднее, чем за 3 (Три) рабочих дня до предполагаемой даты отгрузки. Покупатель должен подтвердить Поставщику готовность принять продукцию.</w:t>
      </w:r>
    </w:p>
    <w:p>
      <w:pPr>
        <w:pStyle w:val="Normal"/>
        <w:spacing w:lineRule="auto" w:line="240" w:before="0" w:after="0"/>
        <w:ind w:firstLine="708"/>
        <w:contextualSpacing/>
        <w:jc w:val="both"/>
        <w:rPr>
          <w:rFonts w:ascii="Times New Roman" w:hAnsi="Times New Roman"/>
          <w:sz w:val="22"/>
          <w:szCs w:val="22"/>
        </w:rPr>
      </w:pPr>
      <w:r>
        <w:rPr>
          <w:rFonts w:ascii="Times New Roman" w:hAnsi="Times New Roman"/>
          <w:sz w:val="22"/>
          <w:szCs w:val="22"/>
        </w:rPr>
        <w:t>2.7. Начиная   с   момента   заключения   Договора   и   до   истечения   гарантийного   срока   на Продукцию,   Поставщик   обязуется   обеспечивать   наличие   у   себя   (а   при   привлечении субпоставщиков   –   и   у   них)   всех   необходимых   действующих   профессиональных   допусков,разрешений и лицензий, требуемых в соответствии с законодательством Российской Федерации в связи с исполнением обязательств по Договору</w:t>
      </w:r>
    </w:p>
    <w:p>
      <w:pPr>
        <w:pStyle w:val="Normal"/>
        <w:spacing w:lineRule="auto" w:line="240" w:before="0" w:after="0"/>
        <w:ind w:firstLine="708"/>
        <w:contextualSpacing/>
        <w:jc w:val="both"/>
        <w:rPr>
          <w:rFonts w:ascii="Times New Roman" w:hAnsi="Times New Roman"/>
          <w:sz w:val="22"/>
          <w:szCs w:val="22"/>
        </w:rPr>
      </w:pPr>
      <w:r>
        <w:rPr/>
      </w:r>
    </w:p>
    <w:p>
      <w:pPr>
        <w:pStyle w:val="Normal"/>
        <w:numPr>
          <w:ilvl w:val="0"/>
          <w:numId w:val="1"/>
        </w:numPr>
        <w:spacing w:lineRule="auto" w:line="240" w:before="0" w:after="0"/>
        <w:ind w:hanging="567" w:left="567"/>
        <w:contextualSpacing/>
        <w:jc w:val="center"/>
        <w:rPr>
          <w:rFonts w:ascii="Times New Roman" w:hAnsi="Times New Roman"/>
          <w:sz w:val="22"/>
          <w:szCs w:val="22"/>
        </w:rPr>
      </w:pPr>
      <w:r>
        <w:rPr>
          <w:rFonts w:ascii="Times New Roman" w:hAnsi="Times New Roman"/>
          <w:b/>
          <w:sz w:val="22"/>
          <w:szCs w:val="22"/>
        </w:rPr>
        <w:t>Качество и порядок приемки продукции.</w:t>
      </w:r>
    </w:p>
    <w:p>
      <w:pPr>
        <w:pStyle w:val="Normal"/>
        <w:spacing w:lineRule="auto" w:line="240" w:before="0" w:after="0"/>
        <w:ind w:hanging="0" w:left="567"/>
        <w:contextualSpacing/>
        <w:rPr>
          <w:rFonts w:ascii="Times New Roman" w:hAnsi="Times New Roman"/>
          <w:b/>
          <w:sz w:val="22"/>
          <w:szCs w:val="22"/>
        </w:rPr>
      </w:pPr>
      <w:r>
        <w:rPr>
          <w:rFonts w:ascii="Times New Roman" w:hAnsi="Times New Roman"/>
          <w:b/>
          <w:sz w:val="22"/>
          <w:szCs w:val="22"/>
        </w:rPr>
      </w:r>
    </w:p>
    <w:p>
      <w:pPr>
        <w:pStyle w:val="BodyText2"/>
        <w:tabs>
          <w:tab w:val="clear" w:pos="2167"/>
        </w:tabs>
        <w:spacing w:lineRule="auto" w:line="240" w:before="0" w:after="0"/>
        <w:ind w:firstLine="709" w:left="0"/>
        <w:contextualSpacing/>
        <w:rPr>
          <w:rFonts w:ascii="Times New Roman" w:hAnsi="Times New Roman"/>
          <w:sz w:val="22"/>
          <w:szCs w:val="22"/>
        </w:rPr>
      </w:pPr>
      <w:r>
        <w:rPr>
          <w:sz w:val="22"/>
          <w:szCs w:val="22"/>
        </w:rPr>
        <w:t>3.1. Качество (комплектность) поставляемой продукции должно соответствовать действующим ГОСТ/ТУ и другим нормативным документам, указанным в Спецификации и Техническом задании.</w:t>
      </w:r>
    </w:p>
    <w:p>
      <w:pPr>
        <w:pStyle w:val="BodyText2"/>
        <w:tabs>
          <w:tab w:val="clear" w:pos="2167"/>
        </w:tabs>
        <w:spacing w:lineRule="auto" w:line="240" w:before="0" w:after="0"/>
        <w:ind w:firstLine="709" w:left="0"/>
        <w:contextualSpacing/>
        <w:rPr>
          <w:rFonts w:ascii="Times New Roman" w:hAnsi="Times New Roman"/>
          <w:sz w:val="22"/>
          <w:szCs w:val="22"/>
        </w:rPr>
      </w:pPr>
      <w:r>
        <w:rPr>
          <w:sz w:val="22"/>
          <w:szCs w:val="22"/>
        </w:rPr>
        <w:t>3.2. На поставляемую продукцию Поставщик обязан предоставить не позднее даты ее поставки оригинал сертификата (паспорта) качества завода-изготовителя и/или другую документацию, предусмотренную действующими ГОСТ, ТУ или иными документами, устанавливающими требования к изготовлению продукции. При отсутствии указанных документов обязанность Поставщика по поставке Продукции считается невыполненной. заяявк</w:t>
      </w:r>
    </w:p>
    <w:p>
      <w:pPr>
        <w:pStyle w:val="BodyTextIndent"/>
        <w:widowControl w:val="false"/>
        <w:tabs>
          <w:tab w:val="clear" w:pos="708"/>
          <w:tab w:val="left" w:pos="0" w:leader="none"/>
        </w:tabs>
        <w:suppressAutoHyphens w:val="true"/>
        <w:spacing w:lineRule="auto" w:line="240" w:before="0" w:after="0"/>
        <w:ind w:firstLine="709" w:left="0"/>
        <w:jc w:val="both"/>
        <w:rPr>
          <w:rFonts w:ascii="Times New Roman" w:hAnsi="Times New Roman"/>
          <w:sz w:val="22"/>
          <w:szCs w:val="22"/>
        </w:rPr>
      </w:pPr>
      <w:r>
        <w:rPr>
          <w:bCs/>
          <w:color w:val="000000"/>
          <w:sz w:val="22"/>
          <w:szCs w:val="22"/>
        </w:rPr>
        <w:t xml:space="preserve">3.3. Приемка продукции Покупателем производится в соответствии с ГОСТ 24297-2013. </w:t>
      </w:r>
    </w:p>
    <w:p>
      <w:pPr>
        <w:pStyle w:val="BodyTextIndent"/>
        <w:widowControl w:val="false"/>
        <w:tabs>
          <w:tab w:val="clear" w:pos="708"/>
          <w:tab w:val="left" w:pos="0" w:leader="none"/>
        </w:tabs>
        <w:suppressAutoHyphens w:val="true"/>
        <w:spacing w:lineRule="auto" w:line="240" w:before="0" w:after="0"/>
        <w:ind w:firstLine="709" w:left="0"/>
        <w:jc w:val="both"/>
        <w:rPr>
          <w:rFonts w:ascii="Times New Roman" w:hAnsi="Times New Roman"/>
          <w:sz w:val="22"/>
          <w:szCs w:val="22"/>
        </w:rPr>
      </w:pPr>
      <w:r>
        <w:rPr>
          <w:bCs/>
          <w:color w:val="000000"/>
          <w:sz w:val="22"/>
          <w:szCs w:val="22"/>
        </w:rPr>
        <w:t xml:space="preserve">3.4. </w:t>
      </w:r>
      <w:r>
        <w:rPr>
          <w:bCs/>
          <w:color w:val="000000"/>
          <w:sz w:val="22"/>
          <w:szCs w:val="22"/>
        </w:rPr>
        <w:t>В день доставки продукции на склад Покупателя получение продукции Покупателем производится по грузовым местам с подписанием товарно-транспортной накладной (ТТН). Приемка по количеству и качеству производится в течении 10 (десяти) дней с даты доставки продукции на склад Покупателя и подписания товарно-транспортной накладной (ТТН). В случае отсутствия претензий по количеству и качеству поставленной продукции Покупатель подписывает товарную накладную (форма № ТОРГ-12) или УПД и направляет подписанный экземпляр Поставщику.</w:t>
      </w:r>
    </w:p>
    <w:p>
      <w:pPr>
        <w:pStyle w:val="BodyTextIndent"/>
        <w:widowControl w:val="false"/>
        <w:tabs>
          <w:tab w:val="clear" w:pos="708"/>
          <w:tab w:val="left" w:pos="0" w:leader="none"/>
        </w:tabs>
        <w:suppressAutoHyphens w:val="true"/>
        <w:spacing w:lineRule="auto" w:line="240" w:before="0" w:after="0"/>
        <w:ind w:firstLine="709" w:left="0"/>
        <w:jc w:val="both"/>
        <w:rPr>
          <w:rFonts w:ascii="Times New Roman" w:hAnsi="Times New Roman"/>
          <w:sz w:val="22"/>
          <w:szCs w:val="22"/>
        </w:rPr>
      </w:pPr>
      <w:r>
        <w:rPr>
          <w:bCs/>
          <w:color w:val="000000"/>
          <w:sz w:val="22"/>
          <w:szCs w:val="22"/>
        </w:rPr>
        <w:t>В случае выявления несоответствия количества и/или качества продукции условиям Договора, данным, содержащимся в транспортных, сопроводительных и расчетных документах, Покупатель приостанавливает приемку продукции, принимает такую продукцию на ответственное хранение, принимает меры к предотвращению её смешения с другой однородной продукцией и в письменной форме направляет Поставщику мотивированный отказ от подписания товарной накладной (форма №ТОРГ-12) или УПД.</w:t>
      </w:r>
    </w:p>
    <w:p>
      <w:pPr>
        <w:pStyle w:val="BodyTextIndent"/>
        <w:widowControl w:val="false"/>
        <w:tabs>
          <w:tab w:val="clear" w:pos="708"/>
          <w:tab w:val="left" w:pos="0" w:leader="none"/>
        </w:tabs>
        <w:suppressAutoHyphens w:val="true"/>
        <w:spacing w:lineRule="auto" w:line="240" w:before="0" w:after="0"/>
        <w:ind w:firstLine="709" w:left="0"/>
        <w:jc w:val="both"/>
        <w:rPr>
          <w:rFonts w:ascii="Times New Roman" w:hAnsi="Times New Roman"/>
          <w:sz w:val="22"/>
          <w:szCs w:val="22"/>
        </w:rPr>
      </w:pPr>
      <w:r>
        <w:rPr>
          <w:bCs/>
          <w:color w:val="000000"/>
          <w:sz w:val="22"/>
          <w:szCs w:val="22"/>
        </w:rPr>
        <w:t>3.5. </w:t>
      </w:r>
      <w:r>
        <w:rPr>
          <w:bCs/>
          <w:color w:val="000000"/>
          <w:spacing w:val="2"/>
          <w:sz w:val="22"/>
          <w:szCs w:val="22"/>
        </w:rPr>
        <w:t xml:space="preserve">При обнаружении при входном контроле продукции недостачи, некомплектности, несоответствий по качеству продукции (далее – недостачи и/или недостатки и/или дефекты и/или несоответствия) выявленные недостачи, некомплектности, несоответствия фиксируются Покупателем в Акте входного контроля. </w:t>
      </w:r>
    </w:p>
    <w:p>
      <w:pPr>
        <w:pStyle w:val="BodyTextIndent"/>
        <w:widowControl w:val="false"/>
        <w:tabs>
          <w:tab w:val="clear" w:pos="708"/>
          <w:tab w:val="left" w:pos="0" w:leader="none"/>
        </w:tabs>
        <w:suppressAutoHyphens w:val="true"/>
        <w:spacing w:lineRule="auto" w:line="240" w:before="0" w:after="0"/>
        <w:ind w:firstLine="709" w:left="0"/>
        <w:jc w:val="both"/>
        <w:rPr>
          <w:bCs/>
          <w:color w:val="000000"/>
          <w:sz w:val="22"/>
          <w:szCs w:val="22"/>
          <w:highlight w:val="none"/>
          <w:shd w:fill="auto" w:val="clear"/>
        </w:rPr>
      </w:pPr>
      <w:r>
        <w:rPr>
          <w:bCs/>
          <w:color w:val="000000"/>
          <w:sz w:val="22"/>
          <w:szCs w:val="22"/>
          <w:shd w:fill="auto" w:val="clear"/>
        </w:rPr>
        <w:t xml:space="preserve">Стороны пришли к соглашению, что Акт входного контроля будет иметь силу надлежащего доказательства нарушения условий Договора и/или технических условий или иной технической документации на продукцию. </w:t>
      </w:r>
    </w:p>
    <w:p>
      <w:pPr>
        <w:pStyle w:val="BodyTextIndent"/>
        <w:widowControl w:val="false"/>
        <w:tabs>
          <w:tab w:val="clear" w:pos="708"/>
          <w:tab w:val="left" w:pos="0" w:leader="none"/>
        </w:tabs>
        <w:suppressAutoHyphens w:val="true"/>
        <w:spacing w:lineRule="auto" w:line="240" w:before="0" w:after="0"/>
        <w:ind w:firstLine="709" w:left="0"/>
        <w:jc w:val="both"/>
        <w:rPr>
          <w:rFonts w:ascii="Times New Roman" w:hAnsi="Times New Roman"/>
          <w:sz w:val="22"/>
          <w:szCs w:val="22"/>
        </w:rPr>
      </w:pPr>
      <w:r>
        <w:rPr>
          <w:bCs/>
          <w:color w:val="000000"/>
          <w:sz w:val="22"/>
          <w:szCs w:val="22"/>
        </w:rPr>
        <w:t xml:space="preserve">3.6.  Акт входного контроля продукции является основанием для предъявления претензии Поставщику о недостаче, некомплектности, несоответствии продукции условиям Договора. </w:t>
      </w:r>
    </w:p>
    <w:p>
      <w:pPr>
        <w:pStyle w:val="BodyTextIndent"/>
        <w:widowControl w:val="false"/>
        <w:tabs>
          <w:tab w:val="clear" w:pos="708"/>
          <w:tab w:val="left" w:pos="0" w:leader="none"/>
          <w:tab w:val="left" w:pos="540" w:leader="none"/>
        </w:tabs>
        <w:suppressAutoHyphens w:val="true"/>
        <w:spacing w:lineRule="auto" w:line="240" w:before="0" w:after="0"/>
        <w:ind w:firstLine="709" w:left="0"/>
        <w:jc w:val="both"/>
        <w:rPr>
          <w:highlight w:val="none"/>
          <w:shd w:fill="auto" w:val="clear"/>
        </w:rPr>
      </w:pPr>
      <w:r>
        <w:rPr>
          <w:sz w:val="22"/>
          <w:szCs w:val="22"/>
          <w:shd w:fill="auto" w:val="clear"/>
        </w:rPr>
        <w:t>3.7. </w:t>
      </w:r>
      <w:r>
        <w:rPr>
          <w:bCs/>
          <w:color w:val="000000"/>
          <w:sz w:val="22"/>
          <w:szCs w:val="22"/>
          <w:shd w:fill="auto" w:val="clear"/>
        </w:rPr>
        <w:t xml:space="preserve">В случае расхождения мнений Покупателя и Поставщика относительно причин Несоответствия продукции условиям Договора, любая сторона вправе привлечь независимую экспертную организацию для определения причин Несоответствия и виновной стороны. </w:t>
      </w:r>
    </w:p>
    <w:p>
      <w:pPr>
        <w:pStyle w:val="BodyTextIndent"/>
        <w:widowControl w:val="false"/>
        <w:tabs>
          <w:tab w:val="clear" w:pos="708"/>
          <w:tab w:val="left" w:pos="0" w:leader="none"/>
          <w:tab w:val="left" w:pos="540" w:leader="none"/>
        </w:tabs>
        <w:suppressAutoHyphens w:val="true"/>
        <w:spacing w:lineRule="auto" w:line="240" w:before="0" w:after="0"/>
        <w:ind w:firstLine="709" w:left="0"/>
        <w:jc w:val="both"/>
        <w:rPr>
          <w:highlight w:val="none"/>
          <w:shd w:fill="auto" w:val="clear"/>
        </w:rPr>
      </w:pPr>
      <w:r>
        <w:rPr>
          <w:bCs/>
          <w:color w:val="000000"/>
          <w:sz w:val="22"/>
          <w:szCs w:val="22"/>
          <w:shd w:fill="auto" w:val="clear"/>
        </w:rPr>
        <w:t xml:space="preserve">В случае установления, что </w:t>
      </w:r>
      <w:r>
        <w:rPr>
          <w:bCs/>
          <w:sz w:val="22"/>
          <w:szCs w:val="22"/>
          <w:shd w:fill="auto" w:val="clear"/>
        </w:rPr>
        <w:t>несоответствие</w:t>
      </w:r>
      <w:r>
        <w:rPr>
          <w:bCs/>
          <w:color w:val="000000"/>
          <w:sz w:val="22"/>
          <w:szCs w:val="22"/>
          <w:shd w:fill="auto" w:val="clear"/>
        </w:rPr>
        <w:t xml:space="preserve"> продукции вызвано причинами, за которые несет ответственность Поставщик либо перевозчик, расходы по привлечению независимой компетентной организации относятся на счет Поставщика. </w:t>
      </w:r>
    </w:p>
    <w:p>
      <w:pPr>
        <w:pStyle w:val="BodyTextIndent"/>
        <w:widowControl w:val="false"/>
        <w:tabs>
          <w:tab w:val="clear" w:pos="708"/>
          <w:tab w:val="left" w:pos="0" w:leader="none"/>
          <w:tab w:val="left" w:pos="540" w:leader="none"/>
        </w:tabs>
        <w:suppressAutoHyphens w:val="true"/>
        <w:spacing w:lineRule="auto" w:line="240" w:before="0" w:after="0"/>
        <w:ind w:firstLine="709" w:left="0"/>
        <w:jc w:val="both"/>
        <w:rPr>
          <w:rFonts w:ascii="Times New Roman" w:hAnsi="Times New Roman"/>
          <w:sz w:val="22"/>
          <w:szCs w:val="22"/>
        </w:rPr>
      </w:pPr>
      <w:r>
        <w:rPr>
          <w:bCs/>
          <w:color w:val="000000"/>
          <w:sz w:val="22"/>
          <w:szCs w:val="22"/>
        </w:rPr>
        <w:t xml:space="preserve">3.8. Продукция, несоответствующая по качеству условиям настоящего Договора, подлежит замене за счет Поставщика </w:t>
      </w:r>
      <w:r>
        <w:rPr>
          <w:sz w:val="22"/>
          <w:szCs w:val="22"/>
        </w:rPr>
        <w:t>в установленный Покупателем срок</w:t>
      </w:r>
      <w:r>
        <w:rPr>
          <w:bCs/>
          <w:color w:val="000000"/>
          <w:sz w:val="22"/>
          <w:szCs w:val="22"/>
        </w:rPr>
        <w:t>. Исчисление этого срока начинается с даты Акта входного контроля, если иное не указано Покупателем.</w:t>
      </w:r>
    </w:p>
    <w:p>
      <w:pPr>
        <w:pStyle w:val="BodyTextIndent"/>
        <w:widowControl w:val="false"/>
        <w:tabs>
          <w:tab w:val="clear" w:pos="708"/>
          <w:tab w:val="left" w:pos="0" w:leader="none"/>
          <w:tab w:val="left" w:pos="540" w:leader="none"/>
        </w:tabs>
        <w:suppressAutoHyphens w:val="true"/>
        <w:spacing w:lineRule="auto" w:line="240" w:before="0" w:after="0"/>
        <w:ind w:firstLine="709" w:left="0"/>
        <w:jc w:val="both"/>
        <w:rPr>
          <w:rFonts w:ascii="Times New Roman" w:hAnsi="Times New Roman"/>
          <w:sz w:val="22"/>
          <w:szCs w:val="22"/>
        </w:rPr>
      </w:pPr>
      <w:r>
        <w:rPr>
          <w:sz w:val="22"/>
          <w:szCs w:val="22"/>
        </w:rPr>
        <w:t xml:space="preserve">3.9. Покупатель имеет право отказаться от приемки продукции, поставленной с несоответствиями по номенклатуре </w:t>
      </w:r>
      <w:r>
        <w:rPr>
          <w:sz w:val="22"/>
          <w:szCs w:val="22"/>
          <w:shd w:fill="auto" w:val="clear"/>
        </w:rPr>
        <w:t xml:space="preserve">и/или качеству (комплектности) </w:t>
      </w:r>
      <w:r>
        <w:rPr>
          <w:sz w:val="22"/>
          <w:szCs w:val="24"/>
          <w:shd w:fill="auto" w:val="clear"/>
        </w:rPr>
        <w:t>и/или количеству</w:t>
      </w:r>
      <w:r>
        <w:rPr>
          <w:sz w:val="22"/>
          <w:szCs w:val="22"/>
        </w:rPr>
        <w:t>.</w:t>
      </w:r>
    </w:p>
    <w:p>
      <w:pPr>
        <w:pStyle w:val="BodyText2"/>
        <w:tabs>
          <w:tab w:val="clear" w:pos="2167"/>
        </w:tabs>
        <w:spacing w:lineRule="auto" w:line="240" w:before="0" w:after="0"/>
        <w:ind w:firstLine="709" w:left="0"/>
        <w:rPr>
          <w:rFonts w:ascii="Times New Roman" w:hAnsi="Times New Roman"/>
          <w:sz w:val="22"/>
          <w:szCs w:val="22"/>
        </w:rPr>
      </w:pPr>
      <w:r>
        <w:rPr>
          <w:sz w:val="22"/>
          <w:szCs w:val="22"/>
        </w:rPr>
        <w:t xml:space="preserve">3.10. Поставщик обязан заменить в полном объеме и за свой счет некачественную (некомплектную), в том числе со скрытыми недостатками (дефектами) продукцию, не соответствующую номенклатуре, и/или поставить недостающую продукцию в сроки, установленные Покупателем. </w:t>
      </w:r>
      <w:r>
        <w:rPr>
          <w:sz w:val="22"/>
          <w:szCs w:val="24"/>
          <w:shd w:fill="auto" w:val="clear"/>
        </w:rPr>
        <w:t>С согласия Покупателя и в сроки, установленные Покупателем, Поставщик обязан устранить недостатки (дефекты) своими силами и за свой счет.</w:t>
      </w:r>
    </w:p>
    <w:p>
      <w:pPr>
        <w:pStyle w:val="BodyText2"/>
        <w:tabs>
          <w:tab w:val="clear" w:pos="2167"/>
        </w:tabs>
        <w:spacing w:lineRule="auto" w:line="240" w:before="0" w:after="0"/>
        <w:ind w:firstLine="709" w:left="0"/>
        <w:contextualSpacing/>
        <w:rPr>
          <w:rFonts w:ascii="Times New Roman" w:hAnsi="Times New Roman"/>
          <w:sz w:val="22"/>
          <w:szCs w:val="22"/>
        </w:rPr>
      </w:pPr>
      <w:r>
        <w:rPr>
          <w:sz w:val="22"/>
          <w:szCs w:val="22"/>
        </w:rPr>
        <w:t>3.11. Покупатель вправе отказаться от принятия продукции, поставка которой просрочена более чем на 30 (Тридцать) календарных дней с обязательным письменным уведомлением об этом Поставщика. Просрочку сроков поставки продукции более чем на 30 (тридцать) календарных дней стороны решили считать существенным нарушением Договора.</w:t>
      </w:r>
    </w:p>
    <w:p>
      <w:pPr>
        <w:pStyle w:val="BodyText2"/>
        <w:tabs>
          <w:tab w:val="clear" w:pos="2167"/>
        </w:tabs>
        <w:spacing w:lineRule="auto" w:line="240" w:before="0" w:after="0"/>
        <w:ind w:firstLine="709" w:left="0"/>
        <w:contextualSpacing/>
        <w:rPr>
          <w:rFonts w:ascii="Times New Roman" w:hAnsi="Times New Roman"/>
          <w:sz w:val="22"/>
          <w:szCs w:val="22"/>
        </w:rPr>
      </w:pPr>
      <w:r>
        <w:rPr>
          <w:sz w:val="22"/>
          <w:szCs w:val="22"/>
        </w:rPr>
        <w:t>3.12. Возврат продукции ненадлежащего качества (скрытые дефекты/брак) осуществляется в адрес Поставщика в следующем порядке:</w:t>
      </w:r>
    </w:p>
    <w:p>
      <w:pPr>
        <w:pStyle w:val="BodyText2"/>
        <w:tabs>
          <w:tab w:val="clear" w:pos="2167"/>
        </w:tabs>
        <w:spacing w:lineRule="auto" w:line="240" w:before="0" w:after="0"/>
        <w:ind w:firstLine="709" w:left="0"/>
        <w:contextualSpacing/>
        <w:rPr>
          <w:rFonts w:ascii="Times New Roman" w:hAnsi="Times New Roman"/>
          <w:sz w:val="22"/>
          <w:szCs w:val="22"/>
        </w:rPr>
      </w:pPr>
      <w:r>
        <w:rPr>
          <w:sz w:val="22"/>
          <w:szCs w:val="22"/>
        </w:rPr>
        <w:t>- продукция, право собственности, на которую перешло к Покупателю - с выставлением соответствующих счетов-фактур и накладных ТОРГ-12 (или УПД) со стороны Покупателя;</w:t>
      </w:r>
    </w:p>
    <w:p>
      <w:pPr>
        <w:pStyle w:val="BodyText2"/>
        <w:tabs>
          <w:tab w:val="clear" w:pos="2167"/>
        </w:tabs>
        <w:spacing w:lineRule="auto" w:line="240" w:before="0" w:after="0"/>
        <w:ind w:firstLine="709" w:left="0"/>
        <w:contextualSpacing/>
        <w:rPr>
          <w:rFonts w:ascii="Times New Roman" w:hAnsi="Times New Roman"/>
          <w:sz w:val="22"/>
          <w:szCs w:val="22"/>
        </w:rPr>
      </w:pPr>
      <w:r>
        <w:rPr>
          <w:sz w:val="22"/>
          <w:szCs w:val="22"/>
        </w:rPr>
        <w:t>- продукция, право собственности на которую не перешло к Покупателю - без выставления счетов-фактур, с подтверждающими отгрузочными сопроводительными документами со стороны Покупателя в виде ТТН.</w:t>
      </w:r>
    </w:p>
    <w:p>
      <w:pPr>
        <w:pStyle w:val="ListParagraph"/>
        <w:numPr>
          <w:ilvl w:val="0"/>
          <w:numId w:val="1"/>
        </w:numPr>
        <w:spacing w:lineRule="auto" w:line="240" w:before="0" w:after="0"/>
        <w:contextualSpacing/>
        <w:jc w:val="center"/>
        <w:rPr>
          <w:rFonts w:ascii="Times New Roman" w:hAnsi="Times New Roman"/>
          <w:sz w:val="22"/>
          <w:szCs w:val="22"/>
        </w:rPr>
      </w:pPr>
      <w:r>
        <w:rPr>
          <w:b/>
          <w:sz w:val="22"/>
          <w:szCs w:val="22"/>
        </w:rPr>
        <w:t>Цена Договора и порядок расчетов.</w:t>
      </w:r>
    </w:p>
    <w:p>
      <w:pPr>
        <w:pStyle w:val="ListParagraph"/>
        <w:spacing w:lineRule="auto" w:line="240" w:before="0" w:after="0"/>
        <w:ind w:hanging="0" w:left="540"/>
        <w:contextualSpacing/>
        <w:rPr>
          <w:rFonts w:ascii="Times New Roman" w:hAnsi="Times New Roman"/>
          <w:b/>
          <w:sz w:val="22"/>
          <w:szCs w:val="22"/>
        </w:rPr>
      </w:pPr>
      <w:r>
        <w:rPr>
          <w:b/>
          <w:sz w:val="22"/>
          <w:szCs w:val="22"/>
        </w:rPr>
      </w:r>
    </w:p>
    <w:p>
      <w:pPr>
        <w:pStyle w:val="BodyText2"/>
        <w:tabs>
          <w:tab w:val="clear" w:pos="2167"/>
          <w:tab w:val="left" w:pos="0" w:leader="none"/>
        </w:tabs>
        <w:spacing w:lineRule="auto" w:line="240" w:before="0" w:after="0"/>
        <w:ind w:firstLine="709" w:left="0"/>
        <w:contextualSpacing/>
        <w:rPr>
          <w:rFonts w:ascii="Times New Roman" w:hAnsi="Times New Roman"/>
          <w:sz w:val="22"/>
          <w:szCs w:val="22"/>
        </w:rPr>
      </w:pPr>
      <w:r>
        <w:rPr>
          <w:sz w:val="22"/>
          <w:szCs w:val="22"/>
        </w:rPr>
        <w:t>4.1. Общая цена настоящего Договора составляет _________________(__________________) рубле</w:t>
      </w:r>
      <w:r>
        <w:rPr>
          <w:sz w:val="22"/>
          <w:szCs w:val="22"/>
          <w:u w:val="none"/>
        </w:rPr>
        <w:t>й _______ копейки</w:t>
      </w:r>
      <w:r>
        <w:rPr>
          <w:sz w:val="22"/>
          <w:szCs w:val="22"/>
        </w:rPr>
        <w:t>, в том числе НДС (______%) ______________ (___________________) рубля ____ копеек. Цена Договора, в т.ч. цена за единицу продукции, включает в себя все расходы Поставщика, связанные с исполнением Договора, в том числе, но не ограничиваясь: налоги, пошлины, ставки провозных платежей</w:t>
      </w:r>
      <w:r>
        <w:rPr>
          <w:spacing w:val="-3"/>
          <w:sz w:val="22"/>
          <w:szCs w:val="22"/>
        </w:rPr>
        <w:t>, прочие сборы</w:t>
      </w:r>
      <w:r>
        <w:rPr>
          <w:spacing w:val="-1"/>
          <w:sz w:val="22"/>
          <w:szCs w:val="22"/>
        </w:rPr>
        <w:t xml:space="preserve">, а также затраты по изготовлению продукции, упаковке, маркировке, </w:t>
      </w:r>
      <w:r>
        <w:rPr>
          <w:sz w:val="22"/>
          <w:szCs w:val="22"/>
        </w:rPr>
        <w:t xml:space="preserve">стоимости тары, </w:t>
      </w:r>
      <w:r>
        <w:rPr>
          <w:spacing w:val="-1"/>
          <w:sz w:val="22"/>
          <w:szCs w:val="22"/>
        </w:rPr>
        <w:t xml:space="preserve">проведению входного контроля, </w:t>
      </w:r>
      <w:r>
        <w:rPr>
          <w:sz w:val="22"/>
          <w:szCs w:val="22"/>
        </w:rPr>
        <w:t>погрузочно-разгрузочных работ, транспортировке продукции до места поставки, гарантийные обязательства. Установленная Спецификацией к настоящему Договору цена за единицу продукции является твердой и не подлежит изменению в течение всего срока действия настоящего Договора.</w:t>
      </w:r>
    </w:p>
    <w:p>
      <w:pPr>
        <w:pStyle w:val="BodyText2"/>
        <w:tabs>
          <w:tab w:val="clear" w:pos="2167"/>
          <w:tab w:val="left" w:pos="0" w:leader="none"/>
        </w:tabs>
        <w:spacing w:lineRule="auto" w:line="240" w:before="0" w:after="0"/>
        <w:ind w:firstLine="709" w:left="0"/>
        <w:rPr>
          <w:rFonts w:ascii="Times New Roman" w:hAnsi="Times New Roman"/>
          <w:sz w:val="22"/>
          <w:szCs w:val="22"/>
        </w:rPr>
      </w:pPr>
      <w:r>
        <w:rPr>
          <w:sz w:val="22"/>
          <w:szCs w:val="22"/>
        </w:rPr>
        <w:t>4.2. Порядок расчетов:</w:t>
      </w:r>
    </w:p>
    <w:p>
      <w:pPr>
        <w:pStyle w:val="BodyText2"/>
        <w:tabs>
          <w:tab w:val="clear" w:pos="2167"/>
          <w:tab w:val="left" w:pos="0" w:leader="none"/>
        </w:tabs>
        <w:spacing w:lineRule="auto" w:line="240" w:before="0" w:after="0"/>
        <w:ind w:firstLine="709" w:left="0"/>
        <w:rPr>
          <w:rFonts w:ascii="Times New Roman" w:hAnsi="Times New Roman"/>
          <w:sz w:val="22"/>
          <w:szCs w:val="22"/>
        </w:rPr>
      </w:pPr>
      <w:r>
        <w:rPr>
          <w:sz w:val="22"/>
          <w:szCs w:val="22"/>
        </w:rPr>
        <w:t>4.2.1. Авансовый платеж в размере 30% от цены продукции, указанной в п. 4.1. Договора, что составляет сумму в размере _________________(__________________) рублей _______ копейки, в том числе НДС 22%, в течение 10 (десяти) рабочих дней с момента предоставления Поставщиком обеспечения возврата аванса, согласно Приложению № 2 к Договору, и получения счета на предоплату.</w:t>
      </w:r>
    </w:p>
    <w:p>
      <w:pPr>
        <w:pStyle w:val="BodyText2"/>
        <w:tabs>
          <w:tab w:val="clear" w:pos="2167"/>
          <w:tab w:val="left" w:pos="0" w:leader="none"/>
        </w:tabs>
        <w:spacing w:lineRule="auto" w:line="240" w:before="0" w:after="0"/>
        <w:ind w:firstLine="709" w:left="0"/>
        <w:rPr>
          <w:rFonts w:ascii="Times New Roman" w:hAnsi="Times New Roman"/>
          <w:sz w:val="22"/>
          <w:szCs w:val="22"/>
        </w:rPr>
      </w:pPr>
      <w:r>
        <w:rPr>
          <w:sz w:val="22"/>
          <w:szCs w:val="22"/>
        </w:rPr>
        <w:t>4.2.2. Окончательный платеж за поставленную в полном объеме продукцию в размере 70% от цены продукции, указанной в п. 4.1 Договора, что составляет сумму в размере _________________(__________________) рублей _______ копейки, в том числе НДС 22%, в течение 45 (сорока пяти) календарных дней с даты подписания Покупателем товарной накладной (ТОРГ-12) или УПД при условии предоставления ТСД, указанной в пункте 2.5. Договора, предоставления обеспечения исполнения обязательств по Договору (кроме гарантийных обязательств), согласно Приложению № 2 к Договору.</w:t>
      </w:r>
    </w:p>
    <w:p>
      <w:pPr>
        <w:pStyle w:val="BodyText2"/>
        <w:numPr>
          <w:ilvl w:val="1"/>
          <w:numId w:val="5"/>
        </w:numPr>
        <w:spacing w:lineRule="auto" w:line="240" w:before="0" w:after="0"/>
        <w:ind w:firstLine="709" w:left="0"/>
        <w:contextualSpacing/>
        <w:rPr>
          <w:rFonts w:ascii="Times New Roman" w:hAnsi="Times New Roman"/>
          <w:sz w:val="22"/>
          <w:szCs w:val="22"/>
        </w:rPr>
      </w:pPr>
      <w:r>
        <w:rPr>
          <w:rFonts w:eastAsia="Calibri" w:cs="Times New Roman"/>
          <w:color w:val="auto"/>
          <w:kern w:val="0"/>
          <w:sz w:val="22"/>
          <w:szCs w:val="22"/>
          <w:lang w:val="ru-RU" w:eastAsia="ru-RU" w:bidi="ar-SA"/>
        </w:rPr>
        <w:t>Оплата производится путем перечисления денежных средств на расчетный счет Поставщика, указанный в разделе 17 Договора. Обязательства Покупателя по Договору считаются выполненными в момент зачисления денежных средств на расчетный счет Поставщика.</w:t>
      </w:r>
    </w:p>
    <w:p>
      <w:pPr>
        <w:pStyle w:val="BodyText2"/>
        <w:numPr>
          <w:ilvl w:val="1"/>
          <w:numId w:val="5"/>
        </w:numPr>
        <w:spacing w:lineRule="auto" w:line="240" w:before="0" w:after="0"/>
        <w:ind w:firstLine="709" w:left="0"/>
        <w:contextualSpacing/>
        <w:rPr>
          <w:rFonts w:ascii="Times New Roman" w:hAnsi="Times New Roman"/>
          <w:sz w:val="22"/>
          <w:szCs w:val="22"/>
        </w:rPr>
      </w:pPr>
      <w:r>
        <w:rPr>
          <w:rFonts w:eastAsia="Calibri" w:cs="Times New Roman"/>
          <w:color w:val="auto"/>
          <w:kern w:val="0"/>
          <w:sz w:val="22"/>
          <w:szCs w:val="22"/>
          <w:lang w:val="ru-RU" w:eastAsia="ru-RU" w:bidi="ar-SA"/>
        </w:rPr>
        <w:t xml:space="preserve">Предусмотренный настоящим Договором порядок оплаты не признается предоставлением Поставщиком Покупателю коммерческого кредита (ст. </w:t>
      </w:r>
      <w:r>
        <w:rPr>
          <w:rFonts w:eastAsia="Calibri" w:cs="Times New Roman"/>
          <w:color w:val="000000"/>
          <w:kern w:val="0"/>
          <w:sz w:val="22"/>
          <w:szCs w:val="24"/>
          <w:shd w:fill="auto" w:val="clear"/>
          <w:lang w:val="ru-RU" w:eastAsia="ru-RU" w:bidi="ar-SA"/>
        </w:rPr>
        <w:t xml:space="preserve">п.5 статьи 488, </w:t>
      </w:r>
      <w:r>
        <w:rPr>
          <w:rFonts w:eastAsia="Calibri" w:cs="Times New Roman"/>
          <w:color w:val="auto"/>
          <w:kern w:val="0"/>
          <w:sz w:val="22"/>
          <w:szCs w:val="22"/>
          <w:lang w:val="ru-RU" w:eastAsia="ru-RU" w:bidi="ar-SA"/>
        </w:rPr>
        <w:t>823 ГК РФ).</w:t>
      </w:r>
    </w:p>
    <w:p>
      <w:pPr>
        <w:pStyle w:val="BodyText2"/>
        <w:numPr>
          <w:ilvl w:val="1"/>
          <w:numId w:val="5"/>
        </w:numPr>
        <w:spacing w:lineRule="auto" w:line="240" w:before="0" w:after="0"/>
        <w:ind w:firstLine="709" w:left="0"/>
        <w:contextualSpacing/>
        <w:rPr>
          <w:rFonts w:ascii="Times New Roman" w:hAnsi="Times New Roman"/>
          <w:sz w:val="22"/>
          <w:szCs w:val="22"/>
        </w:rPr>
      </w:pPr>
      <w:r>
        <w:rPr>
          <w:rFonts w:eastAsia="Calibri" w:cs="Times New Roman"/>
          <w:color w:val="auto"/>
          <w:kern w:val="0"/>
          <w:sz w:val="22"/>
          <w:szCs w:val="22"/>
          <w:lang w:val="ru-RU" w:eastAsia="ru-RU" w:bidi="ar-SA"/>
        </w:rPr>
        <w:t>Продукция, поставляемая в рамках настоящего Договора, предусматривающего условие оплаты после поставки, не считается находящейся в залоге у Поставщика до момента ее оплаты.</w:t>
      </w:r>
    </w:p>
    <w:p>
      <w:pPr>
        <w:pStyle w:val="BodyText2"/>
        <w:numPr>
          <w:ilvl w:val="1"/>
          <w:numId w:val="5"/>
        </w:numPr>
        <w:spacing w:lineRule="auto" w:line="240" w:before="0" w:after="0"/>
        <w:ind w:firstLine="709" w:left="0"/>
        <w:contextualSpacing/>
        <w:rPr>
          <w:rFonts w:ascii="Times New Roman" w:hAnsi="Times New Roman"/>
          <w:sz w:val="22"/>
          <w:szCs w:val="22"/>
        </w:rPr>
      </w:pPr>
      <w:r>
        <w:rPr>
          <w:rFonts w:eastAsia="Calibri" w:cs="Times New Roman"/>
          <w:color w:val="auto"/>
          <w:kern w:val="0"/>
          <w:sz w:val="22"/>
          <w:szCs w:val="22"/>
          <w:lang w:val="ru-RU" w:eastAsia="ru-RU" w:bidi="ar-SA"/>
        </w:rPr>
        <w:t>Поставщик обязан предоставить Покупателю обеспечение в соответствии с Приложением №2 к настоящему Договору.</w:t>
      </w:r>
    </w:p>
    <w:p>
      <w:pPr>
        <w:pStyle w:val="BodyText2"/>
        <w:spacing w:lineRule="auto" w:line="240" w:before="0" w:after="0"/>
        <w:ind w:hanging="0" w:left="0"/>
        <w:contextualSpacing/>
        <w:rPr>
          <w:rFonts w:ascii="Times New Roman" w:hAnsi="Times New Roman"/>
          <w:sz w:val="22"/>
          <w:szCs w:val="22"/>
        </w:rPr>
      </w:pPr>
      <w:r>
        <w:rPr>
          <w:sz w:val="22"/>
          <w:szCs w:val="22"/>
        </w:rPr>
      </w:r>
    </w:p>
    <w:p>
      <w:pPr>
        <w:pStyle w:val="BodyText2"/>
        <w:numPr>
          <w:ilvl w:val="0"/>
          <w:numId w:val="5"/>
        </w:numPr>
        <w:spacing w:lineRule="auto" w:line="240" w:before="0" w:after="0"/>
        <w:ind w:hanging="567" w:left="567"/>
        <w:contextualSpacing/>
        <w:jc w:val="center"/>
        <w:rPr>
          <w:rFonts w:ascii="Times New Roman" w:hAnsi="Times New Roman"/>
          <w:sz w:val="22"/>
          <w:szCs w:val="22"/>
        </w:rPr>
      </w:pPr>
      <w:r>
        <w:rPr>
          <w:b/>
          <w:sz w:val="22"/>
          <w:szCs w:val="22"/>
        </w:rPr>
        <w:t>Ответственность Сторон.</w:t>
      </w:r>
    </w:p>
    <w:p>
      <w:pPr>
        <w:pStyle w:val="BodyText2"/>
        <w:numPr>
          <w:ilvl w:val="1"/>
          <w:numId w:val="2"/>
        </w:numPr>
        <w:spacing w:lineRule="auto" w:line="240" w:before="0" w:after="0"/>
        <w:ind w:firstLine="709" w:left="0"/>
        <w:contextualSpacing/>
        <w:rPr>
          <w:rFonts w:ascii="Times New Roman" w:hAnsi="Times New Roman"/>
          <w:sz w:val="22"/>
          <w:szCs w:val="22"/>
        </w:rPr>
      </w:pPr>
      <w:r>
        <w:rPr>
          <w:sz w:val="22"/>
          <w:szCs w:val="22"/>
        </w:rPr>
        <w:t>За неисполнение и/или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pPr>
        <w:pStyle w:val="BodyText2"/>
        <w:numPr>
          <w:ilvl w:val="1"/>
          <w:numId w:val="2"/>
        </w:numPr>
        <w:spacing w:lineRule="auto" w:line="240" w:before="0" w:after="0"/>
        <w:ind w:firstLine="709" w:left="0"/>
        <w:contextualSpacing/>
        <w:rPr>
          <w:rFonts w:ascii="Times New Roman" w:hAnsi="Times New Roman"/>
          <w:sz w:val="22"/>
          <w:szCs w:val="22"/>
        </w:rPr>
      </w:pPr>
      <w:r>
        <w:rPr>
          <w:sz w:val="22"/>
          <w:szCs w:val="22"/>
        </w:rPr>
        <w:t>За нарушение сроков поставки и/или сроков замены некачественной (некомплектной) продукции, продукции со скрытыми недостатками (дефектами/ браком), Поставщик уплачивает Покупателю неустойку в размере 0,1 % от стоимости не поставленной (некачественной) продукции за каждый день просрочки.</w:t>
      </w:r>
    </w:p>
    <w:p>
      <w:pPr>
        <w:pStyle w:val="BodyText2"/>
        <w:numPr>
          <w:ilvl w:val="1"/>
          <w:numId w:val="2"/>
        </w:numPr>
        <w:spacing w:lineRule="auto" w:line="240" w:before="0" w:after="0"/>
        <w:ind w:firstLine="709" w:left="0"/>
        <w:contextualSpacing/>
        <w:rPr>
          <w:rFonts w:ascii="Times New Roman" w:hAnsi="Times New Roman"/>
          <w:sz w:val="22"/>
          <w:szCs w:val="22"/>
        </w:rPr>
      </w:pPr>
      <w:r>
        <w:rPr>
          <w:sz w:val="22"/>
          <w:szCs w:val="22"/>
        </w:rPr>
        <w:t>За нарушение Поставщиком срока направления уведомления, указанного в пункте 2.6. Договора, Поставщик уплачивает Покупателю неустойку в размере 0,1% от стоимости продукции, в отношении которой не направлено уведомление, за каждый день просрочки.</w:t>
      </w:r>
    </w:p>
    <w:p>
      <w:pPr>
        <w:pStyle w:val="BodyText2"/>
        <w:numPr>
          <w:ilvl w:val="1"/>
          <w:numId w:val="2"/>
        </w:numPr>
        <w:spacing w:lineRule="auto" w:line="240" w:before="0" w:after="0"/>
        <w:ind w:firstLine="709" w:left="0"/>
        <w:contextualSpacing/>
        <w:rPr>
          <w:rFonts w:ascii="Times New Roman" w:hAnsi="Times New Roman"/>
          <w:sz w:val="22"/>
          <w:szCs w:val="22"/>
        </w:rPr>
      </w:pPr>
      <w:r>
        <w:rPr>
          <w:rFonts w:cs="Times New Roman"/>
          <w:color w:val="auto"/>
          <w:kern w:val="0"/>
          <w:sz w:val="22"/>
          <w:szCs w:val="22"/>
          <w:lang w:val="ru-RU" w:bidi="ar-SA"/>
        </w:rPr>
        <w:t>За нарушение сроков оплаты</w:t>
      </w:r>
      <w:r>
        <w:rPr>
          <w:rFonts w:cs="Times New Roman"/>
          <w:color w:val="000000"/>
          <w:kern w:val="0"/>
          <w:sz w:val="22"/>
          <w:szCs w:val="24"/>
          <w:shd w:fill="auto" w:val="clear"/>
          <w:lang w:val="ru-RU" w:bidi="ar-SA"/>
        </w:rPr>
        <w:t xml:space="preserve"> поставленной продукции, за исключением авансовых платежей, </w:t>
      </w:r>
      <w:r>
        <w:rPr>
          <w:rFonts w:cs="Times New Roman"/>
          <w:color w:val="auto"/>
          <w:kern w:val="0"/>
          <w:sz w:val="22"/>
          <w:szCs w:val="22"/>
          <w:lang w:val="ru-RU" w:bidi="ar-SA"/>
        </w:rPr>
        <w:t xml:space="preserve">Покупатель уплачивает Поставщику неустойку в размере 0,1 % от </w:t>
      </w:r>
      <w:r>
        <w:rPr>
          <w:rFonts w:cs="Times New Roman"/>
          <w:color w:val="000000"/>
          <w:kern w:val="0"/>
          <w:sz w:val="22"/>
          <w:szCs w:val="24"/>
          <w:shd w:fill="auto" w:val="clear"/>
          <w:lang w:val="ru-RU" w:bidi="ar-SA"/>
        </w:rPr>
        <w:t>стоимости неоплаченной продукции</w:t>
      </w:r>
      <w:r>
        <w:rPr>
          <w:rFonts w:cs="Times New Roman"/>
          <w:color w:val="auto"/>
          <w:kern w:val="0"/>
          <w:sz w:val="22"/>
          <w:szCs w:val="22"/>
          <w:lang w:val="ru-RU" w:bidi="ar-SA"/>
        </w:rPr>
        <w:t xml:space="preserve"> за каждый день просрочки.</w:t>
      </w:r>
    </w:p>
    <w:p>
      <w:pPr>
        <w:pStyle w:val="BodyText2"/>
        <w:widowControl/>
        <w:numPr>
          <w:ilvl w:val="1"/>
          <w:numId w:val="2"/>
        </w:numPr>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В случае невыполнения Поставщиком обязательств, предусмотренных пунктом 3.</w:t>
      </w:r>
      <w:r>
        <w:rPr>
          <w:rFonts w:cs="Times New Roman"/>
          <w:color w:val="auto"/>
          <w:kern w:val="0"/>
          <w:sz w:val="22"/>
          <w:szCs w:val="22"/>
          <w:lang w:val="ru-RU" w:bidi="ar-SA"/>
        </w:rPr>
        <w:t>10</w:t>
      </w:r>
      <w:r>
        <w:rPr>
          <w:rFonts w:cs="Times New Roman"/>
          <w:color w:val="auto"/>
          <w:kern w:val="0"/>
          <w:sz w:val="22"/>
          <w:szCs w:val="22"/>
          <w:lang w:val="ru-RU" w:bidi="ar-SA"/>
        </w:rPr>
        <w:t xml:space="preserve"> настоящего Договора, Покупатель вправе выполнить их своими силами или с привлечением третьих лиц, а Поставщик обязан оплатить понесенные расходы по предъявленным Покупателем счетам в течение 10 (Десяти) рабочих дней или в иные согласованные Сторонами сроки при наличии документов, подтверждающих расходы.</w:t>
      </w:r>
    </w:p>
    <w:p>
      <w:pPr>
        <w:pStyle w:val="BodyText2"/>
        <w:widowControl/>
        <w:numPr>
          <w:ilvl w:val="1"/>
          <w:numId w:val="2"/>
        </w:numPr>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 xml:space="preserve">В случае не предоставления (несвоевременного предоставления) обеспечения, указанного в </w:t>
      </w:r>
      <w:r>
        <w:rPr>
          <w:rFonts w:cs="Times New Roman"/>
          <w:color w:val="auto"/>
          <w:kern w:val="0"/>
          <w:sz w:val="22"/>
          <w:szCs w:val="22"/>
          <w:lang w:val="ru-RU" w:bidi="ar-SA"/>
        </w:rPr>
        <w:t>П</w:t>
      </w:r>
      <w:r>
        <w:rPr>
          <w:rFonts w:cs="Times New Roman"/>
          <w:color w:val="auto"/>
          <w:kern w:val="0"/>
          <w:sz w:val="22"/>
          <w:szCs w:val="22"/>
          <w:lang w:val="ru-RU" w:bidi="ar-SA"/>
        </w:rPr>
        <w:t>риложении № 2 к Договору, в том числе новых обеспечений, предоставляемых взамен закончивших свое действие обеспечение или по каким-либо причинам переставшим быть действительными или иным образом переставшими обеспечивать исполнение договорных обязательств Поставщика, в установленные сроки, Покупатель вправе потребовать с Поставщика уплаты неустойки в размере 0,1 % (Ноль целых пять десятых процента) от размера не предоставленного обеспечения за каждый день просрочки в отношении каждого обеспечения.</w:t>
      </w:r>
    </w:p>
    <w:p>
      <w:pPr>
        <w:pStyle w:val="BodyText2"/>
        <w:widowControl/>
        <w:numPr>
          <w:ilvl w:val="1"/>
          <w:numId w:val="2"/>
        </w:numPr>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В случае ненадлежащего исполнения Поставщиком своих обязательств по настоящему Договору, Покупатель имеет право удержать сумму неустойки, и/или убытков из любого платежа, причитающегося Поставщику по Договору.</w:t>
      </w:r>
    </w:p>
    <w:p>
      <w:pPr>
        <w:pStyle w:val="BodyText2"/>
        <w:widowControl/>
        <w:numPr>
          <w:ilvl w:val="1"/>
          <w:numId w:val="2"/>
        </w:numPr>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 xml:space="preserve">В случае расторжения договора по решению суда или по соглашению сторон или в одностороннем порядке в силу существенного нарушения Поставщиком условий договора информация о Поставщике заносится в реестр недобросовестных поставщиков организаций атомной отрасли сроком на 2 года. </w:t>
      </w:r>
    </w:p>
    <w:p>
      <w:pPr>
        <w:pStyle w:val="BodyText2"/>
        <w:widowControl/>
        <w:numPr>
          <w:ilvl w:val="1"/>
          <w:numId w:val="2"/>
        </w:numPr>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 xml:space="preserve">В случае, если в Гарантийный срок выявлены недостатки в продукции, и Поставщик не устранит указанные недостатки </w:t>
      </w:r>
      <w:r>
        <w:rPr>
          <w:rFonts w:cs="Times New Roman"/>
          <w:color w:val="000000"/>
          <w:kern w:val="0"/>
          <w:sz w:val="22"/>
          <w:szCs w:val="22"/>
          <w:shd w:fill="auto" w:val="clear"/>
          <w:lang w:val="ru-RU" w:bidi="ar-SA"/>
        </w:rPr>
        <w:t>в установленный срок</w:t>
      </w:r>
      <w:r>
        <w:rPr>
          <w:rFonts w:cs="Times New Roman"/>
          <w:color w:val="auto"/>
          <w:kern w:val="0"/>
          <w:sz w:val="22"/>
          <w:szCs w:val="22"/>
          <w:lang w:val="ru-RU" w:bidi="ar-SA"/>
        </w:rPr>
        <w:t>, Поставщик выплатит Покупателю штраф в размере 30% (Тридцать процентов) от цены продукции ненадлежащего качества.</w:t>
      </w:r>
    </w:p>
    <w:p>
      <w:pPr>
        <w:pStyle w:val="BodyText2"/>
        <w:widowControl/>
        <w:numPr>
          <w:ilvl w:val="1"/>
          <w:numId w:val="2"/>
        </w:numPr>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Поставщик несет ответственность за повреждение или утрату продукции при ее перевозке, вызванные ненадлежащей или неправильной упаковкой, или маркировкой продукции, а также ненадлежащим оформлением ТСД.</w:t>
      </w:r>
    </w:p>
    <w:p>
      <w:pPr>
        <w:pStyle w:val="BodyText2"/>
        <w:widowControl/>
        <w:numPr>
          <w:ilvl w:val="1"/>
          <w:numId w:val="2"/>
        </w:numPr>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 xml:space="preserve"> </w:t>
      </w:r>
      <w:r>
        <w:rPr>
          <w:rFonts w:cs="Times New Roman"/>
          <w:color w:val="auto"/>
          <w:kern w:val="0"/>
          <w:sz w:val="22"/>
          <w:szCs w:val="22"/>
          <w:lang w:val="ru-RU" w:bidi="ar-SA"/>
        </w:rPr>
        <w:t>Просрочку сроков поставки продукции более чем на 30 (тридцать) дней Стороны решили считать существенным нарушением условий Договора.</w:t>
      </w:r>
    </w:p>
    <w:p>
      <w:pPr>
        <w:pStyle w:val="BodyText2"/>
        <w:widowControl/>
        <w:numPr>
          <w:ilvl w:val="1"/>
          <w:numId w:val="2"/>
        </w:numPr>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 xml:space="preserve"> </w:t>
      </w:r>
      <w:r>
        <w:rPr>
          <w:rFonts w:cs="Times New Roman"/>
          <w:color w:val="auto"/>
          <w:kern w:val="0"/>
          <w:sz w:val="22"/>
          <w:szCs w:val="22"/>
          <w:lang w:val="ru-RU" w:bidi="ar-SA"/>
        </w:rPr>
        <w:t>Уплата неустойки, а также возмещение убытков не освобождает Стороны от исполнения обязательств по Договору.</w:t>
      </w:r>
    </w:p>
    <w:p>
      <w:pPr>
        <w:pStyle w:val="BodyText2"/>
        <w:widowControl/>
        <w:numPr>
          <w:ilvl w:val="1"/>
          <w:numId w:val="2"/>
        </w:numPr>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 xml:space="preserve"> </w:t>
      </w:r>
      <w:r>
        <w:rPr>
          <w:rFonts w:cs="Times New Roman"/>
          <w:color w:val="auto"/>
          <w:kern w:val="0"/>
          <w:sz w:val="22"/>
          <w:szCs w:val="22"/>
          <w:lang w:val="ru-RU" w:bidi="ar-SA"/>
        </w:rPr>
        <w:t>Права и обязанности Сторон использования ЕОС-Качество, порядок взаимодействия Сторон при применении ЕОС-Качество, правила получения доступа к ЕОС-Качество, порядок применения ЕОС-Качество определены в Приложении № 2 к Договору.</w:t>
      </w:r>
    </w:p>
    <w:p>
      <w:pPr>
        <w:pStyle w:val="BodyText2"/>
        <w:widowControl/>
        <w:numPr>
          <w:ilvl w:val="1"/>
          <w:numId w:val="2"/>
        </w:numPr>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 xml:space="preserve"> </w:t>
      </w:r>
      <w:r>
        <w:rPr>
          <w:rFonts w:cs="Times New Roman"/>
          <w:color w:val="auto"/>
          <w:kern w:val="0"/>
          <w:sz w:val="22"/>
          <w:szCs w:val="22"/>
          <w:lang w:val="ru-RU" w:bidi="ar-SA"/>
        </w:rPr>
        <w:t>В случае нарушения Поставщиком требований по управлению несоответствиями, установленных Порядком по управлению несоответствиями, а именно:</w:t>
      </w:r>
    </w:p>
    <w:p>
      <w:pPr>
        <w:pStyle w:val="BodyText2"/>
        <w:widowControl/>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1) неприменение ЕОС-Качество, выраженное в просрочке направления Поставщиком заявки (листа исполнения) для подключения к ЕОС-Качество более чем на 1 (один) рабочий день;</w:t>
      </w:r>
    </w:p>
    <w:p>
      <w:pPr>
        <w:pStyle w:val="BodyText2"/>
        <w:widowControl/>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2) неустранение несоответствия, выраженное в отсутствии в ЕОС-Качество подписанного  Плана коррекции и временных сдерживающих действий (плана мероприятий по коррекции и временным сдерживающим действиям) по истечении 5 (пяти) рабочих дней после истечения срока, установленного в Едином отраслевом порядке по управлению несоответствиями, утвержденном приказом Госкорпорации "Росатом" от 18.05.2017 №1/433-П (в актуальной редакции, расположенной по адресу http://zakupki.rosatom.ru в разделе "Документы по качеству") (далее - Порядок по управлению несоответствиями) либо, в случае, если срок был перенесен в ЕОС-Качество по согласованию с Покупателем, по истечении 5 рабочих дней после истечения срока, установленного в ЕОС-Качество,, и/или подписанного акта об устранении несоответствия более по истечении 5 (пяти) рабочих дней после истечения сроков, установленных в Плане коррекции и временных сдерживающих действий либо, в случае, если срок был перенесен в ЕОС-Качество по согласованию с Покупателем, по истечении 5 рабочих дней после истечения срока, установленного в ЕОС-Качество;</w:t>
      </w:r>
    </w:p>
    <w:p>
      <w:pPr>
        <w:pStyle w:val="BodyText2"/>
        <w:widowControl/>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 xml:space="preserve">Покупатель вправе потребовать от Поставщика уплаты неустойки в размере 10 000 (десять тысяч) рублей за каждый случай такого нарушения. </w:t>
      </w:r>
    </w:p>
    <w:p>
      <w:pPr>
        <w:pStyle w:val="BodyText2"/>
        <w:widowControl/>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 xml:space="preserve">Поставщик освобождается от ответственности в виде уплаты неустойки за нарушение требований, указанных в подпункте 2 настоящего пункта, если просрочка подписания План коррекции и временных сдерживающих действий или и/или подписания акта об устранении несоответствия вызвана их отклонением в процессе согласования в ЕОС-Качество лицами, которые не являются заказчиками по договорам, во исполнение которых заключен договор с Поставщиком; конечным заказчиком продукции/объекта использования атомной энергии; организацией, ответственной за выполнение действий по устранению несоответствия. </w:t>
      </w:r>
    </w:p>
    <w:p>
      <w:pPr>
        <w:pStyle w:val="BodyText2"/>
        <w:widowControl/>
        <w:numPr>
          <w:ilvl w:val="1"/>
          <w:numId w:val="2"/>
        </w:numPr>
        <w:tabs>
          <w:tab w:val="left" w:pos="625" w:leader="none"/>
          <w:tab w:val="left" w:pos="2167" w:leader="none"/>
        </w:tabs>
        <w:suppressAutoHyphens w:val="true"/>
        <w:overflowPunct w:val="true"/>
        <w:bidi w:val="0"/>
        <w:spacing w:lineRule="auto" w:line="240" w:before="0" w:after="0"/>
        <w:ind w:firstLine="624" w:left="0" w:right="0"/>
        <w:contextualSpacing/>
        <w:jc w:val="both"/>
        <w:rPr>
          <w:rFonts w:cs="Times New Roman"/>
          <w:color w:val="auto"/>
          <w:kern w:val="0"/>
          <w:sz w:val="22"/>
          <w:szCs w:val="22"/>
          <w:lang w:val="ru-RU" w:bidi="ar-SA"/>
        </w:rPr>
      </w:pPr>
      <w:r>
        <w:rPr>
          <w:rFonts w:cs="Times New Roman"/>
          <w:color w:val="auto"/>
          <w:kern w:val="0"/>
          <w:sz w:val="22"/>
          <w:szCs w:val="22"/>
          <w:lang w:val="ru-RU" w:bidi="ar-SA"/>
        </w:rPr>
        <w:t>В случае нарушения Покупателем требований по использованию ЕОС-Качество, установленных Методическими указаний по применению ЕОС-Качество, а именно:</w:t>
      </w:r>
    </w:p>
    <w:p>
      <w:pPr>
        <w:pStyle w:val="BodyText2"/>
        <w:widowControl/>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1)</w:t>
        <w:tab/>
        <w:t xml:space="preserve">просрочка Покупателем исполнения требований  Методических указаний по применению ЕОС-Качество по рассмотрению и направлению на согласование оформленной надлежащим образом заявки (листа исполнения) для подключения Поставщика к ЕОС-Качество и просрочка уведомления Покупателя Поставщика о готовности к получению учетных данных (логина и первичного пароля для работы в ЕОС-Качество) и способах их получения более чем на 1 (Один) рабочий день; </w:t>
      </w:r>
    </w:p>
    <w:p>
      <w:pPr>
        <w:pStyle w:val="BodyText2"/>
        <w:widowControl/>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2)</w:t>
        <w:tab/>
        <w:t>просрочка рассмотрения (подписания или отклонения с обоснованием) Покупателем в ЕОС-Качество Плана коррекции и временных сдерживающих действий (плана мероприятий по коррекции и временным сдерживающим действиям) или Акта об устранении несоответствия более чем на 5 (Пять) рабочих дней после истечения срока, установленного в ЕОС-Качество, либо отклонение Заказчиком указанных документов без обоснования;</w:t>
      </w:r>
    </w:p>
    <w:p>
      <w:pPr>
        <w:pStyle w:val="BodyText2"/>
        <w:widowControl/>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Поставщик вправе требовать от Покупателя уплаты неустойки в размере 10 000 (десять тысяч) рублей за каждый случай такого нарушения.</w:t>
      </w:r>
    </w:p>
    <w:p>
      <w:pPr>
        <w:pStyle w:val="BodyText2"/>
        <w:widowControl/>
        <w:numPr>
          <w:ilvl w:val="1"/>
          <w:numId w:val="2"/>
        </w:numPr>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Надлежащим доказательством просрочки Покупателя рассмотрения и направления на согласование оформленной надлежащим образом заявки (листа исполнения) для подключения Поставщика к ЕОС-Качество и уведомления Поставщика о готовности к получению учетных данных (логина и первичного пароля для работы в ЕОС-Качество) и способах их получения будет являться ненаправление Поставщику уведомления от Покупателя о готовности к получению учетных данных (логина и первичного пароля) для работы в ЕОС-Качество в срок более 2 (Двух) рабочих дней с даты получения учётных данных (не считая дня получения учётных данных).</w:t>
      </w:r>
    </w:p>
    <w:p>
      <w:pPr>
        <w:pStyle w:val="BodyText2"/>
        <w:widowControl/>
        <w:numPr>
          <w:ilvl w:val="1"/>
          <w:numId w:val="2"/>
        </w:numPr>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 xml:space="preserve">Надлежащим доказательством просрочки Поставщиком направления заявки (листа исполнения) для подключения к ЕОС-Качество будет являться ненаправление Поставщиком с электронной почты Поставщика </w:t>
      </w:r>
      <w:r>
        <w:rPr>
          <w:rStyle w:val="Hyperlink"/>
          <w:rFonts w:cs="Times New Roman"/>
          <w:kern w:val="0"/>
          <w:sz w:val="22"/>
          <w:szCs w:val="22"/>
          <w:lang w:val="ru-RU" w:bidi="ar-SA"/>
        </w:rPr>
        <w:t xml:space="preserve">                      </w:t>
      </w:r>
      <w:r>
        <w:rPr>
          <w:rFonts w:cs="Times New Roman"/>
          <w:color w:val="auto"/>
          <w:kern w:val="0"/>
          <w:sz w:val="22"/>
          <w:szCs w:val="22"/>
          <w:lang w:val="ru-RU" w:bidi="ar-SA"/>
        </w:rPr>
        <w:t xml:space="preserve"> на электронную почту Покупателя info@sniip.ru оформленной надлежащим образом заявки (листа исполнения) в срок более 10 (Десяти) рабочих дней с даты заключения настоящего Договора (не считая дня заключения Договора) или в срок более 5 (Пяти) рабочих дней с даты получения замечаний Покупателя к заявке (листу исполнения) при наличии замечаний (не считая дня получения замечаний).</w:t>
      </w:r>
    </w:p>
    <w:p>
      <w:pPr>
        <w:pStyle w:val="BodyText2"/>
        <w:widowControl/>
        <w:numPr>
          <w:ilvl w:val="1"/>
          <w:numId w:val="2"/>
        </w:numPr>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Надлежащим доказательством просрочки Поставщиком направления заявки (листа исполнения) для подключения к ЕОС-Качество будет являться ненаправление Поставщиком оформленной надлежащим образом заявки (листа исполнения) на согласование в рамках сценария ЕОСДО № 18.1 в течение более 10 (Десяти) рабочих дней с даты заключения Договора (исключая день заключения Договора) и/или ненаправление на электронную почту Покупателя info@sniip.ru соответствующей информации (копии заявки (листа исполнения).</w:t>
      </w:r>
    </w:p>
    <w:p>
      <w:pPr>
        <w:pStyle w:val="BodyText2"/>
        <w:widowControl/>
        <w:numPr>
          <w:ilvl w:val="1"/>
          <w:numId w:val="2"/>
        </w:numPr>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Надлежащим доказательством нарушения/просрочки Поставщиком требований п. 3.1.2 Условий по устранению несоответствия будет являться отсутствие в ЕОС-Качество подписанного участниками процесса управления несоответствиями, указанными в разделе 3.2 Порядка по управлению несоответствиями, Плана коррекции и временных сдерживающих действий в срок, установленный в Порядке по управлению несоответствиями либо, в случае, если срок был перенесен в ЕОС-Качество по согласованию с Покупателем, в срок, установленный в ЕОС-Качество, и/или подписанного участниками процесса управления несоответствиями, указанными в разделе 3.2 Порядка по управлению несоответствиями, Акта об устранении несоответствия, в срок, установленный в Плане коррекции и временных сдерживающих действий либо, в случае, если срок был перенесен в ЕОС-Качество по согласованию с Покупателем, в срок, установленный в ЕОС-Качество.</w:t>
      </w:r>
    </w:p>
    <w:p>
      <w:pPr>
        <w:pStyle w:val="BodyText2"/>
        <w:widowControl/>
        <w:numPr>
          <w:ilvl w:val="1"/>
          <w:numId w:val="2"/>
        </w:numPr>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Надлежащим доказательством просрочки подписания  Покупателем  в ЕОС-Качество Плана коррекции и временных сдерживающих действий (плана мероприятий коррекции и временным сдерживающим действиям) или Акта об устранении несоответствия будет являться отсутствие в листе визирования Плана коррекции и временных сдерживающих действий или Акта об устранении несоответствия отметки представителя  Поставщика, ответственного за качество, об электронном подписании (ФИО, должность, наименование организации, подразделение, результат подписания, дата подписания) в установленный в ЕОС-Качество срок.</w:t>
      </w:r>
    </w:p>
    <w:p>
      <w:pPr>
        <w:pStyle w:val="BodyText2"/>
        <w:widowControl/>
        <w:numPr>
          <w:ilvl w:val="1"/>
          <w:numId w:val="2"/>
        </w:numPr>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t>Нарушение Поставщиком требований по использованию ЕОС-Качество, установленных Методическими указаниями по применению ЕОС-Качество, считается уклонением Поставщика от выполнения обязательств по применению ЕОС-Качество и является основанием для претензии Поставщику в связи с нарушением Поставщиком условий договора в части выполнения Методических указаний по применению ЕОС-Качество.</w:t>
      </w:r>
    </w:p>
    <w:p>
      <w:pPr>
        <w:pStyle w:val="BodyText2"/>
        <w:widowControl/>
        <w:tabs>
          <w:tab w:val="clear" w:pos="2167"/>
          <w:tab w:val="left" w:pos="1189" w:leader="none"/>
        </w:tabs>
        <w:suppressAutoHyphens w:val="true"/>
        <w:bidi w:val="0"/>
        <w:spacing w:before="0" w:after="0"/>
        <w:ind w:firstLine="709" w:left="0"/>
        <w:contextualSpacing/>
        <w:rPr>
          <w:rFonts w:cs="Times New Roman"/>
          <w:color w:val="auto"/>
          <w:kern w:val="0"/>
          <w:sz w:val="22"/>
          <w:szCs w:val="22"/>
          <w:lang w:val="ru-RU" w:bidi="ar-SA"/>
        </w:rPr>
      </w:pPr>
      <w:r>
        <w:rPr>
          <w:rFonts w:cs="Times New Roman"/>
          <w:color w:val="auto"/>
          <w:kern w:val="0"/>
          <w:sz w:val="22"/>
          <w:szCs w:val="22"/>
          <w:lang w:val="ru-RU" w:bidi="ar-SA"/>
        </w:rPr>
      </w:r>
    </w:p>
    <w:p>
      <w:pPr>
        <w:pStyle w:val="BodyText2"/>
        <w:numPr>
          <w:ilvl w:val="0"/>
          <w:numId w:val="4"/>
        </w:numPr>
        <w:tabs>
          <w:tab w:val="left" w:pos="0" w:leader="none"/>
          <w:tab w:val="left" w:pos="2167" w:leader="none"/>
        </w:tabs>
        <w:spacing w:lineRule="auto" w:line="240" w:before="0" w:after="0"/>
        <w:ind w:firstLine="142" w:left="0"/>
        <w:contextualSpacing/>
        <w:jc w:val="center"/>
        <w:rPr>
          <w:rFonts w:ascii="Times New Roman" w:hAnsi="Times New Roman"/>
          <w:sz w:val="22"/>
          <w:szCs w:val="22"/>
        </w:rPr>
      </w:pPr>
      <w:r>
        <w:rPr>
          <w:b/>
          <w:sz w:val="22"/>
          <w:szCs w:val="22"/>
        </w:rPr>
        <w:t>Разрешение споров.</w:t>
      </w:r>
    </w:p>
    <w:p>
      <w:pPr>
        <w:pStyle w:val="BodyText2"/>
        <w:numPr>
          <w:ilvl w:val="1"/>
          <w:numId w:val="4"/>
        </w:numPr>
        <w:tabs>
          <w:tab w:val="left" w:pos="0" w:leader="none"/>
          <w:tab w:val="left" w:pos="2167" w:leader="none"/>
        </w:tabs>
        <w:spacing w:lineRule="auto" w:line="240" w:before="0" w:after="0"/>
        <w:ind w:firstLine="709" w:left="0"/>
        <w:contextualSpacing/>
        <w:rPr>
          <w:rFonts w:ascii="Times New Roman" w:hAnsi="Times New Roman"/>
          <w:sz w:val="22"/>
          <w:szCs w:val="22"/>
        </w:rPr>
      </w:pPr>
      <w:r>
        <w:rPr>
          <w:sz w:val="22"/>
          <w:szCs w:val="22"/>
        </w:rPr>
        <w:t>При возникновении споров любая из Сторон направляет другой Стороне претензию, которая подлежит рассмотрению в 30-дневный срок со дня ее получения. Претензия принимается к рассмотрению с приложением документов, обосновывающих заявленные в ней требования, и отсутствующие у другой Стороны. В случае не получения Стороной, направившей претензию, ответа от другой Стороны в установленный срок или уклонение другой Стороны от получения претензии/несовершение действий по получению претензии в течение 30 дней с момента ее направления, то претензионный порядок считается соблюденным, и Сторона, направившая претензию, имеет право обратиться в суд для дальнейшего урегулирования спора.</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6.2.</w:t>
      </w:r>
      <w:r>
        <w:rPr>
          <w:rFonts w:eastAsia="Calibri" w:ascii="Times New Roman" w:hAnsi="Times New Roman"/>
          <w:sz w:val="22"/>
          <w:szCs w:val="22"/>
          <w:lang w:eastAsia="ru-RU"/>
        </w:rPr>
        <w:t xml:space="preserve"> Любой спор, разногласие или претензия,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по выбору истца:</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1)</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i/>
          <w:iCs/>
          <w:sz w:val="22"/>
          <w:szCs w:val="22"/>
          <w:lang w:eastAsia="ru-RU"/>
        </w:rPr>
        <w:t>е</w:t>
      </w:r>
      <w:r>
        <w:rPr>
          <w:rFonts w:eastAsia="Calibri" w:cs="Times New Roman" w:ascii="Times New Roman" w:hAnsi="Times New Roman"/>
          <w:i/>
          <w:iCs/>
          <w:color w:val="auto"/>
          <w:sz w:val="22"/>
          <w:szCs w:val="22"/>
          <w:lang w:val="ru-RU" w:eastAsia="ru-RU" w:bidi="ar-SA"/>
        </w:rPr>
        <w:t>сли Поставщиком является организация атомной отрасли:</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Любой спор, разногласие или претензия,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Стороны соглашаются, что для целей направления письменных заявлений, сообщений и иных письменных документов будут использоваться следующие адреса электронной почты:</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 xml:space="preserve">Поставщик: </w:t>
      </w:r>
      <w:r>
        <w:rPr>
          <w:rFonts w:eastAsia="Calibri" w:ascii="Times New Roman" w:hAnsi="Times New Roman"/>
          <w:sz w:val="22"/>
          <w:szCs w:val="22"/>
          <w:u w:val="single"/>
          <w:lang w:eastAsia="ru-RU"/>
        </w:rPr>
        <w:t xml:space="preserve">                                                   </w:t>
      </w:r>
    </w:p>
    <w:p>
      <w:pPr>
        <w:pStyle w:val="12"/>
        <w:spacing w:lineRule="auto" w:line="240" w:before="0" w:after="0"/>
        <w:ind w:firstLine="709" w:left="0"/>
        <w:contextualSpacing/>
        <w:jc w:val="both"/>
        <w:rPr/>
      </w:pPr>
      <w:r>
        <w:rPr>
          <w:rFonts w:eastAsia="Calibri" w:ascii="Times New Roman" w:hAnsi="Times New Roman"/>
          <w:sz w:val="22"/>
          <w:szCs w:val="22"/>
          <w:lang w:eastAsia="ru-RU"/>
        </w:rPr>
        <w:t xml:space="preserve">Покупатель: АО «СНИИП», </w:t>
      </w:r>
      <w:hyperlink r:id="rId3">
        <w:r>
          <w:rPr>
            <w:rStyle w:val="Style4"/>
            <w:rFonts w:eastAsia="Calibri" w:ascii="Times New Roman" w:hAnsi="Times New Roman"/>
            <w:sz w:val="22"/>
            <w:szCs w:val="22"/>
            <w:lang w:eastAsia="ru-RU"/>
          </w:rPr>
          <w:t>info@sniip.ru</w:t>
        </w:r>
      </w:hyperlink>
      <w:r>
        <w:rPr>
          <w:rFonts w:eastAsia="Calibri" w:ascii="Times New Roman" w:hAnsi="Times New Roman"/>
          <w:sz w:val="22"/>
          <w:szCs w:val="22"/>
          <w:lang w:eastAsia="ru-RU"/>
        </w:rPr>
        <w:t xml:space="preserve"> . </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В случае изменения указанного выше адреса электронной почты Сторона обязуется незамедлительно сообщить о таком изменении другой Стороне, а в случае, если арбитраж уже начат, также Отделению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Стороны принимают на себя обязанность добровольно исполнять арбитражное решение.</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Стороны прямо соглашаются, что в случае, если заявление об отводе арбитра не было удовлетворено Президиумом Российского арбитражного центра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 заявляющая отвод, не вправе подавать в компетентный суд заявление об удовлетворении отвода.</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Стороны прямо соглашаются, что в случае, если Состав арбитража выносит постановление о наличии у него компетенции в качестве вопроса предварительного характера, Стороны не вправе подавать в компетентный суд заявление об отсутствии у Состава арбитража компетенции.</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Стороны прямо соглашаются, что арбитражное решение является окончательным для Сторон и отмене не подлежит.</w:t>
      </w:r>
    </w:p>
    <w:p>
      <w:pPr>
        <w:pStyle w:val="12"/>
        <w:spacing w:lineRule="auto" w:line="240" w:before="0" w:after="0"/>
        <w:ind w:firstLine="709" w:left="0"/>
        <w:contextualSpacing/>
        <w:jc w:val="both"/>
        <w:rPr>
          <w:rFonts w:ascii="Times New Roman" w:hAnsi="Times New Roman"/>
        </w:rPr>
      </w:pPr>
      <w:r>
        <w:rPr>
          <w:rFonts w:ascii="Times New Roman" w:hAnsi="Times New Roman"/>
          <w:sz w:val="22"/>
          <w:szCs w:val="22"/>
        </w:rPr>
        <w:t>В случаях, предусмотренных статьей 25 Правил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Сторонами может быть заключено соглашение о рассмотрении спора в рамках</w:t>
      </w:r>
      <w:r>
        <w:rPr>
          <w:rFonts w:eastAsia="Calibri" w:ascii="Times New Roman" w:hAnsi="Times New Roman"/>
          <w:sz w:val="22"/>
          <w:szCs w:val="22"/>
          <w:lang w:eastAsia="ru-RU"/>
        </w:rPr>
        <w:t xml:space="preserve"> </w:t>
      </w:r>
      <w:r>
        <w:rPr>
          <w:rFonts w:ascii="Times New Roman" w:hAnsi="Times New Roman"/>
          <w:sz w:val="22"/>
          <w:szCs w:val="22"/>
        </w:rPr>
        <w:t>ускоренной процедуры арбитража.</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i/>
          <w:iCs/>
          <w:sz w:val="22"/>
          <w:szCs w:val="22"/>
        </w:rPr>
        <w:t>е</w:t>
      </w:r>
      <w:r>
        <w:rPr>
          <w:rFonts w:eastAsia="Times New Roman" w:cs="Times New Roman" w:ascii="Times New Roman" w:hAnsi="Times New Roman"/>
          <w:i/>
          <w:iCs/>
          <w:color w:val="auto"/>
          <w:sz w:val="22"/>
          <w:szCs w:val="22"/>
          <w:lang w:val="ru-RU" w:eastAsia="en-US" w:bidi="ar-SA"/>
        </w:rPr>
        <w:t>сли Поставщиком является не организация атомной отрасли:</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положениями Арбитражного регламента.</w:t>
      </w:r>
    </w:p>
    <w:p>
      <w:pPr>
        <w:pStyle w:val="12"/>
        <w:spacing w:lineRule="auto" w:line="240" w:before="0" w:after="0"/>
        <w:ind w:firstLine="709" w:left="0"/>
        <w:contextualSpacing/>
        <w:jc w:val="both"/>
        <w:rPr>
          <w:rFonts w:ascii="Times New Roman" w:hAnsi="Times New Roman"/>
          <w:sz w:val="22"/>
          <w:szCs w:val="22"/>
        </w:rPr>
      </w:pPr>
      <w:r>
        <w:rPr>
          <w:rFonts w:eastAsia="Calibri" w:cs="Times New Roman" w:ascii="Times New Roman" w:hAnsi="Times New Roman"/>
          <w:color w:val="auto"/>
          <w:kern w:val="0"/>
          <w:sz w:val="22"/>
          <w:szCs w:val="22"/>
          <w:lang w:val="ru-RU" w:eastAsia="ru-RU" w:bidi="ar-SA"/>
        </w:rPr>
        <w:t xml:space="preserve">Стороны соглашаются, что </w:t>
      </w:r>
      <w:r>
        <w:rPr>
          <w:rFonts w:eastAsia="Calibri" w:ascii="Times New Roman" w:hAnsi="Times New Roman"/>
          <w:sz w:val="22"/>
          <w:szCs w:val="22"/>
          <w:lang w:eastAsia="ru-RU"/>
        </w:rPr>
        <w:t>для целей направления письменных заявлений, сообщений и иных письменных документов будут использоваться следующие адреса электронной почты:</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 xml:space="preserve">Поставщик: </w:t>
      </w:r>
      <w:r>
        <w:rPr>
          <w:rFonts w:eastAsia="Calibri" w:ascii="Times New Roman" w:hAnsi="Times New Roman"/>
          <w:sz w:val="22"/>
          <w:szCs w:val="22"/>
          <w:u w:val="single"/>
          <w:lang w:eastAsia="ru-RU"/>
        </w:rPr>
        <w:t xml:space="preserve">                                                         </w:t>
      </w:r>
      <w:r>
        <w:rPr>
          <w:rFonts w:eastAsia="Calibri" w:ascii="Times New Roman" w:hAnsi="Times New Roman"/>
          <w:sz w:val="22"/>
          <w:szCs w:val="22"/>
          <w:lang w:eastAsia="ru-RU"/>
        </w:rPr>
        <w:t xml:space="preserve"> </w:t>
      </w:r>
    </w:p>
    <w:p>
      <w:pPr>
        <w:pStyle w:val="12"/>
        <w:spacing w:lineRule="auto" w:line="240" w:before="0" w:after="0"/>
        <w:ind w:firstLine="709" w:left="0"/>
        <w:contextualSpacing/>
        <w:jc w:val="both"/>
        <w:rPr/>
      </w:pPr>
      <w:r>
        <w:rPr>
          <w:rFonts w:eastAsia="Calibri" w:ascii="Times New Roman" w:hAnsi="Times New Roman"/>
          <w:sz w:val="22"/>
          <w:szCs w:val="22"/>
          <w:lang w:eastAsia="ru-RU"/>
        </w:rPr>
        <w:t xml:space="preserve">Покупатель: АО «СНИИП», </w:t>
      </w:r>
      <w:hyperlink r:id="rId4">
        <w:r>
          <w:rPr>
            <w:rStyle w:val="Style4"/>
            <w:rFonts w:eastAsia="Calibri" w:ascii="Times New Roman" w:hAnsi="Times New Roman"/>
            <w:sz w:val="22"/>
            <w:szCs w:val="22"/>
            <w:lang w:eastAsia="ru-RU"/>
          </w:rPr>
          <w:t>info@sniip.ru</w:t>
        </w:r>
      </w:hyperlink>
      <w:r>
        <w:rPr>
          <w:rFonts w:eastAsia="Calibri" w:ascii="Times New Roman" w:hAnsi="Times New Roman"/>
          <w:sz w:val="22"/>
          <w:szCs w:val="22"/>
          <w:lang w:eastAsia="ru-RU"/>
        </w:rPr>
        <w:t xml:space="preserve"> . </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В случае изменения указанного выше адреса электронной почты Сторона обязуется незамедлительно сообщить о таком изменении другой Стороне, а в случае, если арбитраж уже начат, также Отделению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Стороны принимают на себя обязанность добровольно исполнять арбитражное решение.</w:t>
      </w:r>
    </w:p>
    <w:p>
      <w:pPr>
        <w:pStyle w:val="Normal"/>
        <w:spacing w:lineRule="auto" w:line="240" w:before="0" w:after="0"/>
        <w:jc w:val="both"/>
        <w:rPr>
          <w:rFonts w:ascii="Times New Roman" w:hAnsi="Times New Roman" w:eastAsia="Calibri" w:cs="Times New Roman"/>
          <w:color w:val="000000"/>
          <w:sz w:val="24"/>
          <w:szCs w:val="24"/>
          <w:shd w:fill="auto" w:val="clear"/>
          <w:lang w:val="ru-RU" w:eastAsia="zh-CN" w:bidi="ar-SA"/>
        </w:rPr>
      </w:pPr>
      <w:r>
        <w:rPr>
          <w:rFonts w:eastAsia="Calibri" w:cs="Times New Roman" w:ascii="Times New Roman" w:hAnsi="Times New Roman"/>
          <w:color w:val="000000"/>
          <w:sz w:val="24"/>
          <w:szCs w:val="24"/>
          <w:shd w:fill="auto" w:val="clear"/>
          <w:lang w:val="ru-RU" w:eastAsia="zh-CN" w:bidi="ar-SA"/>
        </w:rPr>
        <w:tab/>
      </w:r>
      <w:r>
        <w:rPr>
          <w:rFonts w:eastAsia="Calibri" w:cs="Times New Roman" w:ascii="Times New Roman" w:hAnsi="Times New Roman"/>
          <w:color w:val="000000"/>
          <w:sz w:val="22"/>
          <w:szCs w:val="22"/>
          <w:shd w:fill="auto" w:val="clear"/>
          <w:lang w:val="ru-RU" w:eastAsia="zh-CN" w:bidi="ar-SA"/>
        </w:rPr>
        <w:t>Решение, вынесенное по итогам арбитража, является окончательным для Сторон и отмене не подлежит.</w:t>
      </w:r>
    </w:p>
    <w:p>
      <w:pPr>
        <w:pStyle w:val="Normal"/>
        <w:spacing w:lineRule="auto" w:line="240" w:before="0" w:after="0"/>
        <w:jc w:val="both"/>
        <w:rPr>
          <w:sz w:val="22"/>
          <w:szCs w:val="22"/>
        </w:rPr>
      </w:pPr>
      <w:r>
        <w:rPr>
          <w:rFonts w:eastAsia="Calibri" w:cs="Times New Roman" w:ascii="Times New Roman" w:hAnsi="Times New Roman"/>
          <w:color w:val="000000"/>
          <w:sz w:val="22"/>
          <w:szCs w:val="22"/>
          <w:shd w:fill="auto" w:val="clear"/>
          <w:lang w:val="ru-RU" w:eastAsia="zh-CN" w:bidi="ar-SA"/>
        </w:rPr>
        <w:tab/>
      </w:r>
      <w:r>
        <w:rPr>
          <w:rFonts w:eastAsia="Calibri" w:cs="Times New Roman" w:ascii="Times New Roman" w:hAnsi="Times New Roman"/>
          <w:i w:val="false"/>
          <w:iCs w:val="false"/>
          <w:color w:val="000000"/>
          <w:sz w:val="22"/>
          <w:szCs w:val="22"/>
          <w:shd w:fill="auto" w:val="clear"/>
          <w:lang w:val="ru-RU" w:eastAsia="zh-CN" w:bidi="ar-SA"/>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pPr>
        <w:pStyle w:val="12"/>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либо</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2) в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либо</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3) в порядке арбитража (третейского разбирательства), администрируемого Арбитражным центром при Российском союзе промышленников и предпринимателей (РСПП) в соответствии с его правилами, действующими на дату подачи искового заявления. Вынесенное третейским судом решение будет окончательным, обязательным для Сторон и не подлежит оспариванию.</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Либо</w:t>
      </w:r>
    </w:p>
    <w:p>
      <w:pPr>
        <w:pStyle w:val="12"/>
        <w:spacing w:lineRule="auto" w:line="240" w:before="0" w:after="0"/>
        <w:ind w:firstLine="709" w:left="0"/>
        <w:contextualSpacing/>
        <w:jc w:val="both"/>
        <w:rPr>
          <w:rFonts w:ascii="Times New Roman" w:hAnsi="Times New Roman"/>
          <w:sz w:val="22"/>
          <w:szCs w:val="22"/>
        </w:rPr>
      </w:pPr>
      <w:r>
        <w:rPr>
          <w:rFonts w:eastAsia="Calibri" w:ascii="Times New Roman" w:hAnsi="Times New Roman"/>
          <w:sz w:val="22"/>
          <w:szCs w:val="22"/>
          <w:lang w:eastAsia="ru-RU"/>
        </w:rPr>
        <w:t>4) в Арбитражном суде города Москвы.</w:t>
      </w:r>
    </w:p>
    <w:p>
      <w:pPr>
        <w:pStyle w:val="ListParagraph"/>
        <w:spacing w:lineRule="auto" w:line="240" w:before="0" w:after="0"/>
        <w:ind w:hanging="0" w:left="360"/>
        <w:contextualSpacing/>
        <w:rPr>
          <w:rFonts w:ascii="Times New Roman" w:hAnsi="Times New Roman"/>
          <w:b/>
          <w:sz w:val="22"/>
          <w:szCs w:val="22"/>
        </w:rPr>
      </w:pPr>
      <w:r>
        <w:rPr>
          <w:b/>
          <w:sz w:val="22"/>
          <w:szCs w:val="22"/>
        </w:rPr>
      </w:r>
    </w:p>
    <w:p>
      <w:pPr>
        <w:pStyle w:val="ListParagraph"/>
        <w:numPr>
          <w:ilvl w:val="0"/>
          <w:numId w:val="4"/>
        </w:numPr>
        <w:spacing w:lineRule="auto" w:line="240" w:before="0" w:after="0"/>
        <w:contextualSpacing/>
        <w:jc w:val="center"/>
        <w:rPr>
          <w:rFonts w:ascii="Times New Roman" w:hAnsi="Times New Roman"/>
          <w:sz w:val="22"/>
          <w:szCs w:val="22"/>
        </w:rPr>
      </w:pPr>
      <w:r>
        <w:rPr>
          <w:b/>
          <w:sz w:val="22"/>
          <w:szCs w:val="22"/>
        </w:rPr>
        <w:t>Срок действия Договора. Порядок изменения и расторжения Договора.</w:t>
      </w:r>
    </w:p>
    <w:p>
      <w:pPr>
        <w:pStyle w:val="ListParagraph"/>
        <w:spacing w:lineRule="auto" w:line="240" w:before="0" w:after="0"/>
        <w:ind w:hanging="0" w:left="567"/>
        <w:contextualSpacing/>
        <w:jc w:val="center"/>
        <w:rPr>
          <w:rFonts w:ascii="Times New Roman" w:hAnsi="Times New Roman"/>
          <w:sz w:val="22"/>
          <w:szCs w:val="22"/>
        </w:rPr>
      </w:pPr>
      <w:r>
        <w:rPr>
          <w:sz w:val="22"/>
          <w:szCs w:val="22"/>
        </w:rPr>
      </w:r>
    </w:p>
    <w:p>
      <w:pPr>
        <w:pStyle w:val="BodyText"/>
        <w:widowControl/>
        <w:numPr>
          <w:ilvl w:val="1"/>
          <w:numId w:val="4"/>
        </w:numPr>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 xml:space="preserve">Настоящий Договор вступает в силу с момента его подписания последней стороной и действует до </w:t>
      </w:r>
      <w:r>
        <w:rPr>
          <w:sz w:val="22"/>
          <w:szCs w:val="22"/>
          <w:shd w:fill="auto" w:val="clear"/>
        </w:rPr>
        <w:t xml:space="preserve">31.12.2027 </w:t>
      </w:r>
      <w:r>
        <w:rPr>
          <w:sz w:val="22"/>
          <w:szCs w:val="22"/>
        </w:rPr>
        <w:t>г. , а в части исполнения Сторонами своих обязательств, включая исполнение гарантийных обязательств – до их исполнения в полном объеме.</w:t>
      </w:r>
    </w:p>
    <w:p>
      <w:pPr>
        <w:pStyle w:val="BodyText"/>
        <w:widowControl/>
        <w:numPr>
          <w:ilvl w:val="1"/>
          <w:numId w:val="4"/>
        </w:numPr>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Настоящий Договор, может быть, расторгнут досрочно по соглашению Сторон или по основаниям, предусмотренным действующим законодательством Российской Федерации.</w:t>
      </w:r>
    </w:p>
    <w:p>
      <w:pPr>
        <w:pStyle w:val="BodyText"/>
        <w:widowControl/>
        <w:numPr>
          <w:ilvl w:val="1"/>
          <w:numId w:val="4"/>
        </w:numPr>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Покупатель вправе отказаться от исполнения Договора в одностороннем порядке без возмещения Поставщику каких-либо убытков, причиненных таким отказом, включая, но не ограничиваясь, в случае следующих нарушений Поставщика, которые признаются Сторонами существенными нарушениями условий Договора:</w:t>
      </w:r>
    </w:p>
    <w:p>
      <w:pPr>
        <w:pStyle w:val="BodyText"/>
        <w:widowControl/>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7.3.1. неоднократных (два и более раз) или существенных (на срок свыше 30 (тридцати) календарных дней) нарушений Поставщиком сроков поставки продукции;</w:t>
      </w:r>
    </w:p>
    <w:p>
      <w:pPr>
        <w:pStyle w:val="BodyText"/>
        <w:widowControl/>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7.3.2. поставки Поставщиком продукции ненадлежащего качества с Несоответствиями, которые не могут быть устранены Поставщиком в установленный Покупателем срок;</w:t>
      </w:r>
    </w:p>
    <w:p>
      <w:pPr>
        <w:pStyle w:val="BodyText"/>
        <w:widowControl/>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7.3.3. введения в отношении Поставщика одной из процедур банкротства либо подачи Поставщиком заявления о признании себя банкротом;</w:t>
      </w:r>
    </w:p>
    <w:p>
      <w:pPr>
        <w:pStyle w:val="BodyText"/>
        <w:widowControl/>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7.3.4. в иных случаях, предусмотренных настоящим Договором.</w:t>
      </w:r>
    </w:p>
    <w:p>
      <w:pPr>
        <w:pStyle w:val="BodyText"/>
        <w:widowControl/>
        <w:suppressAutoHyphens w:val="true"/>
        <w:bidi w:val="0"/>
        <w:spacing w:lineRule="auto" w:line="240" w:before="0" w:after="0"/>
        <w:ind w:firstLine="567" w:left="0" w:right="0"/>
        <w:contextualSpacing/>
        <w:jc w:val="both"/>
        <w:rPr>
          <w:rFonts w:ascii="Times New Roman" w:hAnsi="Times New Roman"/>
          <w:sz w:val="22"/>
          <w:szCs w:val="22"/>
        </w:rPr>
      </w:pPr>
      <w:r>
        <w:rPr>
          <w:sz w:val="22"/>
          <w:szCs w:val="22"/>
        </w:rPr>
        <w:t>7.4. В случаях, предусмотренных п.7.3. Договора, Покупатель направляет Поставщику письменное уведомление об отказе от исполнения договора посредством электронной почты, либо нарочным, либо заказным письмом. Договор считается расторгнутым с момента получения Поставщиком уведомления Покупателя или с даты, указанной в уведомлении. С даты расторжения Договора Поставщик обязан прекратить исполнение обязательств по Договору, кроме гарантийных.</w:t>
      </w:r>
    </w:p>
    <w:p>
      <w:pPr>
        <w:pStyle w:val="BodyText"/>
        <w:widowControl/>
        <w:suppressAutoHyphens w:val="true"/>
        <w:bidi w:val="0"/>
        <w:spacing w:before="0" w:after="0"/>
        <w:ind w:firstLine="567" w:left="0" w:right="0"/>
        <w:contextualSpacing/>
        <w:rPr>
          <w:rFonts w:ascii="Times New Roman" w:hAnsi="Times New Roman"/>
          <w:sz w:val="22"/>
          <w:szCs w:val="22"/>
        </w:rPr>
      </w:pPr>
      <w:r>
        <w:rPr>
          <w:sz w:val="22"/>
          <w:szCs w:val="22"/>
        </w:rPr>
        <w:t xml:space="preserve">7.5. </w:t>
      </w:r>
      <w:r>
        <w:rPr>
          <w:rFonts w:cs="Times New Roman"/>
          <w:color w:val="auto"/>
          <w:kern w:val="0"/>
          <w:sz w:val="22"/>
          <w:szCs w:val="22"/>
          <w:lang w:val="ru-RU" w:bidi="ar-SA"/>
        </w:rPr>
        <w:t>Поставщик вправе отказаться от исполнения Договора в одностороннем порядке по основаниям, предусмотренным действующим законодательством РФ.</w:t>
      </w:r>
    </w:p>
    <w:p>
      <w:pPr>
        <w:pStyle w:val="BodyText"/>
        <w:widowControl/>
        <w:suppressAutoHyphens w:val="true"/>
        <w:bidi w:val="0"/>
        <w:spacing w:before="0" w:after="0"/>
        <w:ind w:firstLine="567" w:left="0" w:right="0"/>
        <w:contextualSpacing/>
        <w:rPr>
          <w:rFonts w:cs="Times New Roman"/>
          <w:color w:val="auto"/>
          <w:kern w:val="0"/>
          <w:sz w:val="22"/>
          <w:szCs w:val="22"/>
          <w:lang w:val="ru-RU" w:bidi="ar-SA"/>
        </w:rPr>
      </w:pPr>
      <w:r>
        <w:rPr>
          <w:rFonts w:cs="Times New Roman"/>
          <w:color w:val="auto"/>
          <w:kern w:val="0"/>
          <w:sz w:val="22"/>
          <w:szCs w:val="22"/>
          <w:lang w:val="ru-RU" w:bidi="ar-SA"/>
        </w:rPr>
        <w:t xml:space="preserve"> </w:t>
      </w:r>
      <w:r>
        <w:rPr>
          <w:rFonts w:cs="Times New Roman"/>
          <w:color w:val="auto"/>
          <w:kern w:val="0"/>
          <w:sz w:val="22"/>
          <w:szCs w:val="22"/>
          <w:lang w:val="ru-RU" w:bidi="ar-SA"/>
        </w:rPr>
        <w:t>7.6. Все изменения и дополнения к настоящему Договору действительны лишь в том случае, если они совершены в письменной форме, оформлены в виде дополнительного соглашения к Договору, подписаны уполномоченными представителями обеих Сторон. Внесенные в одностороннем порядке любой из Сторон в текст Договора или в приложение к нему исправления, изменения, дополнения считаются недействительными. Любая договоренность между Сторонами, влекущая за собой новые обязательства Сторон, которые вытекают из условий Договора, должна быть оформлена в форме дополнительного соглашения к Договору в соответствии с настоящим пунктом Договора.</w:t>
      </w:r>
    </w:p>
    <w:p>
      <w:pPr>
        <w:pStyle w:val="BodyText"/>
        <w:spacing w:lineRule="auto" w:line="240" w:before="0" w:after="0"/>
        <w:ind w:hanging="0" w:left="709"/>
        <w:contextualSpacing/>
        <w:rPr>
          <w:rFonts w:ascii="Times New Roman" w:hAnsi="Times New Roman"/>
          <w:sz w:val="22"/>
          <w:szCs w:val="22"/>
        </w:rPr>
      </w:pPr>
      <w:r>
        <w:rPr>
          <w:sz w:val="22"/>
          <w:szCs w:val="22"/>
        </w:rPr>
      </w:r>
    </w:p>
    <w:p>
      <w:pPr>
        <w:pStyle w:val="BodyText"/>
        <w:numPr>
          <w:ilvl w:val="0"/>
          <w:numId w:val="4"/>
        </w:numPr>
        <w:spacing w:lineRule="auto" w:line="240" w:before="0" w:after="0"/>
        <w:contextualSpacing/>
        <w:jc w:val="center"/>
        <w:rPr>
          <w:rFonts w:ascii="Times New Roman" w:hAnsi="Times New Roman"/>
          <w:sz w:val="22"/>
          <w:szCs w:val="22"/>
        </w:rPr>
      </w:pPr>
      <w:r>
        <w:rPr>
          <w:b/>
          <w:sz w:val="22"/>
          <w:szCs w:val="22"/>
        </w:rPr>
        <w:t>Обстоятельства непреодолимой силы.</w:t>
      </w:r>
    </w:p>
    <w:p>
      <w:pPr>
        <w:pStyle w:val="BodyText"/>
        <w:spacing w:lineRule="auto" w:line="240" w:before="0" w:after="0"/>
        <w:ind w:firstLine="567"/>
        <w:contextualSpacing/>
        <w:rPr>
          <w:rFonts w:ascii="Times New Roman" w:hAnsi="Times New Roman"/>
          <w:sz w:val="22"/>
          <w:szCs w:val="22"/>
        </w:rPr>
      </w:pPr>
      <w:r>
        <w:rPr>
          <w:sz w:val="22"/>
          <w:szCs w:val="22"/>
        </w:rPr>
        <w:t>8.1. Стороны освобождаются от ответственности за полное или частичное неисполнение обязательств по настоящему Договору, если оно явилось следствием обстоятельств непреодолимой силы .</w:t>
      </w:r>
    </w:p>
    <w:p>
      <w:pPr>
        <w:pStyle w:val="BodyText"/>
        <w:spacing w:lineRule="auto" w:line="240" w:before="0" w:after="0"/>
        <w:ind w:firstLine="567"/>
        <w:contextualSpacing/>
        <w:rPr>
          <w:rFonts w:ascii="Times New Roman" w:hAnsi="Times New Roman"/>
          <w:sz w:val="22"/>
          <w:szCs w:val="22"/>
        </w:rPr>
      </w:pPr>
      <w:r>
        <w:rPr>
          <w:szCs w:val="24"/>
          <w:shd w:fill="auto" w:val="clear"/>
        </w:rPr>
        <w:t xml:space="preserve">8.2. </w:t>
      </w:r>
      <w:r>
        <w:rPr>
          <w:rFonts w:eastAsia="Calibri" w:cs="Times New Roman"/>
          <w:color w:val="auto"/>
          <w:kern w:val="0"/>
          <w:sz w:val="22"/>
          <w:szCs w:val="22"/>
          <w:lang w:val="ru-RU" w:eastAsia="ru-RU" w:bidi="ar-SA"/>
        </w:rPr>
        <w:t>Под обстоятельствами непреодолимой силы понимаются такие обстоятельства, которые возникли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и другие стихийные бедствия, военные действия, блокада транспорта, эпидемии,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и/или вступившими в силу нормативными актами органов власти. К обстоятельствам непреодолимой силы не могут быть отнесены предпринимательские риски, такие как, нарушение обязанностей со стороны контрагентов, отсутствие на рынке нужных для исполнения обязательств товаров, отсутствие у Стороны необходимых денежных средств, а также финансово-экономический кризис, изменение валютного курса, девальвация национальной валюты, введение политических и экономических санкций против Поставщика/страны Поставщика.</w:t>
      </w:r>
    </w:p>
    <w:p>
      <w:pPr>
        <w:pStyle w:val="BodyText"/>
        <w:widowControl/>
        <w:suppressAutoHyphens w:val="true"/>
        <w:bidi w:val="0"/>
        <w:spacing w:before="0" w:after="0"/>
        <w:ind w:firstLine="567"/>
        <w:contextualSpacing/>
        <w:rPr>
          <w:rFonts w:ascii="Times New Roman" w:hAnsi="Times New Roman"/>
          <w:sz w:val="22"/>
          <w:szCs w:val="22"/>
        </w:rPr>
      </w:pPr>
      <w:r>
        <w:rPr>
          <w:szCs w:val="24"/>
          <w:shd w:fill="auto" w:val="clear"/>
        </w:rPr>
        <w:t xml:space="preserve">8.3. </w:t>
      </w:r>
      <w:r>
        <w:rPr>
          <w:rFonts w:cs="Times New Roman"/>
          <w:color w:val="auto"/>
          <w:kern w:val="0"/>
          <w:sz w:val="22"/>
          <w:szCs w:val="22"/>
          <w:lang w:val="ru-RU" w:bidi="ar-SA"/>
        </w:rPr>
        <w:t>Сторона, исполнению обязательств которой препятствует обстоятельство непреодолимой силы, обязана в течение 15 (Пятнадцати) рабочих дней письменно информировать другую Стороны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pPr>
        <w:pStyle w:val="BodyText"/>
        <w:widowControl/>
        <w:suppressAutoHyphens w:val="true"/>
        <w:bidi w:val="0"/>
        <w:spacing w:before="0" w:after="0"/>
        <w:ind w:firstLine="567"/>
        <w:contextualSpacing/>
        <w:rPr>
          <w:rFonts w:cs="Times New Roman"/>
          <w:color w:val="auto"/>
          <w:kern w:val="0"/>
          <w:sz w:val="22"/>
          <w:szCs w:val="22"/>
          <w:lang w:val="ru-RU" w:bidi="ar-SA"/>
        </w:rPr>
      </w:pPr>
      <w:r>
        <w:rPr>
          <w:rFonts w:cs="Times New Roman"/>
          <w:color w:val="auto"/>
          <w:kern w:val="0"/>
          <w:sz w:val="22"/>
          <w:szCs w:val="22"/>
          <w:lang w:val="ru-RU" w:bidi="ar-SA"/>
        </w:rPr>
        <w:t>8.4. Если после прекращения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обстоятельства непреодолимой силы, то срок исполнения обязательств по Договора продлевается соразмерно времени, которое необходимо для учета действия этих обстоятельств и их последствий.</w:t>
      </w:r>
    </w:p>
    <w:p>
      <w:pPr>
        <w:pStyle w:val="BodyText"/>
        <w:widowControl/>
        <w:suppressAutoHyphens w:val="true"/>
        <w:bidi w:val="0"/>
        <w:spacing w:before="0" w:after="0"/>
        <w:ind w:firstLine="567"/>
        <w:contextualSpacing/>
        <w:rPr>
          <w:rFonts w:cs="Times New Roman"/>
          <w:color w:val="auto"/>
          <w:kern w:val="0"/>
          <w:sz w:val="22"/>
          <w:szCs w:val="22"/>
          <w:lang w:val="ru-RU" w:bidi="ar-SA"/>
        </w:rPr>
      </w:pPr>
      <w:r>
        <w:rPr>
          <w:rFonts w:cs="Times New Roman"/>
          <w:color w:val="auto"/>
          <w:kern w:val="0"/>
          <w:sz w:val="22"/>
          <w:szCs w:val="22"/>
          <w:lang w:val="ru-RU" w:bidi="ar-SA"/>
        </w:rPr>
        <w:t>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pPr>
        <w:pStyle w:val="BodyText"/>
        <w:spacing w:lineRule="auto" w:line="240" w:before="0" w:after="0"/>
        <w:ind w:firstLine="567"/>
        <w:contextualSpacing/>
        <w:rPr>
          <w:rFonts w:ascii="Times New Roman" w:hAnsi="Times New Roman"/>
          <w:sz w:val="22"/>
          <w:szCs w:val="22"/>
        </w:rPr>
      </w:pPr>
      <w:r>
        <w:rPr>
          <w:sz w:val="22"/>
          <w:szCs w:val="22"/>
        </w:rPr>
      </w:r>
    </w:p>
    <w:p>
      <w:pPr>
        <w:pStyle w:val="Heading1"/>
        <w:keepNext w:val="false"/>
        <w:widowControl w:val="false"/>
        <w:numPr>
          <w:ilvl w:val="0"/>
          <w:numId w:val="4"/>
        </w:numPr>
        <w:tabs>
          <w:tab w:val="clear" w:pos="708"/>
          <w:tab w:val="left" w:pos="1559" w:leader="none"/>
          <w:tab w:val="left" w:pos="2268" w:leader="none"/>
          <w:tab w:val="left" w:pos="2977" w:leader="none"/>
          <w:tab w:val="left" w:pos="3686" w:leader="none"/>
          <w:tab w:val="left" w:pos="4394" w:leader="none"/>
          <w:tab w:val="right" w:pos="8789" w:leader="none"/>
        </w:tabs>
        <w:spacing w:lineRule="auto" w:line="240" w:before="0" w:after="0"/>
        <w:contextualSpacing/>
        <w:jc w:val="center"/>
        <w:rPr>
          <w:rFonts w:ascii="Times New Roman" w:hAnsi="Times New Roman"/>
          <w:sz w:val="22"/>
          <w:szCs w:val="22"/>
        </w:rPr>
      </w:pPr>
      <w:r>
        <w:rPr>
          <w:bCs w:val="false"/>
          <w:caps w:val="false"/>
          <w:smallCaps w:val="false"/>
          <w:kern w:val="0"/>
          <w:sz w:val="22"/>
          <w:szCs w:val="22"/>
        </w:rPr>
        <w:t>Противодействие коррупции.</w:t>
      </w:r>
    </w:p>
    <w:p>
      <w:pPr>
        <w:pStyle w:val="Para2"/>
        <w:widowControl w:val="false"/>
        <w:numPr>
          <w:ilvl w:val="0"/>
          <w:numId w:val="0"/>
        </w:numPr>
        <w:spacing w:lineRule="auto" w:line="240" w:before="0" w:after="0"/>
        <w:ind w:firstLine="567" w:left="0"/>
        <w:contextualSpacing/>
        <w:jc w:val="both"/>
        <w:rPr/>
      </w:pPr>
      <w:r>
        <w:rPr>
          <w:rStyle w:val="CommentReference"/>
          <w:rFonts w:ascii="Times New Roman" w:hAnsi="Times New Roman"/>
          <w:sz w:val="22"/>
          <w:szCs w:val="22"/>
        </w:rPr>
        <w:t>9.1. 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 при выполнении обязательств по настоящему Договору.</w:t>
      </w:r>
    </w:p>
    <w:p>
      <w:pPr>
        <w:pStyle w:val="Para2"/>
        <w:widowControl w:val="false"/>
        <w:numPr>
          <w:ilvl w:val="0"/>
          <w:numId w:val="0"/>
        </w:numPr>
        <w:spacing w:lineRule="auto" w:line="240" w:before="0" w:after="0"/>
        <w:ind w:firstLine="567" w:left="0"/>
        <w:contextualSpacing/>
        <w:jc w:val="both"/>
        <w:rPr/>
      </w:pPr>
      <w:r>
        <w:rPr>
          <w:rStyle w:val="CommentReference"/>
          <w:rFonts w:ascii="Times New Roman" w:hAnsi="Times New Roman"/>
          <w:sz w:val="22"/>
          <w:szCs w:val="22"/>
        </w:rPr>
        <w:t>9.2. Стороны и любые их должностные лица, работники, акционеры, представители, агенты, или любые лица, действующие от имени или в интересах или по просьбе какой либо из Сторон в связи с заключением и исполнением настоящего Договора,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в целях необходимости реализации любых условий настоящего Договора, если указанные действия нарушают какие-либо законы или нормативные акты, направленные на противодействие взяточничеству и коррупции, применимые в отношении Сторон, либо в рамках исполнения настоящего Договора.</w:t>
      </w:r>
      <w:r>
        <w:rPr>
          <w:rFonts w:ascii="Times New Roman" w:hAnsi="Times New Roman"/>
          <w:sz w:val="22"/>
          <w:szCs w:val="22"/>
        </w:rPr>
        <w:t xml:space="preserve"> </w:t>
      </w:r>
    </w:p>
    <w:p>
      <w:pPr>
        <w:pStyle w:val="BodyText"/>
        <w:widowControl w:val="false"/>
        <w:spacing w:lineRule="auto" w:line="240" w:before="0" w:after="0"/>
        <w:contextualSpacing/>
        <w:rPr>
          <w:rFonts w:ascii="Times New Roman" w:hAnsi="Times New Roman"/>
          <w:sz w:val="22"/>
          <w:szCs w:val="22"/>
          <w:u w:val="single"/>
        </w:rPr>
      </w:pPr>
      <w:r>
        <w:rPr>
          <w:sz w:val="22"/>
          <w:szCs w:val="22"/>
          <w:u w:val="single"/>
        </w:rPr>
      </w:r>
    </w:p>
    <w:p>
      <w:pPr>
        <w:pStyle w:val="Subtitle"/>
        <w:numPr>
          <w:ilvl w:val="0"/>
          <w:numId w:val="7"/>
        </w:numPr>
        <w:spacing w:lineRule="auto" w:line="240" w:before="0" w:after="0"/>
        <w:contextualSpacing/>
        <w:rPr>
          <w:rFonts w:ascii="Times New Roman" w:hAnsi="Times New Roman"/>
          <w:sz w:val="22"/>
          <w:szCs w:val="22"/>
        </w:rPr>
      </w:pPr>
      <w:r>
        <w:rPr>
          <w:rFonts w:ascii="Times New Roman" w:hAnsi="Times New Roman"/>
          <w:b/>
          <w:sz w:val="22"/>
          <w:szCs w:val="22"/>
        </w:rPr>
        <w:t xml:space="preserve">     </w:t>
      </w:r>
      <w:r>
        <w:rPr>
          <w:rFonts w:ascii="Times New Roman" w:hAnsi="Times New Roman"/>
          <w:b/>
          <w:sz w:val="22"/>
          <w:szCs w:val="22"/>
        </w:rPr>
        <w:t>Обеспечение конфиденциальности.</w:t>
      </w:r>
    </w:p>
    <w:p>
      <w:pPr>
        <w:pStyle w:val="Normal"/>
        <w:spacing w:lineRule="auto" w:line="240" w:before="0" w:after="0"/>
        <w:contextualSpacing/>
        <w:rPr>
          <w:rFonts w:ascii="Times New Roman" w:hAnsi="Times New Roman"/>
          <w:sz w:val="22"/>
          <w:szCs w:val="22"/>
        </w:rPr>
      </w:pPr>
      <w:r>
        <w:rPr>
          <w:rFonts w:ascii="Times New Roman" w:hAnsi="Times New Roman"/>
          <w:sz w:val="22"/>
          <w:szCs w:val="22"/>
        </w:rPr>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10.1.  Стороны обязуются использовать взаимно предоставленную или ставшую известной в ходе сотрудничества информацию конфиденциального характера исключительно в целях исполнения обязательств по настоящему Договору.</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10.2.  Вся информация, предоставленная в какой-либо форме раскрывающей Стороной, является исключительно ее собственностью.</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10.3.  Сторона, получающая информацию, обязуется не разглашать ее третей Стороне и не использовать для собственной выгоды, за исключением цели настоящего Договора.</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10.4.  Во избежание разглашения информации конфиденциального характера раскрывающей Стороны третьим лицам получающая Сторона обязуется соблюдать в отношении полученной информации режим коммерческой тайны в рамках требований Федерального закона от 29.07.2004 № 98-ФЗ «О коммерческой тайне».</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10.5.  Информация конфиденциального характера может быть раскрыта третьим лицам исключительно по обоюдному согласию Сторон, выраженному в письменной форме.</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10.6.  Получающая Сторона не будет иметь никаких обязательств в отношении информации, если эта информация:</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 </w:t>
      </w:r>
      <w:r>
        <w:rPr>
          <w:rFonts w:ascii="Times New Roman" w:hAnsi="Times New Roman"/>
          <w:sz w:val="22"/>
          <w:szCs w:val="22"/>
        </w:rPr>
        <w:t>получена из общеизвестного либо официального источника;</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 </w:t>
      </w:r>
      <w:r>
        <w:rPr>
          <w:rFonts w:ascii="Times New Roman" w:hAnsi="Times New Roman"/>
          <w:sz w:val="22"/>
          <w:szCs w:val="22"/>
        </w:rPr>
        <w:t>опубликована в средствах массовой информации в результате неправильного, небрежного или намеренного действия раскрывающей Стороны;</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 </w:t>
      </w:r>
      <w:r>
        <w:rPr>
          <w:rFonts w:ascii="Times New Roman" w:hAnsi="Times New Roman"/>
          <w:sz w:val="22"/>
          <w:szCs w:val="22"/>
        </w:rPr>
        <w:t>правомерно получена от третьей Стороны без ограничения и без нарушения настоящего Договора;</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 </w:t>
      </w:r>
      <w:r>
        <w:rPr>
          <w:rFonts w:ascii="Times New Roman" w:hAnsi="Times New Roman"/>
          <w:sz w:val="22"/>
          <w:szCs w:val="22"/>
        </w:rPr>
        <w:t xml:space="preserve">представлена третьей Стороне раскрывающей Стороной без аналогичного ограничения на права третьей Стороны; </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 </w:t>
      </w:r>
      <w:r>
        <w:rPr>
          <w:rFonts w:ascii="Times New Roman" w:hAnsi="Times New Roman"/>
          <w:sz w:val="22"/>
          <w:szCs w:val="22"/>
        </w:rPr>
        <w:t>получена с письменного разрешения раскрывающей Стороны;</w:t>
      </w:r>
    </w:p>
    <w:p>
      <w:pPr>
        <w:pStyle w:val="Subtitle"/>
        <w:spacing w:lineRule="auto" w:line="240" w:before="0" w:after="0"/>
        <w:ind w:firstLine="709" w:left="0"/>
        <w:contextualSpacing/>
        <w:jc w:val="both"/>
        <w:rPr>
          <w:rFonts w:ascii="Times New Roman" w:hAnsi="Times New Roman"/>
          <w:sz w:val="22"/>
          <w:szCs w:val="22"/>
        </w:rPr>
      </w:pPr>
      <w:r>
        <w:rPr>
          <w:rFonts w:ascii="Times New Roman" w:hAnsi="Times New Roman"/>
          <w:sz w:val="22"/>
          <w:szCs w:val="22"/>
        </w:rPr>
        <w:t>– </w:t>
      </w:r>
      <w:r>
        <w:rPr>
          <w:rFonts w:ascii="Times New Roman" w:hAnsi="Times New Roman"/>
          <w:sz w:val="22"/>
          <w:szCs w:val="22"/>
        </w:rPr>
        <w:t>обоснованно раскрыта надзорными органами государственной или муниципальной власти.</w:t>
      </w:r>
    </w:p>
    <w:p>
      <w:pPr>
        <w:pStyle w:val="Para2"/>
        <w:widowControl w:val="false"/>
        <w:numPr>
          <w:ilvl w:val="0"/>
          <w:numId w:val="0"/>
        </w:numPr>
        <w:spacing w:lineRule="auto" w:line="240" w:before="0" w:after="0"/>
        <w:ind w:firstLine="567" w:left="0"/>
        <w:contextualSpacing/>
        <w:jc w:val="both"/>
        <w:rPr/>
      </w:pPr>
      <w:r>
        <w:rPr>
          <w:rStyle w:val="CommentReference"/>
          <w:rFonts w:ascii="Times New Roman" w:hAnsi="Times New Roman"/>
          <w:sz w:val="22"/>
          <w:szCs w:val="22"/>
        </w:rPr>
        <w:t xml:space="preserve">10.7. АО «СНИИП» вправе передать сведения, касающиеся настоящего договора в      АО  ГРИНАТОМ» с гарантией сохранения конфиденциальности и обеспечения защиты от несанкционированного доступа без предварительного согласия контрагента. </w:t>
      </w:r>
      <w:r>
        <w:rPr>
          <w:rStyle w:val="CommentReference"/>
          <w:rFonts w:ascii="Times New Roman" w:hAnsi="Times New Roman"/>
          <w:sz w:val="22"/>
          <w:szCs w:val="22"/>
          <w:lang w:bidi="ar-SA"/>
        </w:rPr>
        <w:t>АО «СНИИП» имеет право без согласия Поставщика предоставлять информацию о настоящем Договоре третьим лицам в случае, когда предоставление такой информации требуется в соответствии с требованиями действующего законодательства РФ</w:t>
      </w:r>
      <w:r>
        <w:rPr>
          <w:color w:val="000000"/>
          <w:sz w:val="22"/>
          <w:szCs w:val="22"/>
        </w:rPr>
        <w:t>.</w:t>
      </w:r>
    </w:p>
    <w:p>
      <w:pPr>
        <w:pStyle w:val="111"/>
        <w:widowControl/>
        <w:tabs>
          <w:tab w:val="clear" w:pos="708"/>
          <w:tab w:val="left" w:pos="0" w:leader="none"/>
        </w:tabs>
        <w:suppressAutoHyphens w:val="true"/>
        <w:bidi w:val="0"/>
        <w:spacing w:lineRule="auto" w:line="240" w:before="0" w:after="0"/>
        <w:ind w:firstLine="567" w:left="0" w:right="0"/>
        <w:jc w:val="both"/>
        <w:rPr>
          <w:rFonts w:ascii="Times New Roman" w:hAnsi="Times New Roman"/>
          <w:color w:val="000000"/>
          <w:sz w:val="22"/>
          <w:szCs w:val="22"/>
        </w:rPr>
      </w:pPr>
      <w:r>
        <w:rPr>
          <w:color w:val="000000"/>
          <w:sz w:val="22"/>
          <w:szCs w:val="22"/>
        </w:rPr>
      </w:r>
    </w:p>
    <w:p>
      <w:pPr>
        <w:pStyle w:val="ListParagraph"/>
        <w:spacing w:lineRule="auto" w:line="240"/>
        <w:ind w:hanging="0" w:left="927"/>
        <w:jc w:val="center"/>
        <w:rPr>
          <w:rFonts w:ascii="Times New Roman" w:hAnsi="Times New Roman"/>
          <w:sz w:val="22"/>
          <w:szCs w:val="22"/>
        </w:rPr>
      </w:pPr>
      <w:r>
        <w:rPr>
          <w:rFonts w:eastAsia="Batang"/>
          <w:b/>
          <w:sz w:val="22"/>
          <w:szCs w:val="22"/>
          <w:lang w:bidi="ru-RU"/>
        </w:rPr>
        <w:t>11. Порядок проведения входного контроля</w:t>
      </w:r>
    </w:p>
    <w:p>
      <w:pPr>
        <w:pStyle w:val="Normal"/>
        <w:widowControl/>
        <w:shd w:val="clear" w:fill="FFFFFF"/>
        <w:suppressAutoHyphens w:val="true"/>
        <w:bidi w:val="0"/>
        <w:spacing w:lineRule="auto" w:line="240" w:before="0" w:after="0"/>
        <w:ind w:firstLine="567" w:left="0" w:right="0"/>
        <w:jc w:val="both"/>
        <w:rPr>
          <w:rFonts w:ascii="Times New Roman" w:hAnsi="Times New Roman"/>
          <w:sz w:val="22"/>
          <w:szCs w:val="22"/>
        </w:rPr>
      </w:pPr>
      <w:r>
        <w:rPr>
          <w:rFonts w:eastAsia="Batang" w:ascii="Times New Roman" w:hAnsi="Times New Roman"/>
          <w:sz w:val="22"/>
          <w:szCs w:val="22"/>
          <w:lang w:bidi="ru-RU"/>
        </w:rPr>
        <w:t xml:space="preserve">11.1. </w:t>
      </w:r>
      <w:r>
        <w:rPr>
          <w:rFonts w:eastAsia="Calibri" w:ascii="Times New Roman" w:hAnsi="Times New Roman"/>
          <w:iCs/>
          <w:sz w:val="22"/>
          <w:szCs w:val="22"/>
        </w:rPr>
        <w:t xml:space="preserve">До проведения входного контроля Покупателем проводится приемка поставленной Покупателю продукции по количеству </w:t>
      </w:r>
      <w:r>
        <w:rPr>
          <w:rFonts w:ascii="Times New Roman" w:hAnsi="Times New Roman"/>
          <w:iCs/>
          <w:sz w:val="22"/>
          <w:szCs w:val="22"/>
        </w:rPr>
        <w:t>грузовых мест, повреждение упаковки, тары.</w:t>
      </w:r>
    </w:p>
    <w:p>
      <w:pPr>
        <w:pStyle w:val="Normal"/>
        <w:widowControl/>
        <w:shd w:val="clear" w:fill="FFFFFF"/>
        <w:suppressAutoHyphens w:val="true"/>
        <w:bidi w:val="0"/>
        <w:spacing w:lineRule="auto" w:line="240" w:before="0" w:after="0"/>
        <w:ind w:firstLine="567" w:left="0" w:right="0"/>
        <w:jc w:val="both"/>
        <w:rPr>
          <w:rFonts w:ascii="Times New Roman" w:hAnsi="Times New Roman"/>
          <w:sz w:val="22"/>
          <w:szCs w:val="22"/>
        </w:rPr>
      </w:pPr>
      <w:r>
        <w:rPr>
          <w:rFonts w:eastAsia="Batang" w:ascii="Times New Roman" w:hAnsi="Times New Roman"/>
          <w:sz w:val="22"/>
          <w:szCs w:val="22"/>
          <w:lang w:bidi="ru-RU"/>
        </w:rPr>
        <w:t xml:space="preserve">11.2. </w:t>
      </w:r>
      <w:r>
        <w:rPr>
          <w:rFonts w:ascii="Times New Roman" w:hAnsi="Times New Roman"/>
          <w:sz w:val="22"/>
          <w:szCs w:val="22"/>
        </w:rPr>
        <w:t>При соответствии продукции по количеству грузовых мест, отсутствия повреждений упаковки, тары, Покупателем проводится входной контроль в сроки, установленные в разделе 3 настоящего Договора.</w:t>
      </w:r>
    </w:p>
    <w:p>
      <w:pPr>
        <w:pStyle w:val="Normal"/>
        <w:widowControl/>
        <w:tabs>
          <w:tab w:val="clear" w:pos="708"/>
          <w:tab w:val="left" w:pos="1276" w:leader="none"/>
        </w:tabs>
        <w:suppressAutoHyphens w:val="true"/>
        <w:bidi w:val="0"/>
        <w:spacing w:lineRule="auto" w:line="240" w:before="0" w:after="0"/>
        <w:ind w:firstLine="567" w:left="0" w:right="0"/>
        <w:jc w:val="both"/>
        <w:rPr>
          <w:rFonts w:ascii="Times New Roman" w:hAnsi="Times New Roman"/>
          <w:sz w:val="22"/>
          <w:szCs w:val="22"/>
        </w:rPr>
      </w:pPr>
      <w:r>
        <w:rPr>
          <w:rFonts w:eastAsia="Calibri" w:ascii="Times New Roman" w:hAnsi="Times New Roman"/>
          <w:bCs/>
          <w:sz w:val="22"/>
          <w:szCs w:val="22"/>
        </w:rPr>
        <w:t xml:space="preserve">11.3. </w:t>
      </w:r>
      <w:r>
        <w:rPr>
          <w:rFonts w:ascii="Times New Roman" w:hAnsi="Times New Roman"/>
          <w:sz w:val="22"/>
          <w:szCs w:val="22"/>
        </w:rPr>
        <w:t>При обнаружении в результате приемки Продукции недостачи, некачественной, некомплектной продукции, обязательным является внесение данных сведений в Акт входного контроля. Вызов представителя Поставщика для участия в подписании такого акта обязателен. Вызов направляется электронный адрес Поставщика, указанный в разделе 17 настоящего Договора.</w:t>
      </w:r>
    </w:p>
    <w:p>
      <w:pPr>
        <w:pStyle w:val="Normal"/>
        <w:widowControl/>
        <w:tabs>
          <w:tab w:val="clear" w:pos="708"/>
          <w:tab w:val="left" w:pos="1276" w:leader="none"/>
        </w:tabs>
        <w:suppressAutoHyphens w:val="true"/>
        <w:bidi w:val="0"/>
        <w:spacing w:lineRule="auto" w:line="240" w:before="0" w:after="0"/>
        <w:ind w:firstLine="567" w:left="0" w:right="0"/>
        <w:jc w:val="both"/>
        <w:rPr>
          <w:rFonts w:ascii="Times New Roman" w:hAnsi="Times New Roman"/>
          <w:sz w:val="22"/>
          <w:szCs w:val="22"/>
        </w:rPr>
      </w:pPr>
      <w:r>
        <w:rPr>
          <w:rFonts w:ascii="Times New Roman" w:hAnsi="Times New Roman"/>
          <w:sz w:val="22"/>
          <w:szCs w:val="22"/>
        </w:rPr>
        <w:t xml:space="preserve">11.4. Срок прибытия представителя Поставщика для участия в подписании акта входного контроля – 3 (три) рабочих дня с момента направления Покупателем вызова, если иной срок не установлен в вызове. Представитель Поставщика должен иметь при себе надлежащим образом оформленную доверенность на право подписания акта. </w:t>
      </w:r>
    </w:p>
    <w:p>
      <w:pPr>
        <w:pStyle w:val="Normal"/>
        <w:tabs>
          <w:tab w:val="clear" w:pos="708"/>
          <w:tab w:val="left" w:pos="1276" w:leader="none"/>
        </w:tabs>
        <w:suppressAutoHyphens w:val="true"/>
        <w:spacing w:lineRule="auto" w:line="240" w:before="0" w:after="0"/>
        <w:jc w:val="both"/>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11.5. </w:t>
      </w:r>
      <w:r>
        <w:rPr>
          <w:rFonts w:ascii="Times New Roman" w:hAnsi="Times New Roman"/>
          <w:iCs/>
          <w:sz w:val="22"/>
          <w:szCs w:val="22"/>
        </w:rPr>
        <w:t>В случае неявки представителя Поставщика в срок, указанный в вызове, подписание акта входного контроля с указанием несоответствий, выявленных в ходе проведения входного контроля, осуществляется Покупателем в одностороннем порядке.</w:t>
      </w:r>
    </w:p>
    <w:p>
      <w:pPr>
        <w:pStyle w:val="Normal"/>
        <w:spacing w:lineRule="auto" w:line="240" w:before="0" w:after="0"/>
        <w:jc w:val="both"/>
        <w:rPr>
          <w:rFonts w:ascii="Times New Roman" w:hAnsi="Times New Roman"/>
          <w:sz w:val="22"/>
          <w:szCs w:val="22"/>
        </w:rPr>
      </w:pPr>
      <w:r>
        <w:rPr>
          <w:rFonts w:eastAsia="Batang" w:ascii="Times New Roman" w:hAnsi="Times New Roman"/>
          <w:sz w:val="22"/>
          <w:szCs w:val="22"/>
          <w:lang w:eastAsia="ru-RU" w:bidi="ru-RU"/>
        </w:rPr>
        <w:t xml:space="preserve">       </w:t>
      </w:r>
      <w:r>
        <w:rPr>
          <w:rFonts w:eastAsia="Batang" w:ascii="Times New Roman" w:hAnsi="Times New Roman"/>
          <w:sz w:val="22"/>
          <w:szCs w:val="22"/>
          <w:lang w:eastAsia="ru-RU" w:bidi="ru-RU"/>
        </w:rPr>
        <w:t xml:space="preserve">11.6. </w:t>
      </w:r>
      <w:r>
        <w:rPr>
          <w:rFonts w:eastAsia="Calibri" w:ascii="Times New Roman" w:hAnsi="Times New Roman"/>
          <w:iCs/>
          <w:sz w:val="22"/>
          <w:szCs w:val="22"/>
        </w:rPr>
        <w:t xml:space="preserve">Акт входного контроля, составленный </w:t>
      </w:r>
      <w:r>
        <w:rPr>
          <w:rFonts w:eastAsia="Calibri" w:ascii="Times New Roman" w:hAnsi="Times New Roman"/>
          <w:sz w:val="22"/>
          <w:szCs w:val="22"/>
        </w:rPr>
        <w:t>Покупателем</w:t>
      </w:r>
      <w:r>
        <w:rPr>
          <w:rFonts w:eastAsia="Calibri" w:ascii="Times New Roman" w:hAnsi="Times New Roman"/>
          <w:iCs/>
          <w:sz w:val="22"/>
          <w:szCs w:val="22"/>
        </w:rPr>
        <w:t xml:space="preserve"> в одностороннем порядке, является основанием для предъявления претензии Поставщику о недостаче, некомплектности, несоответствии Продукции и/или сопроводительной документации условиям Договора и имеет силу надлежащего доказательства некачественности, некомплектности Продукции и/или сопроводительной документации.</w:t>
      </w:r>
    </w:p>
    <w:p>
      <w:pPr>
        <w:pStyle w:val="Normal"/>
        <w:tabs>
          <w:tab w:val="clear" w:pos="708"/>
          <w:tab w:val="left" w:pos="1440" w:leader="none"/>
        </w:tabs>
        <w:suppressAutoHyphens w:val="true"/>
        <w:spacing w:lineRule="auto" w:line="240" w:before="0" w:after="120"/>
        <w:jc w:val="both"/>
        <w:rPr>
          <w:rFonts w:ascii="Times New Roman" w:hAnsi="Times New Roman"/>
          <w:sz w:val="22"/>
          <w:szCs w:val="22"/>
        </w:rPr>
      </w:pPr>
      <w:r>
        <w:rPr>
          <w:rFonts w:eastAsia="Batang" w:ascii="Times New Roman" w:hAnsi="Times New Roman"/>
          <w:sz w:val="22"/>
          <w:szCs w:val="22"/>
          <w:lang w:eastAsia="ru-RU" w:bidi="ru-RU"/>
        </w:rPr>
        <w:t xml:space="preserve">        </w:t>
      </w:r>
      <w:r>
        <w:rPr>
          <w:rFonts w:eastAsia="Batang" w:ascii="Times New Roman" w:hAnsi="Times New Roman"/>
          <w:sz w:val="22"/>
          <w:szCs w:val="22"/>
          <w:lang w:eastAsia="ru-RU" w:bidi="ru-RU"/>
        </w:rPr>
        <w:t xml:space="preserve">11.7. </w:t>
      </w:r>
      <w:r>
        <w:rPr>
          <w:rFonts w:ascii="Times New Roman" w:hAnsi="Times New Roman"/>
          <w:sz w:val="22"/>
          <w:szCs w:val="22"/>
          <w:lang w:val="x-none" w:eastAsia="x-none"/>
        </w:rPr>
        <w:t xml:space="preserve">В случае отсутствия замечаний к </w:t>
      </w:r>
      <w:r>
        <w:rPr>
          <w:rFonts w:ascii="Times New Roman" w:hAnsi="Times New Roman"/>
          <w:sz w:val="22"/>
          <w:szCs w:val="22"/>
          <w:lang w:eastAsia="x-none"/>
        </w:rPr>
        <w:t>продукции</w:t>
      </w:r>
      <w:r>
        <w:rPr>
          <w:rFonts w:ascii="Times New Roman" w:hAnsi="Times New Roman"/>
          <w:sz w:val="22"/>
          <w:szCs w:val="22"/>
          <w:lang w:val="x-none" w:eastAsia="x-none"/>
        </w:rPr>
        <w:t xml:space="preserve"> по итогам входного контроля </w:t>
      </w:r>
      <w:r>
        <w:rPr>
          <w:rFonts w:ascii="Times New Roman" w:hAnsi="Times New Roman"/>
          <w:sz w:val="22"/>
          <w:szCs w:val="22"/>
          <w:lang w:eastAsia="x-none"/>
        </w:rPr>
        <w:t>Покупателем</w:t>
      </w:r>
      <w:r>
        <w:rPr>
          <w:rFonts w:ascii="Times New Roman" w:hAnsi="Times New Roman"/>
          <w:sz w:val="22"/>
          <w:szCs w:val="22"/>
          <w:lang w:val="x-none" w:eastAsia="x-none"/>
        </w:rPr>
        <w:t xml:space="preserve"> оформляется и подписывается Акт входного контроля </w:t>
      </w:r>
      <w:r>
        <w:rPr>
          <w:rFonts w:ascii="Times New Roman" w:hAnsi="Times New Roman"/>
          <w:sz w:val="22"/>
          <w:szCs w:val="22"/>
          <w:lang w:eastAsia="x-none"/>
        </w:rPr>
        <w:t>и</w:t>
      </w:r>
      <w:r>
        <w:rPr>
          <w:rFonts w:ascii="Times New Roman" w:hAnsi="Times New Roman"/>
          <w:sz w:val="22"/>
          <w:szCs w:val="22"/>
          <w:lang w:val="x-none" w:eastAsia="x-none"/>
        </w:rPr>
        <w:t xml:space="preserve"> </w:t>
      </w:r>
      <w:r>
        <w:rPr>
          <w:rFonts w:ascii="Times New Roman" w:hAnsi="Times New Roman"/>
          <w:sz w:val="22"/>
          <w:szCs w:val="22"/>
          <w:lang w:eastAsia="x-none"/>
        </w:rPr>
        <w:t xml:space="preserve">подписывается </w:t>
      </w:r>
      <w:r>
        <w:rPr>
          <w:rFonts w:ascii="Times New Roman" w:hAnsi="Times New Roman"/>
          <w:sz w:val="22"/>
          <w:szCs w:val="22"/>
          <w:lang w:val="x-none" w:eastAsia="x-none"/>
        </w:rPr>
        <w:t>товарн</w:t>
      </w:r>
      <w:r>
        <w:rPr>
          <w:rFonts w:ascii="Times New Roman" w:hAnsi="Times New Roman"/>
          <w:sz w:val="22"/>
          <w:szCs w:val="22"/>
          <w:lang w:eastAsia="x-none"/>
        </w:rPr>
        <w:t>ая</w:t>
      </w:r>
      <w:r>
        <w:rPr>
          <w:rFonts w:ascii="Times New Roman" w:hAnsi="Times New Roman"/>
          <w:sz w:val="22"/>
          <w:szCs w:val="22"/>
          <w:lang w:val="x-none" w:eastAsia="x-none"/>
        </w:rPr>
        <w:t xml:space="preserve"> накладн</w:t>
      </w:r>
      <w:r>
        <w:rPr>
          <w:rFonts w:ascii="Times New Roman" w:hAnsi="Times New Roman"/>
          <w:sz w:val="22"/>
          <w:szCs w:val="22"/>
          <w:lang w:eastAsia="x-none"/>
        </w:rPr>
        <w:t>ая</w:t>
      </w:r>
      <w:r>
        <w:rPr>
          <w:rFonts w:ascii="Times New Roman" w:hAnsi="Times New Roman"/>
          <w:sz w:val="22"/>
          <w:szCs w:val="22"/>
          <w:lang w:val="x-none" w:eastAsia="x-none"/>
        </w:rPr>
        <w:t xml:space="preserve"> по форме ТОРГ-12 или УПД.</w:t>
      </w:r>
    </w:p>
    <w:p>
      <w:pPr>
        <w:pStyle w:val="Heading1"/>
        <w:numPr>
          <w:ilvl w:val="0"/>
          <w:numId w:val="0"/>
        </w:numPr>
        <w:spacing w:lineRule="auto" w:line="240" w:before="0" w:after="0"/>
        <w:ind w:hanging="0" w:left="0"/>
        <w:contextualSpacing/>
        <w:jc w:val="center"/>
        <w:rPr>
          <w:rFonts w:ascii="Times New Roman" w:hAnsi="Times New Roman"/>
          <w:sz w:val="22"/>
          <w:szCs w:val="22"/>
        </w:rPr>
      </w:pPr>
      <w:r>
        <w:rPr>
          <w:caps w:val="false"/>
          <w:smallCaps w:val="false"/>
          <w:kern w:val="0"/>
          <w:sz w:val="22"/>
          <w:szCs w:val="22"/>
        </w:rPr>
        <w:t>12.      Особые условия.</w:t>
      </w:r>
    </w:p>
    <w:p>
      <w:pPr>
        <w:pStyle w:val="Normal"/>
        <w:spacing w:lineRule="auto" w:line="240" w:before="0" w:after="0"/>
        <w:ind w:hanging="0" w:left="0"/>
        <w:contextualSpacing/>
        <w:jc w:val="center"/>
        <w:rPr>
          <w:rFonts w:ascii="Times New Roman" w:hAnsi="Times New Roman"/>
          <w:caps w:val="false"/>
          <w:smallCaps w:val="false"/>
          <w:kern w:val="0"/>
          <w:sz w:val="22"/>
          <w:szCs w:val="22"/>
        </w:rPr>
      </w:pPr>
      <w:r>
        <w:rPr>
          <w:rFonts w:ascii="Times New Roman" w:hAnsi="Times New Roman"/>
          <w:caps w:val="false"/>
          <w:smallCaps w:val="false"/>
          <w:kern w:val="0"/>
          <w:sz w:val="22"/>
          <w:szCs w:val="22"/>
        </w:rPr>
      </w:r>
    </w:p>
    <w:p>
      <w:pPr>
        <w:pStyle w:val="22"/>
        <w:shd w:val="clear" w:fill="auto"/>
        <w:spacing w:lineRule="auto" w:line="240" w:before="0" w:after="0"/>
        <w:ind w:firstLine="547" w:left="20" w:right="-141"/>
        <w:contextualSpacing/>
        <w:jc w:val="both"/>
        <w:rPr/>
      </w:pPr>
      <w:r>
        <w:rPr>
          <w:color w:val="000000"/>
          <w:sz w:val="22"/>
          <w:szCs w:val="22"/>
        </w:rPr>
        <w:t xml:space="preserve">12.1.  Поставщик гарантирует Покупателю, что сведения и документы в отношении всей цепочки собственников и руководителей, включая бенефициаров (в том числе конечных) Поставщика, представленные Поставщиком по электронной почте </w:t>
      </w:r>
      <w:r>
        <w:rPr>
          <w:rStyle w:val="Hyperlink"/>
          <w:color w:val="000000"/>
          <w:sz w:val="22"/>
          <w:szCs w:val="22"/>
        </w:rPr>
        <w:t>___________</w:t>
      </w:r>
      <w:r>
        <w:rPr>
          <w:color w:val="000000"/>
          <w:sz w:val="22"/>
          <w:szCs w:val="22"/>
        </w:rPr>
        <w:t xml:space="preserve"> на электронную почту Покупателя </w:t>
      </w:r>
      <w:hyperlink r:id="rId5">
        <w:r>
          <w:rPr>
            <w:rStyle w:val="Style4"/>
            <w:sz w:val="22"/>
            <w:szCs w:val="22"/>
            <w:lang w:val="en-US"/>
          </w:rPr>
          <w:t>benef</w:t>
        </w:r>
        <w:r>
          <w:rPr>
            <w:rStyle w:val="Style4"/>
            <w:sz w:val="22"/>
            <w:szCs w:val="22"/>
          </w:rPr>
          <w:t>@</w:t>
        </w:r>
        <w:r>
          <w:rPr>
            <w:rStyle w:val="Style4"/>
            <w:sz w:val="22"/>
            <w:szCs w:val="22"/>
            <w:lang w:val="en-US"/>
          </w:rPr>
          <w:t>sniip</w:t>
        </w:r>
        <w:r>
          <w:rPr>
            <w:rStyle w:val="Style4"/>
            <w:sz w:val="22"/>
            <w:szCs w:val="22"/>
          </w:rPr>
          <w:t>.</w:t>
        </w:r>
        <w:r>
          <w:rPr>
            <w:rStyle w:val="Style4"/>
            <w:sz w:val="22"/>
            <w:szCs w:val="22"/>
            <w:lang w:val="en-US"/>
          </w:rPr>
          <w:t>ru</w:t>
        </w:r>
      </w:hyperlink>
      <w:r>
        <w:rPr>
          <w:color w:val="000000"/>
          <w:sz w:val="22"/>
          <w:szCs w:val="22"/>
        </w:rPr>
        <w:t>, (далее – Сведения), являются полными, точными и достоверными.</w:t>
      </w:r>
    </w:p>
    <w:p>
      <w:pPr>
        <w:pStyle w:val="22"/>
        <w:shd w:val="clear" w:fill="auto"/>
        <w:spacing w:lineRule="auto" w:line="240" w:before="0" w:after="0"/>
        <w:ind w:firstLine="547" w:left="20" w:right="-141"/>
        <w:contextualSpacing/>
        <w:jc w:val="both"/>
        <w:rPr>
          <w:rFonts w:ascii="Times New Roman" w:hAnsi="Times New Roman"/>
          <w:sz w:val="22"/>
          <w:szCs w:val="22"/>
        </w:rPr>
      </w:pPr>
      <w:r>
        <w:rPr>
          <w:sz w:val="22"/>
          <w:szCs w:val="22"/>
        </w:rPr>
        <w:t>12.2. Поставщик</w:t>
      </w:r>
      <w:r>
        <w:rPr>
          <w:color w:val="000000"/>
          <w:sz w:val="22"/>
          <w:szCs w:val="22"/>
        </w:rPr>
        <w:t xml:space="preserve"> также гарантирует, что Сведения и документы получены в соответствии с действующим законодательством Российской Федерации (в том числе о коммерческой тайне и о персональных данных), по согласию всех упомянутых в Сведениях лиц могут быть раскрыты, полностью или частично, компетентным органам государственной власти (в том числе Федеральной налоговой службе, Минэнерго России, Росфинмониторингу, Правительству Российской Федерации) и в последующем обрабатываться такими органами (далее - Раскрытие).</w:t>
      </w:r>
    </w:p>
    <w:p>
      <w:pPr>
        <w:pStyle w:val="22"/>
        <w:shd w:val="clear" w:fill="auto"/>
        <w:suppressAutoHyphens w:val="true"/>
        <w:bidi w:val="0"/>
        <w:spacing w:lineRule="auto" w:line="240" w:before="0" w:after="0"/>
        <w:ind w:firstLine="547" w:left="20" w:right="-141"/>
        <w:contextualSpacing/>
        <w:jc w:val="both"/>
        <w:rPr>
          <w:rFonts w:ascii="Times New Roman" w:hAnsi="Times New Roman"/>
          <w:sz w:val="22"/>
          <w:szCs w:val="22"/>
        </w:rPr>
      </w:pPr>
      <w:r>
        <w:rPr>
          <w:color w:val="000000"/>
          <w:sz w:val="22"/>
          <w:szCs w:val="22"/>
        </w:rPr>
        <w:t xml:space="preserve">12.3. При изменении Сведений </w:t>
      </w:r>
      <w:r>
        <w:rPr>
          <w:sz w:val="22"/>
          <w:szCs w:val="22"/>
        </w:rPr>
        <w:t>Поставщик</w:t>
      </w:r>
      <w:r>
        <w:rPr>
          <w:color w:val="000000"/>
          <w:sz w:val="22"/>
          <w:szCs w:val="22"/>
        </w:rPr>
        <w:t xml:space="preserve"> обязан не позднее 5 (пяти) дней с момента таких изменений направить в адрес Покупателя соответствующее письменное уведомление с приложением копий подтве</w:t>
      </w:r>
      <w:r>
        <w:rPr>
          <w:rFonts w:eastAsia="Times New Roman" w:cs="Times New Roman"/>
          <w:color w:val="000000"/>
          <w:kern w:val="0"/>
          <w:sz w:val="22"/>
          <w:szCs w:val="22"/>
          <w:lang w:val="ru-RU" w:eastAsia="en-US" w:bidi="ar-SA"/>
        </w:rPr>
        <w:t>рждающих документов, заверенных нотариусом или уполномоченным должностным лицом Поставщика.</w:t>
      </w:r>
    </w:p>
    <w:p>
      <w:pPr>
        <w:pStyle w:val="22"/>
        <w:shd w:val="clear" w:fill="auto"/>
        <w:suppressAutoHyphens w:val="true"/>
        <w:bidi w:val="0"/>
        <w:spacing w:lineRule="auto" w:line="240" w:before="0" w:after="0"/>
        <w:ind w:firstLine="547" w:left="20" w:right="-141"/>
        <w:contextualSpacing/>
        <w:jc w:val="both"/>
        <w:rPr>
          <w:rFonts w:eastAsia="Times New Roman" w:cs="Times New Roman"/>
          <w:color w:val="000000"/>
          <w:kern w:val="0"/>
          <w:sz w:val="22"/>
          <w:szCs w:val="22"/>
          <w:lang w:val="ru-RU" w:eastAsia="en-US" w:bidi="ar-SA"/>
        </w:rPr>
      </w:pPr>
      <w:r>
        <w:rPr>
          <w:rFonts w:eastAsia="Times New Roman" w:cs="Times New Roman"/>
          <w:color w:val="000000"/>
          <w:kern w:val="0"/>
          <w:sz w:val="22"/>
          <w:szCs w:val="22"/>
          <w:lang w:val="ru-RU" w:eastAsia="en-US" w:bidi="ar-SA"/>
        </w:rPr>
        <w:t>12.4.Поставщик и Покупатель подтверждают, что условия настоящего Договора о предоставлении Сведений и о поддержании их актуальными признаны ими существенными условиями Договора в соответствии со статьей 432 Гражданского кодекса Российской Федерации.</w:t>
      </w:r>
    </w:p>
    <w:p>
      <w:pPr>
        <w:pStyle w:val="22"/>
        <w:shd w:val="clear" w:fill="auto"/>
        <w:suppressAutoHyphens w:val="true"/>
        <w:bidi w:val="0"/>
        <w:spacing w:lineRule="auto" w:line="240" w:before="0" w:after="0"/>
        <w:ind w:firstLine="547" w:left="20" w:right="-141"/>
        <w:contextualSpacing/>
        <w:jc w:val="both"/>
        <w:rPr>
          <w:rFonts w:ascii="Times New Roman" w:hAnsi="Times New Roman"/>
          <w:sz w:val="22"/>
          <w:szCs w:val="22"/>
        </w:rPr>
      </w:pPr>
      <w:r>
        <w:rPr>
          <w:rFonts w:eastAsia="Times New Roman" w:cs="Times New Roman"/>
          <w:color w:val="000000"/>
          <w:kern w:val="0"/>
          <w:sz w:val="22"/>
          <w:szCs w:val="22"/>
          <w:lang w:val="ru-RU" w:eastAsia="en-US" w:bidi="ar-SA"/>
        </w:rPr>
        <w:t>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w:t>
      </w:r>
      <w:r>
        <w:rPr>
          <w:color w:val="000000"/>
          <w:sz w:val="22"/>
          <w:szCs w:val="22"/>
          <w:shd w:fill="auto" w:val="clear"/>
          <w:lang w:eastAsia="ru-RU"/>
        </w:rPr>
        <w:t>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требований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pPr>
        <w:pStyle w:val="22"/>
        <w:shd w:val="clear" w:fill="auto"/>
        <w:spacing w:lineRule="auto" w:line="240" w:before="0" w:after="0"/>
        <w:ind w:firstLine="547" w:left="20" w:right="-141"/>
        <w:contextualSpacing/>
        <w:jc w:val="both"/>
        <w:rPr>
          <w:rFonts w:ascii="Times New Roman" w:hAnsi="Times New Roman"/>
          <w:color w:val="000000"/>
          <w:sz w:val="22"/>
          <w:szCs w:val="22"/>
        </w:rPr>
      </w:pPr>
      <w:r>
        <w:rPr>
          <w:color w:val="000000"/>
          <w:sz w:val="22"/>
          <w:szCs w:val="22"/>
        </w:rPr>
      </w:r>
    </w:p>
    <w:p>
      <w:pPr>
        <w:pStyle w:val="22"/>
        <w:shd w:val="clear" w:fill="auto"/>
        <w:spacing w:lineRule="auto" w:line="240" w:before="0" w:after="0"/>
        <w:ind w:firstLine="547" w:left="20" w:right="-141"/>
        <w:contextualSpacing/>
        <w:rPr>
          <w:rFonts w:ascii="Times New Roman" w:hAnsi="Times New Roman"/>
          <w:sz w:val="22"/>
          <w:szCs w:val="22"/>
        </w:rPr>
      </w:pPr>
      <w:r>
        <w:rPr>
          <w:b/>
          <w:color w:val="000000"/>
          <w:sz w:val="22"/>
          <w:szCs w:val="22"/>
        </w:rPr>
        <w:t>13.     Антисанкционная оговорка.</w:t>
      </w:r>
    </w:p>
    <w:p>
      <w:pPr>
        <w:pStyle w:val="22"/>
        <w:shd w:val="clear" w:fill="auto"/>
        <w:spacing w:lineRule="auto" w:line="240" w:before="0" w:after="0"/>
        <w:ind w:firstLine="547" w:left="20" w:right="-141"/>
        <w:contextualSpacing/>
        <w:jc w:val="both"/>
        <w:rPr>
          <w:rFonts w:ascii="Times New Roman" w:hAnsi="Times New Roman"/>
          <w:b/>
          <w:color w:val="000000"/>
          <w:sz w:val="22"/>
          <w:szCs w:val="22"/>
        </w:rPr>
      </w:pPr>
      <w:r>
        <w:rPr>
          <w:b/>
          <w:color w:val="000000"/>
          <w:sz w:val="22"/>
          <w:szCs w:val="22"/>
        </w:rPr>
      </w:r>
    </w:p>
    <w:p>
      <w:pPr>
        <w:pStyle w:val="NoSpacing"/>
        <w:spacing w:lineRule="auto" w:line="240" w:before="0" w:after="0"/>
        <w:ind w:firstLine="567"/>
        <w:contextualSpacing/>
        <w:jc w:val="both"/>
        <w:rPr>
          <w:rFonts w:ascii="Times New Roman" w:hAnsi="Times New Roman"/>
          <w:sz w:val="22"/>
          <w:szCs w:val="22"/>
        </w:rPr>
      </w:pPr>
      <w:r>
        <w:rPr>
          <w:rFonts w:ascii="Times New Roman" w:hAnsi="Times New Roman"/>
          <w:sz w:val="22"/>
          <w:szCs w:val="22"/>
        </w:rPr>
        <w:t>13.1.</w:t>
      </w:r>
      <w:r>
        <w:rPr>
          <w:rFonts w:ascii="Times New Roman" w:hAnsi="Times New Roman"/>
          <w:b/>
          <w:sz w:val="22"/>
          <w:szCs w:val="22"/>
        </w:rPr>
        <w:t xml:space="preserve"> </w:t>
      </w:r>
      <w:r>
        <w:rPr>
          <w:rFonts w:ascii="Times New Roman" w:hAnsi="Times New Roman"/>
          <w:sz w:val="22"/>
          <w:szCs w:val="22"/>
        </w:rPr>
        <w:t>Для целей Договора термин «Санкции» означает все и любые действующие по состоянию на дату заключения Договора законодательные, нормативные, экономические или иные запреты/ограничения/эмбарго или иные аналогичные механизмы, ограничивающие торговлю, инвестиции, финансирование, ведение бизнеса или иное взаимодействие с некоторыми странами или отдельными лицами или в отношении какого-либо имущества, которые действуют в соответствии с резолюциями Совета Безопасности Организации Объединенных Наций и/или в соответствии с законодательством Российской Федерации, и/или Европейского Союза, и и/или Соединенных Штатов Америки, и и/или Великобритании (и т.п.) или любых иных стран, признанных недружественными в соответствии с законодательством Российской Федерации.</w:t>
      </w:r>
    </w:p>
    <w:p>
      <w:pPr>
        <w:pStyle w:val="NoSpacing"/>
        <w:spacing w:lineRule="auto" w:line="240" w:before="0" w:after="0"/>
        <w:ind w:firstLine="567"/>
        <w:contextualSpacing/>
        <w:jc w:val="both"/>
        <w:rPr>
          <w:rFonts w:ascii="Times New Roman" w:hAnsi="Times New Roman"/>
          <w:sz w:val="22"/>
          <w:szCs w:val="22"/>
        </w:rPr>
      </w:pPr>
      <w:r>
        <w:rPr>
          <w:rFonts w:ascii="Times New Roman" w:hAnsi="Times New Roman"/>
          <w:sz w:val="22"/>
          <w:szCs w:val="22"/>
        </w:rPr>
        <w:t>13.2. Поставщик настоящим заверяет:</w:t>
      </w:r>
    </w:p>
    <w:p>
      <w:pPr>
        <w:pStyle w:val="NoSpacing"/>
        <w:widowControl/>
        <w:suppressAutoHyphens w:val="true"/>
        <w:overflowPunct w:val="true"/>
        <w:bidi w:val="0"/>
        <w:spacing w:lineRule="auto" w:line="240" w:before="0" w:after="0"/>
        <w:ind w:hanging="0" w:left="680" w:right="0"/>
        <w:contextualSpacing/>
        <w:jc w:val="both"/>
        <w:rPr>
          <w:rFonts w:ascii="Times New Roman" w:hAnsi="Times New Roman"/>
          <w:sz w:val="22"/>
          <w:szCs w:val="22"/>
        </w:rPr>
      </w:pPr>
      <w:r>
        <w:rPr>
          <w:rFonts w:cs="Times New Roman" w:ascii="Times New Roman" w:hAnsi="Times New Roman"/>
          <w:sz w:val="24"/>
          <w:szCs w:val="24"/>
          <w:shd w:fill="auto" w:val="clear"/>
        </w:rPr>
        <w:t xml:space="preserve">- (а) </w:t>
      </w:r>
      <w:r>
        <w:rPr>
          <w:rFonts w:cs="Times New Roman" w:ascii="Times New Roman" w:hAnsi="Times New Roman"/>
          <w:b/>
          <w:i/>
          <w:sz w:val="24"/>
          <w:szCs w:val="24"/>
          <w:shd w:fill="auto" w:val="clear"/>
        </w:rPr>
        <w:t>(для случаев, когда к Контрагенту не применяются Санкции)</w:t>
      </w:r>
      <w:r>
        <w:rPr>
          <w:rFonts w:cs="Times New Roman" w:ascii="Times New Roman" w:hAnsi="Times New Roman"/>
          <w:sz w:val="24"/>
          <w:szCs w:val="24"/>
          <w:shd w:fill="auto" w:val="clear"/>
        </w:rPr>
        <w:t xml:space="preserve"> </w:t>
      </w:r>
    </w:p>
    <w:p>
      <w:pPr>
        <w:pStyle w:val="NoSpacing"/>
        <w:spacing w:before="0" w:after="0"/>
        <w:ind w:firstLine="567"/>
        <w:contextualSpacing/>
        <w:jc w:val="both"/>
        <w:rPr>
          <w:rFonts w:ascii="Times New Roman" w:hAnsi="Times New Roman"/>
        </w:rPr>
      </w:pPr>
      <w:r>
        <w:rPr>
          <w:rFonts w:ascii="Times New Roman" w:hAnsi="Times New Roman"/>
        </w:rPr>
        <w:t>На дату заключения Договора к Поставщику и/или к акционерам [участникам и т.п.] в совокупности владеющим 50 % или более акций / долей в уставном [акционерном, учредительном, складочном и т.п.] капитале Поставщика; и/или к конечным бенефициарам Поставщика; и/или к лицам, осуществляющим функции единоличного исполнительного органа Поставщика; и/или к лицам, в совокупности составляющим более 50% состава коллегиальных органов управления Поставщика, не применяются Санкции;</w:t>
      </w:r>
    </w:p>
    <w:p>
      <w:pPr>
        <w:pStyle w:val="Normal"/>
        <w:widowControl w:val="false"/>
        <w:spacing w:before="0" w:after="0"/>
        <w:ind w:firstLine="708" w:right="0"/>
        <w:jc w:val="both"/>
        <w:rPr/>
      </w:pPr>
      <w:r>
        <w:rPr>
          <w:rFonts w:cs="Times New Roman" w:ascii="Times New Roman" w:hAnsi="Times New Roman"/>
          <w:sz w:val="24"/>
          <w:szCs w:val="24"/>
          <w:shd w:fill="auto" w:val="clear"/>
        </w:rPr>
        <w:t xml:space="preserve">- </w:t>
      </w:r>
      <w:r>
        <w:rPr>
          <w:rFonts w:cs="Times New Roman" w:ascii="Times New Roman" w:hAnsi="Times New Roman"/>
          <w:i/>
          <w:sz w:val="24"/>
          <w:szCs w:val="24"/>
          <w:shd w:fill="auto" w:val="clear"/>
        </w:rPr>
        <w:t xml:space="preserve">(а) </w:t>
      </w:r>
      <w:r>
        <w:rPr>
          <w:rFonts w:cs="Times New Roman" w:ascii="Times New Roman" w:hAnsi="Times New Roman"/>
          <w:b/>
          <w:i/>
          <w:sz w:val="24"/>
          <w:szCs w:val="24"/>
          <w:shd w:fill="auto" w:val="clear"/>
        </w:rPr>
        <w:t>(для случаев, когда к Контрагенту применяются Санкции)</w:t>
      </w:r>
      <w:r>
        <w:rPr>
          <w:rFonts w:cs="Times New Roman" w:ascii="Times New Roman" w:hAnsi="Times New Roman"/>
          <w:sz w:val="24"/>
          <w:szCs w:val="24"/>
          <w:shd w:fill="auto" w:val="clear"/>
        </w:rPr>
        <w:t xml:space="preserve"> </w:t>
      </w:r>
    </w:p>
    <w:p>
      <w:pPr>
        <w:pStyle w:val="NoSpacing"/>
        <w:spacing w:before="0" w:after="0"/>
        <w:ind w:firstLine="567"/>
        <w:contextualSpacing/>
        <w:jc w:val="both"/>
        <w:rPr>
          <w:rFonts w:ascii="Times New Roman" w:hAnsi="Times New Roman"/>
        </w:rPr>
      </w:pPr>
      <w:r>
        <w:rPr>
          <w:rFonts w:ascii="Times New Roman" w:hAnsi="Times New Roman"/>
        </w:rPr>
        <w:t>На дату заключения Договора к Поставщику и/или к акционерам [участникам и т.п.] в совокупности владеющим 50 % или более акций / долей в уставном [акционерном, учредительном, складочном и т.п.] капитале Поставщика; и/или к конечным бенефициарам Поставщика; и/или к лицам, осуществляющим функции единоличного исполнительного органа Поставщика; и/или к лицам, в совокупности составляющим более 50% состава коллегиальных органов управления Поставщика применяются следующие Санкции: (перечислить)</w:t>
      </w:r>
    </w:p>
    <w:p>
      <w:pPr>
        <w:pStyle w:val="NoSpacing"/>
        <w:spacing w:before="0" w:after="0"/>
        <w:ind w:firstLine="567"/>
        <w:contextualSpacing/>
        <w:jc w:val="both"/>
        <w:rPr>
          <w:rFonts w:ascii="Times New Roman" w:hAnsi="Times New Roman"/>
        </w:rPr>
      </w:pPr>
      <w:r>
        <w:rPr>
          <w:rFonts w:ascii="Times New Roman" w:hAnsi="Times New Roman"/>
        </w:rPr>
        <w:t>Применение перечисленных Санкций не препятствует надлежащему и своевременному исполнению Поставщиком обязательств по Договору;</w:t>
      </w:r>
    </w:p>
    <w:p>
      <w:pPr>
        <w:pStyle w:val="NoSpacing"/>
        <w:spacing w:before="0" w:after="0"/>
        <w:ind w:firstLine="567"/>
        <w:contextualSpacing/>
        <w:jc w:val="both"/>
        <w:rPr>
          <w:rFonts w:ascii="Times New Roman" w:hAnsi="Times New Roman"/>
        </w:rPr>
      </w:pPr>
      <w:r>
        <w:rPr>
          <w:rFonts w:ascii="Times New Roman" w:hAnsi="Times New Roman"/>
        </w:rPr>
        <w:t>- Привлечение к исполнению обязательств по Договору третьих лиц, в отношении которых или к акционерам [участникам и т.п.]  которых в совокупности владеющим 50 % или более акций / долей в уставном [акционерном, учредительном, складочном и т.п.] капитале таких третьих лиц; и/или к конечным бенефициарам таких третьих лиц; и/или к лицам, осуществляющим функции их единоличного исполнительного органа и/или к лицам, в совокупности составляющим более 50% состава коллегиальных органов управления   применяются Санкции возможно только в случае, если применение Санкций не препятствует надлежащему и своевременному исполнению ими принятых на себя договорных обязательств и только после получения письменного согласования с Покупателем;</w:t>
      </w:r>
    </w:p>
    <w:p>
      <w:pPr>
        <w:pStyle w:val="NoSpacing"/>
        <w:spacing w:before="0" w:after="0"/>
        <w:ind w:firstLine="567"/>
        <w:contextualSpacing/>
        <w:jc w:val="both"/>
        <w:rPr>
          <w:rFonts w:ascii="Times New Roman" w:hAnsi="Times New Roman"/>
          <w:sz w:val="22"/>
          <w:szCs w:val="22"/>
        </w:rPr>
      </w:pPr>
      <w:r>
        <w:rPr>
          <w:rFonts w:ascii="Times New Roman" w:hAnsi="Times New Roman"/>
        </w:rPr>
        <w:t>- в случае, если в ходе исполнения Договора какие-либо Санкции начинают препятствовать возможности исполнения Поставщиком своих обязательств по Договору, то Поставщик гарантирует и обязуется незамедлительно письменно уведомлять Покупателя о наличии такого препятствия, а также предпринять все необходимые действия для снижения влияния указанного препятствия на исполнение договора, включая о</w:t>
      </w:r>
      <w:r>
        <w:rPr>
          <w:rFonts w:cs="Times New Roman" w:ascii="Times New Roman" w:hAnsi="Times New Roman"/>
          <w:sz w:val="22"/>
          <w:szCs w:val="22"/>
          <w:shd w:fill="auto" w:val="clear"/>
        </w:rPr>
        <w:t>бращение в любые уполномоченные органы и/или организации для получения необходимых разрешений, лицензий, в том числе экспортные лицензии, или каких-либо иных необходимых законных действий;</w:t>
      </w:r>
    </w:p>
    <w:p>
      <w:pPr>
        <w:pStyle w:val="NoSpacing"/>
        <w:spacing w:lineRule="auto" w:line="240" w:before="0" w:after="0"/>
        <w:ind w:hanging="0"/>
        <w:contextualSpacing/>
        <w:jc w:val="both"/>
        <w:rPr>
          <w:rFonts w:ascii="Times New Roman" w:hAnsi="Times New Roman"/>
          <w:sz w:val="22"/>
          <w:szCs w:val="22"/>
        </w:rPr>
      </w:pPr>
      <w:r>
        <w:rPr>
          <w:rFonts w:ascii="Times New Roman" w:hAnsi="Times New Roman"/>
          <w:sz w:val="22"/>
          <w:szCs w:val="22"/>
        </w:rPr>
        <w:tab/>
        <w:t>13.3. Поставщик обязуется:</w:t>
      </w:r>
    </w:p>
    <w:p>
      <w:pPr>
        <w:pStyle w:val="NoSpacing"/>
        <w:spacing w:lineRule="auto" w:line="240" w:before="0" w:after="0"/>
        <w:contextualSpacing/>
        <w:jc w:val="both"/>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незамедлительно письменно уведомлять Покупателя о каждом случае применения Санкций к Поставщику и/или к акционерам [участникам и т.п.] в совокупности владеющим 50 % или более акций / долей в уставном [акционерном, учредительном, складочном и т.п.] капитале Поставщика; и/или к конечным бенефициарам Поставщика; и/или к лицам, осуществляющим функции единоличного исполнительного органа Поставщика; и/или к лицам, в совокупности составляющим более 50% состава коллегиальных органов управления Поставщика;</w:t>
      </w:r>
    </w:p>
    <w:p>
      <w:pPr>
        <w:pStyle w:val="NoSpacing"/>
        <w:spacing w:lineRule="auto" w:line="240" w:before="0" w:after="0"/>
        <w:contextualSpacing/>
        <w:jc w:val="both"/>
        <w:rPr>
          <w:rFonts w:ascii="Times New Roman" w:hAnsi="Times New Roman"/>
          <w:sz w:val="22"/>
          <w:szCs w:val="22"/>
        </w:rPr>
      </w:pPr>
      <w:r>
        <w:rPr>
          <w:rFonts w:ascii="Times New Roman" w:hAnsi="Times New Roman"/>
          <w:sz w:val="22"/>
          <w:szCs w:val="22"/>
        </w:rPr>
        <w:t>- незамедлительно письменно уведомлять Покупателя о каждом случае применения Санкций к третьим лицам, привлекаемым к исполнению обязательств по Договору и/или к акционерам [участникам и т.п.] в совокупности владеющим 50 % или более акций / долей в уставном [акционерном, учредительном, складочном и т.п.] капитале третьих лиц, привлекаемых к исполнению обязательств по Договору; и/или к конечным бенефициарам третьих лиц, привлекаемых к исполнению обязательств по Договору; и/или к лицам,  осуществляющим функции единоличного исполнительного органа третьих лиц, привлекаемых к исполнению обязательств по Договору; и/или к лицам, в совокупности составляющим более 50% состава коллегиальных органов управления третьих лиц, привлекаемых к исполнению обязательств по Договору;</w:t>
      </w:r>
    </w:p>
    <w:p>
      <w:pPr>
        <w:pStyle w:val="NoSpacing"/>
        <w:spacing w:lineRule="auto" w:line="240" w:before="0" w:after="0"/>
        <w:contextualSpacing/>
        <w:jc w:val="both"/>
        <w:rPr>
          <w:rFonts w:ascii="Times New Roman" w:hAnsi="Times New Roman"/>
          <w:sz w:val="22"/>
          <w:szCs w:val="22"/>
        </w:rPr>
      </w:pPr>
      <w:r>
        <w:rPr>
          <w:rFonts w:ascii="Times New Roman" w:hAnsi="Times New Roman"/>
          <w:sz w:val="22"/>
          <w:szCs w:val="22"/>
        </w:rPr>
        <w:t>- в каждом конкретном случае тщательно оценивать риски и при необходимости включать в договоры с третьими лицами, привлекаемыми к исполнению обязательств по Договору, письменные заверения и гарантии в объеме, не меньшем объема заверений и гарантий, установленных для Поставщика.</w:t>
      </w:r>
    </w:p>
    <w:p>
      <w:pPr>
        <w:pStyle w:val="NoSpacing"/>
        <w:spacing w:before="0" w:after="0"/>
        <w:ind w:firstLine="708"/>
        <w:contextualSpacing/>
        <w:jc w:val="both"/>
        <w:rPr>
          <w:rFonts w:ascii="Times New Roman" w:hAnsi="Times New Roman"/>
          <w:sz w:val="22"/>
          <w:szCs w:val="22"/>
        </w:rPr>
      </w:pPr>
      <w:r>
        <w:rPr>
          <w:rFonts w:ascii="Times New Roman" w:hAnsi="Times New Roman"/>
          <w:sz w:val="22"/>
          <w:szCs w:val="22"/>
        </w:rPr>
        <w:t xml:space="preserve">13.4. </w:t>
      </w:r>
      <w:r>
        <w:rPr>
          <w:rFonts w:ascii="Times New Roman" w:hAnsi="Times New Roman"/>
        </w:rPr>
        <w:t xml:space="preserve">Покупатель вправе потребовать от Поставщика возмещения всех убытков, ущерба и/или расходов, и/или в одностороннем внесудебном порядке расторгнуть и/или отказаться от исполнения Договора без возмещения каких-либо убытков, ущерба и/или расходов Поставщику в любом из следующих случаев: </w:t>
      </w:r>
    </w:p>
    <w:p>
      <w:pPr>
        <w:pStyle w:val="NoSpacing"/>
        <w:spacing w:before="0" w:after="0"/>
        <w:ind w:firstLine="708"/>
        <w:contextualSpacing/>
        <w:jc w:val="both"/>
        <w:rPr>
          <w:rFonts w:ascii="Times New Roman" w:hAnsi="Times New Roman"/>
        </w:rPr>
      </w:pPr>
      <w:r>
        <w:rPr>
          <w:rFonts w:ascii="Times New Roman" w:hAnsi="Times New Roman"/>
        </w:rPr>
        <w:t xml:space="preserve">1) недостоверности заверений и/или гарантий, предоставленных Поставщиком; </w:t>
      </w:r>
    </w:p>
    <w:p>
      <w:pPr>
        <w:pStyle w:val="NoSpacing"/>
        <w:spacing w:before="0" w:after="0"/>
        <w:ind w:firstLine="708"/>
        <w:contextualSpacing/>
        <w:jc w:val="both"/>
        <w:rPr>
          <w:rFonts w:ascii="Times New Roman" w:hAnsi="Times New Roman"/>
        </w:rPr>
      </w:pPr>
      <w:r>
        <w:rPr>
          <w:rFonts w:ascii="Times New Roman" w:hAnsi="Times New Roman"/>
        </w:rPr>
        <w:t>2) нарушения Поставщиком какого-либо обязательства, предусмотренного подпунктом 14.3 настоящего Договора.</w:t>
      </w:r>
    </w:p>
    <w:p>
      <w:pPr>
        <w:pStyle w:val="NoSpacing"/>
        <w:spacing w:lineRule="auto" w:line="240" w:before="0" w:after="0"/>
        <w:ind w:firstLine="708"/>
        <w:contextualSpacing/>
        <w:jc w:val="both"/>
        <w:rPr>
          <w:rFonts w:ascii="Times New Roman" w:hAnsi="Times New Roman"/>
          <w:sz w:val="22"/>
          <w:szCs w:val="22"/>
        </w:rPr>
      </w:pPr>
      <w:r>
        <w:rPr>
          <w:rFonts w:ascii="Times New Roman" w:hAnsi="Times New Roman"/>
          <w:sz w:val="22"/>
          <w:szCs w:val="22"/>
        </w:rPr>
        <w:t xml:space="preserve">13.5. Ввод Санкций против Поставщика, страны Поставщика, страны исполнения Договора, против Покупателя, Российской Федерации не является обстоятельством непреодолимой силы для Поставщика или основанием для отказа Поставщика от исполнения Договора. </w:t>
      </w:r>
    </w:p>
    <w:p>
      <w:pPr>
        <w:pStyle w:val="NoSpacing"/>
        <w:spacing w:lineRule="auto" w:line="240" w:before="0" w:after="0"/>
        <w:ind w:firstLine="708"/>
        <w:contextualSpacing/>
        <w:jc w:val="both"/>
        <w:rPr>
          <w:rFonts w:ascii="Times New Roman" w:hAnsi="Times New Roman"/>
          <w:sz w:val="22"/>
          <w:szCs w:val="22"/>
        </w:rPr>
      </w:pPr>
      <w:r>
        <w:rPr>
          <w:rFonts w:ascii="Times New Roman" w:hAnsi="Times New Roman"/>
          <w:sz w:val="22"/>
          <w:szCs w:val="22"/>
        </w:rPr>
        <w:t>13.6.В случае невозможности выполнения Поставщиком обязательств по Договору вследствие Санкций, Поставщик обязуется уплатить Покупателю штраф в размере 10% от общей цены Договора, указанной в пункте 4.1 Договора. Такой штраф не носит зачетного или исключительного характера</w:t>
      </w:r>
    </w:p>
    <w:p>
      <w:pPr>
        <w:pStyle w:val="NoSpacing"/>
        <w:spacing w:before="0" w:after="0"/>
        <w:ind w:firstLine="708"/>
        <w:contextualSpacing/>
        <w:jc w:val="both"/>
        <w:rPr>
          <w:rFonts w:ascii="Times New Roman" w:hAnsi="Times New Roman"/>
          <w:sz w:val="22"/>
          <w:szCs w:val="22"/>
        </w:rPr>
      </w:pPr>
      <w:r>
        <w:rPr>
          <w:rFonts w:cs="Times New Roman" w:ascii="Times New Roman" w:hAnsi="Times New Roman"/>
          <w:sz w:val="22"/>
          <w:szCs w:val="22"/>
          <w:shd w:fill="auto" w:val="clear"/>
        </w:rPr>
        <w:t xml:space="preserve">13.7. </w:t>
      </w:r>
      <w:r>
        <w:rPr>
          <w:rFonts w:ascii="Times New Roman" w:hAnsi="Times New Roman"/>
        </w:rPr>
        <w:t>Покупатель имеет право приостановить выполнение любых своих обязательств перед Поставщиком по Договору и/или отказаться от исполнения Договора без возмещения каких-либо убытков, ущерба и/или расходов Поставщику, если Поставщик не исполняет свои обязательства перед Покупателем по Договору вследствие Санкций.</w:t>
      </w:r>
    </w:p>
    <w:p>
      <w:pPr>
        <w:pStyle w:val="NoSpacing"/>
        <w:spacing w:before="0" w:after="0"/>
        <w:ind w:firstLine="708"/>
        <w:contextualSpacing/>
        <w:jc w:val="both"/>
        <w:rPr>
          <w:rFonts w:ascii="Times New Roman" w:hAnsi="Times New Roman"/>
        </w:rPr>
      </w:pPr>
      <w:r>
        <w:rPr>
          <w:rFonts w:ascii="Times New Roman" w:hAnsi="Times New Roman"/>
        </w:rPr>
      </w:r>
    </w:p>
    <w:p>
      <w:pPr>
        <w:pStyle w:val="BodyText"/>
        <w:spacing w:lineRule="auto" w:line="240" w:before="0" w:after="0"/>
        <w:ind w:hanging="0" w:left="360"/>
        <w:contextualSpacing/>
        <w:jc w:val="center"/>
        <w:rPr>
          <w:rFonts w:ascii="Times New Roman" w:hAnsi="Times New Roman"/>
          <w:sz w:val="22"/>
          <w:szCs w:val="22"/>
        </w:rPr>
      </w:pPr>
      <w:r>
        <w:rPr>
          <w:b/>
          <w:sz w:val="22"/>
          <w:szCs w:val="22"/>
        </w:rPr>
        <w:t>14. Заверения об обстоятельствах</w:t>
      </w:r>
    </w:p>
    <w:p>
      <w:pPr>
        <w:pStyle w:val="BodyText"/>
        <w:spacing w:lineRule="auto" w:line="240" w:before="0" w:after="0"/>
        <w:ind w:hanging="0" w:left="360"/>
        <w:contextualSpacing/>
        <w:jc w:val="center"/>
        <w:rPr>
          <w:rFonts w:ascii="Times New Roman" w:hAnsi="Times New Roman"/>
          <w:b/>
          <w:sz w:val="22"/>
          <w:szCs w:val="22"/>
        </w:rPr>
      </w:pPr>
      <w:r>
        <w:rPr>
          <w:b/>
          <w:sz w:val="22"/>
          <w:szCs w:val="22"/>
        </w:rPr>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14.1. Заверения об обстоятельствах в соответствии со статьей 431.2 Гражданского кодекса Российской Федерации.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1</w:t>
      </w:r>
      <w:r>
        <w:rPr>
          <w:rFonts w:ascii="Times New Roman" w:hAnsi="Times New Roman"/>
          <w:color w:val="000000"/>
          <w:sz w:val="22"/>
          <w:szCs w:val="22"/>
          <w:lang w:eastAsia="ru-RU"/>
        </w:rPr>
        <w:t>4</w:t>
      </w:r>
      <w:r>
        <w:rPr>
          <w:rFonts w:ascii="Times New Roman" w:hAnsi="Times New Roman"/>
          <w:color w:val="000000"/>
          <w:sz w:val="22"/>
          <w:szCs w:val="22"/>
          <w:lang w:eastAsia="ru-RU"/>
        </w:rPr>
        <w:t>.1.1. Каждая Сторона заверяет и подтверждает другой Стороне, что:</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заключение и (или) исполнение Стороной Договора не противоречит прямо или косвенно никаким законам, постановлениям, указам, прочим нормативным актам, актам органов государственной власти и (или) местного самоуправления, локальным нормативным актам Стороны, судебным решениям;</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Стороной получены все и любые разрешения, одобрения и согласования, необходимые ей для заключения и (или)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заинтересованностью, одобрение крупной сделки);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полномочия представителей Сторон на заключение настоящего Договора не ограничены учредительными документами, локальными нормативно-правовыми актами Сторон или иными регулирующими их деятельность документами и при заключении настоящего Договора такие представители Сторон не вышли за пределы своих полномочий;</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не находятся в процессе ликвидации;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в отношении Сторон не возбуждено производство по делу о банкротстве и не введена ни одна из процедур, применяемых в деле о банкротстве, а также не предпринималось и не планируется совершение действий, связанных либо направленных на инициирование процедур банкротства;</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не является организацией, на имущество которой в части, необходимой для выполнения Договора, наложен арест по решению суда, административного органа и (или) деятельность, которой приостановлена;</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вся информация и документы, представленные Сторонами в связи с заключением настоящего Договора, являются достоверными.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1</w:t>
      </w:r>
      <w:r>
        <w:rPr>
          <w:rFonts w:ascii="Times New Roman" w:hAnsi="Times New Roman"/>
          <w:color w:val="000000"/>
          <w:sz w:val="22"/>
          <w:szCs w:val="22"/>
          <w:lang w:eastAsia="ru-RU"/>
        </w:rPr>
        <w:t>4</w:t>
      </w:r>
      <w:r>
        <w:rPr>
          <w:rFonts w:ascii="Times New Roman" w:hAnsi="Times New Roman"/>
          <w:color w:val="000000"/>
          <w:sz w:val="22"/>
          <w:szCs w:val="22"/>
          <w:lang w:eastAsia="ru-RU"/>
        </w:rPr>
        <w:t>.1.2. Поставщик заверяет и подтверждает Покупателю, что:</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сведения о нем отсутствуют в реестре(ах) недобросовестных поставщиков;</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обладает всеми необходимыми для изготовления и поставки продукции знаниями, навыками, квалификацией, опытом, разрешениями, лицензиями, ресурсами.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им соблюдены все требования к заключению Договора, в том числе и то, что Договор заключен от имени Поставщика полномочным лицом;</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не обладает признаками «фирмы-однодневки» («массовый» адрес регистрации, «массовый» директор и/или учредитель, отсутствие трудовых ресурсов, необходимых для выполнения работ или создания/приобретения продукции, не ведется реальная финансово-хозяйственная деятельность);</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полностью ознакомлен со всеми условиями Договора, связанными с изготовлением и поставкой продукции, и принимает на себя все расходы, риск и трудности изготовления и поставки продукции;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 изучил все материалы и документацию, относящиеся к Договору и получил полную информацию по всем вопросам, которые могли бы повлиять на сроки, цену и качество продукции.</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1</w:t>
      </w:r>
      <w:r>
        <w:rPr>
          <w:rFonts w:ascii="Times New Roman" w:hAnsi="Times New Roman"/>
          <w:color w:val="000000"/>
          <w:sz w:val="22"/>
          <w:szCs w:val="22"/>
          <w:lang w:eastAsia="ru-RU"/>
        </w:rPr>
        <w:t>4</w:t>
      </w:r>
      <w:r>
        <w:rPr>
          <w:rFonts w:ascii="Times New Roman" w:hAnsi="Times New Roman"/>
          <w:color w:val="000000"/>
          <w:sz w:val="22"/>
          <w:szCs w:val="22"/>
          <w:lang w:eastAsia="ru-RU"/>
        </w:rPr>
        <w:t>.1.3. Покупатель полагается на сделанные в настоящем разделе Договора Поставщиком заверения как на имеющие для него существенное значение.</w:t>
      </w:r>
    </w:p>
    <w:p>
      <w:pPr>
        <w:pStyle w:val="Normal"/>
        <w:suppressAutoHyphens w:val="true"/>
        <w:spacing w:lineRule="auto" w:line="240" w:before="0" w:after="0"/>
        <w:ind w:firstLine="708" w:left="0"/>
        <w:jc w:val="both"/>
        <w:rPr>
          <w:rFonts w:ascii="Times New Roman" w:hAnsi="Times New Roman"/>
          <w:sz w:val="22"/>
          <w:szCs w:val="22"/>
        </w:rPr>
      </w:pPr>
      <w:r>
        <w:rPr>
          <w:rFonts w:ascii="Times New Roman" w:hAnsi="Times New Roman"/>
          <w:color w:val="000000"/>
          <w:sz w:val="22"/>
          <w:szCs w:val="22"/>
          <w:lang w:eastAsia="ru-RU"/>
        </w:rPr>
        <w:t>1</w:t>
      </w:r>
      <w:r>
        <w:rPr>
          <w:rFonts w:ascii="Times New Roman" w:hAnsi="Times New Roman"/>
          <w:color w:val="000000"/>
          <w:sz w:val="22"/>
          <w:szCs w:val="22"/>
          <w:lang w:eastAsia="ru-RU"/>
        </w:rPr>
        <w:t>4</w:t>
      </w:r>
      <w:r>
        <w:rPr>
          <w:rFonts w:ascii="Times New Roman" w:hAnsi="Times New Roman"/>
          <w:color w:val="000000"/>
          <w:sz w:val="22"/>
          <w:szCs w:val="22"/>
          <w:lang w:eastAsia="ru-RU"/>
        </w:rPr>
        <w:t>.1.4. Если какое-либо из указанных выше заверений оказалось недостоверным как на момент заключения договора, так и в процессе его исполнения, Сторона, заверения которой оказались недостоверными, обязана возместить другой Стороне по ее требованию убытки, причиненные недостоверностью таких заверений.</w:t>
      </w:r>
    </w:p>
    <w:p>
      <w:pPr>
        <w:pStyle w:val="BodyText"/>
        <w:spacing w:lineRule="auto" w:line="240" w:before="0" w:after="0"/>
        <w:ind w:hanging="0" w:left="360"/>
        <w:contextualSpacing/>
        <w:jc w:val="center"/>
        <w:rPr>
          <w:rFonts w:ascii="Times New Roman" w:hAnsi="Times New Roman"/>
          <w:b/>
          <w:sz w:val="22"/>
          <w:szCs w:val="22"/>
        </w:rPr>
      </w:pPr>
      <w:r>
        <w:rPr>
          <w:b/>
          <w:sz w:val="22"/>
          <w:szCs w:val="22"/>
        </w:rPr>
      </w:r>
    </w:p>
    <w:p>
      <w:pPr>
        <w:pStyle w:val="BodyText"/>
        <w:spacing w:lineRule="auto" w:line="240" w:before="0" w:after="0"/>
        <w:ind w:hanging="0" w:left="567"/>
        <w:contextualSpacing/>
        <w:jc w:val="center"/>
        <w:rPr>
          <w:rFonts w:ascii="Times New Roman" w:hAnsi="Times New Roman"/>
          <w:sz w:val="22"/>
          <w:szCs w:val="22"/>
        </w:rPr>
      </w:pPr>
      <w:r>
        <w:rPr>
          <w:b/>
          <w:sz w:val="22"/>
          <w:szCs w:val="22"/>
        </w:rPr>
        <w:t>15.  Прочие условия.</w:t>
      </w:r>
    </w:p>
    <w:p>
      <w:pPr>
        <w:pStyle w:val="BodyText"/>
        <w:spacing w:lineRule="auto" w:line="240" w:before="0" w:after="0"/>
        <w:ind w:hanging="0" w:left="567"/>
        <w:contextualSpacing/>
        <w:jc w:val="center"/>
        <w:rPr>
          <w:rFonts w:ascii="Times New Roman" w:hAnsi="Times New Roman"/>
          <w:sz w:val="22"/>
          <w:szCs w:val="22"/>
        </w:rPr>
      </w:pPr>
      <w:r>
        <w:rPr>
          <w:sz w:val="22"/>
          <w:szCs w:val="22"/>
        </w:rPr>
      </w:r>
    </w:p>
    <w:p>
      <w:pPr>
        <w:pStyle w:val="ListParagraph"/>
        <w:numPr>
          <w:ilvl w:val="0"/>
          <w:numId w:val="3"/>
        </w:numPr>
        <w:spacing w:before="0" w:after="0"/>
        <w:contextualSpacing/>
        <w:rPr>
          <w:rFonts w:ascii="Times New Roman" w:hAnsi="Times New Roman" w:eastAsia="Calibri"/>
          <w:vanish/>
          <w:sz w:val="22"/>
          <w:szCs w:val="22"/>
        </w:rPr>
      </w:pPr>
      <w:r>
        <w:rPr>
          <w:rFonts w:eastAsia="Calibri"/>
          <w:vanish/>
          <w:sz w:val="22"/>
          <w:szCs w:val="22"/>
        </w:rPr>
      </w:r>
    </w:p>
    <w:p>
      <w:pPr>
        <w:pStyle w:val="ListParagraph"/>
        <w:numPr>
          <w:ilvl w:val="0"/>
          <w:numId w:val="3"/>
        </w:numPr>
        <w:spacing w:before="0" w:after="0"/>
        <w:contextualSpacing/>
        <w:rPr>
          <w:rFonts w:ascii="Times New Roman" w:hAnsi="Times New Roman" w:eastAsia="Calibri"/>
          <w:vanish/>
          <w:sz w:val="22"/>
          <w:szCs w:val="22"/>
        </w:rPr>
      </w:pPr>
      <w:r>
        <w:rPr>
          <w:rFonts w:eastAsia="Calibri"/>
          <w:vanish/>
          <w:sz w:val="22"/>
          <w:szCs w:val="22"/>
        </w:rPr>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15.1. Поставщик гарантирует, что поставленная продукция будет соответствовать требованиям Договора, а также обеспечивать надежную и безопасную работу продукции в течение Гарантийного срока при условии соблюдения требований по хранению, монтажу, наладке и эксплуатации этой продукции.</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w:t>
      </w:r>
      <w:r>
        <w:rPr>
          <w:rFonts w:ascii="Times New Roman" w:hAnsi="Times New Roman"/>
          <w:color w:val="000000"/>
          <w:sz w:val="22"/>
          <w:szCs w:val="22"/>
        </w:rPr>
        <w:t>5.2. На продукцию устанавливается гарантийный срок продолжительностью 24 (Двадцать четыре) месяца с момента подписания Покупателем товарной накладной ТОРГ-12 или УПД.</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w:t>
      </w:r>
      <w:r>
        <w:rPr>
          <w:rFonts w:ascii="Times New Roman" w:hAnsi="Times New Roman"/>
          <w:color w:val="000000"/>
          <w:sz w:val="22"/>
          <w:szCs w:val="22"/>
        </w:rPr>
        <w:t>5.3. Поставщик за свой счет устранит все дефекты и недостатки в продукции, выявленные в течение гарантийного срока. После получения претензии Покупателя об обнаружении дефектов, несоответствий, неисправностей в продукции Поставщик обязуется в срок, установленный Покупателем, или в срок, согласованный Сторонами, устранить выявленные дефекты, несоответствия или неисправности в продукции.</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В случае выявления неустранимых дефектов и несоответствий Поставщик обязуется поставить новую продукцию в установленный Покупателем срок.</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Гарантийный срок на продукцию, подвергшуюся ремонту, продлевается на время проведения работ по устранению дефектов или несоответствий продукции. Гарантийный срок на замененную продукцию исчисляется заново с момента ее замены.</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Если Поставщик не смог устранить дефект или несоответствие по истечении установленного срока, Покупатель имеет право выполнить за счет Поставщика работы по устранению дефекта или несоответствия своими силами или с привлечением третьей стороны. При этом Поставщик обязан возместить все расходы Покупателя, связанные с устранением Покупателем несоответствий или дефектов, в течение 30 (Тридцати) календарных дней с даты получения Поставщиком счета, выставленного Покупателем, с приложением к нему копий документов, подтверждающих фактические расходы Покупателя.</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w:t>
      </w:r>
      <w:r>
        <w:rPr>
          <w:rFonts w:ascii="Times New Roman" w:hAnsi="Times New Roman"/>
          <w:color w:val="000000"/>
          <w:sz w:val="22"/>
          <w:szCs w:val="22"/>
        </w:rPr>
        <w:t>4</w:t>
      </w:r>
      <w:r>
        <w:rPr>
          <w:rFonts w:ascii="Times New Roman" w:hAnsi="Times New Roman"/>
          <w:color w:val="000000"/>
          <w:sz w:val="22"/>
          <w:szCs w:val="22"/>
        </w:rPr>
        <w:t>. Стороны обязуются проводить сверку расчетов ежеквартально. Односторонний отказ от подписания акта сверки взаимных расчетов не допускается. При сверке расчетов за отчетный квартал расчеты сверяются по состоянию на последнее число месяца отчетного квартала. Сверка расчетов производится путем направления подписанного Покупателем проекта акта сверки не позднее 5 (пятого) числа месяца, следующего за отчетным кварталом.</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w:t>
      </w:r>
      <w:r>
        <w:rPr>
          <w:rFonts w:ascii="Times New Roman" w:hAnsi="Times New Roman"/>
          <w:color w:val="000000"/>
          <w:sz w:val="22"/>
          <w:szCs w:val="22"/>
        </w:rPr>
        <w:t>5</w:t>
      </w:r>
      <w:r>
        <w:rPr>
          <w:rFonts w:ascii="Times New Roman" w:hAnsi="Times New Roman"/>
          <w:color w:val="000000"/>
          <w:sz w:val="22"/>
          <w:szCs w:val="22"/>
        </w:rPr>
        <w:t>. По требованию Покупателя, Стороны обязуются произвести сверку взаимных расчетов по состоянию на указанную в направленном акте дату. В срок не позднее 5 (пять) рабочих дней, Поставщик обязуются надлежаще подписать и вернуть в адрес Покупателя оригинал акта сверки взаимных расчетов.</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w:t>
      </w:r>
      <w:r>
        <w:rPr>
          <w:rFonts w:ascii="Times New Roman" w:hAnsi="Times New Roman"/>
          <w:color w:val="000000"/>
          <w:sz w:val="22"/>
          <w:szCs w:val="22"/>
        </w:rPr>
        <w:t>6</w:t>
      </w:r>
      <w:r>
        <w:rPr>
          <w:rFonts w:ascii="Times New Roman" w:hAnsi="Times New Roman"/>
          <w:color w:val="000000"/>
          <w:sz w:val="22"/>
          <w:szCs w:val="22"/>
        </w:rPr>
        <w:t xml:space="preserve">. По требованию Покупателя, Поставщик обязуется предоставить документы, подтверждающие отправку оригиналов документов, поименованных в п.п. 15.2., 15.3 в случае их отправки почтовой связью.  </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w:t>
      </w:r>
      <w:r>
        <w:rPr>
          <w:rFonts w:ascii="Times New Roman" w:hAnsi="Times New Roman"/>
          <w:color w:val="000000"/>
          <w:sz w:val="22"/>
          <w:szCs w:val="22"/>
        </w:rPr>
        <w:t>7</w:t>
      </w:r>
      <w:r>
        <w:rPr>
          <w:rFonts w:ascii="Times New Roman" w:hAnsi="Times New Roman"/>
          <w:color w:val="000000"/>
          <w:sz w:val="22"/>
          <w:szCs w:val="22"/>
        </w:rPr>
        <w:t>. Поставщик не вправе уступать либо передавать в залог право (требование), принадлежащее ему на основании обязательства, возникшего из настоящего Договора, без письменного согласия Покупателя.  В случае совершения Поставщиком сделки по уступке либо залогу права (требования) по денежному обязательству, возникшему из настоящего Договора, без письменного согласия Покупателя Поставщик уплатит Покупателю штраф в размере данного денежного обязательства. Перевода долга Поставщика по настоящему Договору также допускается только с письменного согласия Покупателя.</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w:t>
      </w:r>
      <w:r>
        <w:rPr>
          <w:rFonts w:ascii="Times New Roman" w:hAnsi="Times New Roman"/>
          <w:color w:val="000000"/>
          <w:sz w:val="22"/>
          <w:szCs w:val="22"/>
        </w:rPr>
        <w:t>8</w:t>
      </w:r>
      <w:r>
        <w:rPr>
          <w:rFonts w:ascii="Times New Roman" w:hAnsi="Times New Roman"/>
          <w:color w:val="000000"/>
          <w:sz w:val="22"/>
          <w:szCs w:val="22"/>
        </w:rPr>
        <w:t>. В остальном, что не предусмотрено настоящим Договором, Стороны руководствуются действующим законодательством Российской Федерации.</w:t>
      </w:r>
    </w:p>
    <w:p>
      <w:pPr>
        <w:pStyle w:val="Normal"/>
        <w:tabs>
          <w:tab w:val="clear" w:pos="708"/>
          <w:tab w:val="left" w:pos="0" w:leader="none"/>
        </w:tabs>
        <w:spacing w:lineRule="auto" w:line="240" w:before="0" w:after="60"/>
        <w:ind w:firstLine="567"/>
        <w:contextualSpacing/>
        <w:jc w:val="both"/>
        <w:rPr>
          <w:rFonts w:ascii="Times New Roman" w:hAnsi="Times New Roman"/>
          <w:sz w:val="22"/>
          <w:szCs w:val="22"/>
        </w:rPr>
      </w:pPr>
      <w:r>
        <w:rPr>
          <w:rFonts w:ascii="Times New Roman" w:hAnsi="Times New Roman"/>
          <w:color w:val="000000"/>
          <w:sz w:val="22"/>
          <w:szCs w:val="22"/>
        </w:rPr>
        <w:t>15.</w:t>
      </w:r>
      <w:r>
        <w:rPr>
          <w:rFonts w:ascii="Times New Roman" w:hAnsi="Times New Roman"/>
          <w:color w:val="000000"/>
          <w:sz w:val="22"/>
          <w:szCs w:val="22"/>
        </w:rPr>
        <w:t>9</w:t>
      </w:r>
      <w:r>
        <w:rPr>
          <w:rFonts w:ascii="Times New Roman" w:hAnsi="Times New Roman"/>
          <w:color w:val="000000"/>
          <w:sz w:val="22"/>
          <w:szCs w:val="22"/>
        </w:rPr>
        <w:t>. Стороны обязаны в 3 (трехдневный) срок сообщать друг другу об изменении своих почтовых, банковских, отгрузочных и других реквизитов, номеров телефонов и факсов. При отсутствии такого сообщения направляемые Сторонами друг другу уведомления, извещения, требования посылаются по адресам, указанным в разделе 17 настоящего Договора «Адреса и банковские реквизиты Сторон», и с использованием номеров телефонов и факсов, имеющихся у Сторон на дату подписания Договора.</w:t>
      </w:r>
    </w:p>
    <w:p>
      <w:pPr>
        <w:pStyle w:val="Normal"/>
        <w:suppressAutoHyphens w:val="true"/>
        <w:spacing w:lineRule="auto" w:line="240" w:before="0" w:after="0"/>
        <w:jc w:val="both"/>
        <w:rPr>
          <w:rFonts w:ascii="Times New Roman" w:hAnsi="Times New Roman"/>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15.</w:t>
      </w:r>
      <w:r>
        <w:rPr>
          <w:rFonts w:ascii="Times New Roman" w:hAnsi="Times New Roman"/>
          <w:color w:val="000000"/>
          <w:sz w:val="22"/>
          <w:szCs w:val="22"/>
        </w:rPr>
        <w:t>10</w:t>
      </w:r>
      <w:r>
        <w:rPr>
          <w:rFonts w:ascii="Times New Roman" w:hAnsi="Times New Roman"/>
          <w:color w:val="000000"/>
          <w:sz w:val="22"/>
          <w:szCs w:val="22"/>
        </w:rPr>
        <w:t>.</w:t>
      </w:r>
      <w:r>
        <w:rPr>
          <w:rFonts w:ascii="Times New Roman" w:hAnsi="Times New Roman"/>
          <w:b/>
          <w:color w:val="000000"/>
          <w:sz w:val="22"/>
          <w:szCs w:val="22"/>
        </w:rPr>
        <w:t xml:space="preserve"> </w:t>
      </w:r>
      <w:r>
        <w:rPr>
          <w:rFonts w:ascii="Times New Roman" w:hAnsi="Times New Roman"/>
          <w:color w:val="000000"/>
          <w:sz w:val="22"/>
          <w:szCs w:val="22"/>
          <w:lang w:eastAsia="ru-RU"/>
        </w:rPr>
        <w:t>Поставщик уведомлен, что в случае нарушения им условий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www.rdr.rosatom.ru в соответствии с утвержденными Госкорпорацией «Росатом» Едиными отраслевыми методическими указаниями по оценке деловой репутации, могут быть внесены сведения и документы о таких нарушениях.</w:t>
      </w:r>
    </w:p>
    <w:p>
      <w:pPr>
        <w:pStyle w:val="Normal"/>
        <w:spacing w:lineRule="auto" w:line="240" w:before="0" w:after="0"/>
        <w:ind w:firstLine="709"/>
        <w:jc w:val="both"/>
        <w:rPr>
          <w:rFonts w:ascii="Times New Roman" w:hAnsi="Times New Roman"/>
          <w:sz w:val="22"/>
          <w:szCs w:val="22"/>
        </w:rPr>
      </w:pPr>
      <w:r>
        <w:rPr>
          <w:rFonts w:ascii="Times New Roman" w:hAnsi="Times New Roman"/>
          <w:sz w:val="22"/>
          <w:szCs w:val="22"/>
          <w:lang w:eastAsia="ru-RU"/>
        </w:rPr>
        <w:t>Основанием для внесения сведений в информационную систему «Расчет рейтинга деловой репутации поставщиков» могут являться:</w:t>
      </w:r>
    </w:p>
    <w:p>
      <w:pPr>
        <w:pStyle w:val="Normal"/>
        <w:numPr>
          <w:ilvl w:val="0"/>
          <w:numId w:val="16"/>
        </w:numPr>
        <w:tabs>
          <w:tab w:val="clear" w:pos="708"/>
          <w:tab w:val="left" w:pos="1134" w:leader="none"/>
        </w:tabs>
        <w:spacing w:lineRule="auto" w:line="240" w:before="0" w:after="0"/>
        <w:ind w:firstLine="709" w:left="0"/>
        <w:jc w:val="both"/>
        <w:rPr>
          <w:rFonts w:ascii="Times New Roman" w:hAnsi="Times New Roman"/>
          <w:sz w:val="22"/>
          <w:szCs w:val="22"/>
        </w:rPr>
      </w:pPr>
      <w:r>
        <w:rPr>
          <w:rFonts w:ascii="Times New Roman" w:hAnsi="Times New Roman"/>
          <w:sz w:val="22"/>
          <w:szCs w:val="22"/>
          <w:lang w:eastAsia="ru-RU"/>
        </w:rPr>
        <w:t>выставленные Покупателем и принятые Поставщиком неустойки за нарушение сроков исполнения обязательств по Договору и/или убытки, причиненные таким нарушением;</w:t>
      </w:r>
    </w:p>
    <w:p>
      <w:pPr>
        <w:pStyle w:val="Normal"/>
        <w:numPr>
          <w:ilvl w:val="0"/>
          <w:numId w:val="17"/>
        </w:numPr>
        <w:tabs>
          <w:tab w:val="clear" w:pos="708"/>
          <w:tab w:val="left" w:pos="1134" w:leader="none"/>
        </w:tabs>
        <w:spacing w:lineRule="auto" w:line="240" w:before="0" w:after="0"/>
        <w:ind w:firstLine="709" w:left="0"/>
        <w:jc w:val="both"/>
        <w:rPr>
          <w:rFonts w:ascii="Times New Roman" w:hAnsi="Times New Roman"/>
          <w:sz w:val="22"/>
          <w:szCs w:val="22"/>
        </w:rPr>
      </w:pPr>
      <w:r>
        <w:rPr>
          <w:rFonts w:ascii="Times New Roman" w:hAnsi="Times New Roman"/>
          <w:sz w:val="22"/>
          <w:szCs w:val="22"/>
          <w:lang w:eastAsia="ru-RU"/>
        </w:rPr>
        <w:t>выставленные Покупателем и принятые Поставщиком претензии (требования) к качеству продукции (работ, услуг) по Договору и/или убытки, причиненные ненадлежащим качеством продукции (работ, услуг);</w:t>
      </w:r>
    </w:p>
    <w:p>
      <w:pPr>
        <w:pStyle w:val="Normal"/>
        <w:numPr>
          <w:ilvl w:val="0"/>
          <w:numId w:val="18"/>
        </w:numPr>
        <w:tabs>
          <w:tab w:val="clear" w:pos="708"/>
          <w:tab w:val="left" w:pos="1134" w:leader="none"/>
        </w:tabs>
        <w:spacing w:lineRule="auto" w:line="240" w:before="0" w:after="0"/>
        <w:ind w:firstLine="709" w:left="0"/>
        <w:jc w:val="both"/>
        <w:rPr>
          <w:rFonts w:ascii="Times New Roman" w:hAnsi="Times New Roman"/>
          <w:sz w:val="22"/>
          <w:szCs w:val="22"/>
        </w:rPr>
      </w:pPr>
      <w:r>
        <w:rPr>
          <w:rFonts w:ascii="Times New Roman" w:hAnsi="Times New Roman"/>
          <w:sz w:val="22"/>
          <w:szCs w:val="22"/>
          <w:lang w:eastAsia="ru-RU"/>
        </w:rPr>
        <w:t>судебные решения (включая решения третейских судов) о выплате Поставщиком неустойки за нарушение сроков исполнения договорных обязательств и/или возмещении убытков, причиненных указанным нарушением;</w:t>
      </w:r>
    </w:p>
    <w:p>
      <w:pPr>
        <w:pStyle w:val="Normal"/>
        <w:numPr>
          <w:ilvl w:val="0"/>
          <w:numId w:val="19"/>
        </w:numPr>
        <w:tabs>
          <w:tab w:val="clear" w:pos="708"/>
          <w:tab w:val="left" w:pos="1134" w:leader="none"/>
        </w:tabs>
        <w:spacing w:lineRule="auto" w:line="240" w:before="0" w:after="0"/>
        <w:ind w:firstLine="709" w:left="0"/>
        <w:jc w:val="both"/>
        <w:rPr>
          <w:rFonts w:ascii="Times New Roman" w:hAnsi="Times New Roman"/>
          <w:sz w:val="22"/>
          <w:szCs w:val="22"/>
        </w:rPr>
      </w:pPr>
      <w:r>
        <w:rPr>
          <w:rFonts w:ascii="Times New Roman" w:hAnsi="Times New Roman"/>
          <w:sz w:val="22"/>
          <w:szCs w:val="22"/>
          <w:lang w:eastAsia="ru-RU"/>
        </w:rPr>
        <w:t>судебные решения (включая решения третейских судов) об удовлетворении Поставщиком претензии (требования) Покупателя к качеству продукции (работ, услуг) по Договору и/или возмещении убытков, причиненных ненадлежащим качеством продукции (работ, услуг);</w:t>
      </w:r>
    </w:p>
    <w:p>
      <w:pPr>
        <w:pStyle w:val="Normal"/>
        <w:numPr>
          <w:ilvl w:val="0"/>
          <w:numId w:val="20"/>
        </w:numPr>
        <w:tabs>
          <w:tab w:val="clear" w:pos="708"/>
          <w:tab w:val="left" w:pos="1134" w:leader="none"/>
        </w:tabs>
        <w:spacing w:lineRule="auto" w:line="240" w:before="0" w:after="0"/>
        <w:ind w:firstLine="709" w:left="0"/>
        <w:jc w:val="both"/>
        <w:rPr>
          <w:rFonts w:ascii="Times New Roman" w:hAnsi="Times New Roman"/>
          <w:sz w:val="22"/>
          <w:szCs w:val="22"/>
        </w:rPr>
      </w:pPr>
      <w:r>
        <w:rPr>
          <w:rFonts w:ascii="Times New Roman" w:hAnsi="Times New Roman"/>
          <w:sz w:val="22"/>
          <w:szCs w:val="22"/>
          <w:lang w:eastAsia="ru-RU"/>
        </w:rPr>
        <w:t>подтвержденные судебными актами факты передачи Покупателю Поставщиком продукции (работ, услуг) по Договору, нарушающего права третьих лиц;</w:t>
      </w:r>
    </w:p>
    <w:p>
      <w:pPr>
        <w:pStyle w:val="Normal"/>
        <w:numPr>
          <w:ilvl w:val="0"/>
          <w:numId w:val="21"/>
        </w:numPr>
        <w:tabs>
          <w:tab w:val="clear" w:pos="708"/>
          <w:tab w:val="left" w:pos="1134" w:leader="none"/>
        </w:tabs>
        <w:spacing w:lineRule="auto" w:line="240" w:before="0" w:after="0"/>
        <w:ind w:firstLine="709" w:left="0"/>
        <w:jc w:val="both"/>
        <w:rPr>
          <w:rFonts w:ascii="Times New Roman" w:hAnsi="Times New Roman"/>
          <w:sz w:val="22"/>
          <w:szCs w:val="22"/>
        </w:rPr>
      </w:pPr>
      <w:r>
        <w:rPr>
          <w:rFonts w:ascii="Times New Roman" w:hAnsi="Times New Roman"/>
          <w:sz w:val="22"/>
          <w:szCs w:val="22"/>
          <w:lang w:eastAsia="ru-RU"/>
        </w:rPr>
        <w:t>подтвержденные судебными актами факты фальсификации Поставщиком документов на этапе заключения или исполнения Договора.</w:t>
      </w:r>
    </w:p>
    <w:p>
      <w:pPr>
        <w:pStyle w:val="Normal"/>
        <w:spacing w:lineRule="auto" w:line="240" w:before="0" w:after="0"/>
        <w:ind w:firstLine="709"/>
        <w:jc w:val="both"/>
        <w:rPr>
          <w:rFonts w:ascii="Times New Roman" w:hAnsi="Times New Roman"/>
          <w:sz w:val="22"/>
          <w:szCs w:val="22"/>
        </w:rPr>
      </w:pPr>
      <w:r>
        <w:rPr>
          <w:rFonts w:ascii="Times New Roman" w:hAnsi="Times New Roman"/>
          <w:sz w:val="22"/>
          <w:szCs w:val="22"/>
          <w:lang w:eastAsia="ru-RU"/>
        </w:rPr>
        <w:t>Поставщик предупрежден, что сведения, включенные в информационную систему «Расчет рейтинга деловой репутации поставщиков», могут быть использованы Покупателем при оценке деловой репутации Поставщика в последующих закупочных процедурах и/или в процессе принятия решения о заключении договора с ним.</w:t>
      </w:r>
    </w:p>
    <w:p>
      <w:pPr>
        <w:pStyle w:val="Normal"/>
        <w:suppressAutoHyphens w:val="true"/>
        <w:spacing w:lineRule="auto" w:line="240" w:before="0" w:after="0"/>
        <w:jc w:val="both"/>
        <w:rPr>
          <w:rFonts w:ascii="Times New Roman" w:hAnsi="Times New Roman"/>
          <w:color w:val="000000"/>
        </w:rPr>
      </w:pPr>
      <w:r>
        <w:rPr>
          <w:rFonts w:ascii="Times New Roman" w:hAnsi="Times New Roman"/>
          <w:color w:val="000000"/>
          <w:lang w:eastAsia="ru-RU"/>
        </w:rPr>
        <w:t xml:space="preserve">                                                          </w:t>
      </w:r>
    </w:p>
    <w:p>
      <w:pPr>
        <w:pStyle w:val="NoSpacing"/>
        <w:ind w:hanging="0" w:left="567"/>
        <w:jc w:val="center"/>
        <w:rPr>
          <w:rFonts w:ascii="Times New Roman" w:hAnsi="Times New Roman" w:eastAsia="Calibri"/>
          <w:b/>
        </w:rPr>
      </w:pPr>
      <w:r>
        <w:rPr>
          <w:rFonts w:eastAsia="Calibri" w:ascii="Times New Roman" w:hAnsi="Times New Roman"/>
          <w:b/>
        </w:rPr>
        <w:t>16. Приложения к настоящему Договору:</w:t>
      </w:r>
    </w:p>
    <w:p>
      <w:pPr>
        <w:pStyle w:val="NoSpacing"/>
        <w:rPr>
          <w:rFonts w:ascii="Times New Roman" w:hAnsi="Times New Roman"/>
          <w:color w:val="000000"/>
        </w:rPr>
      </w:pPr>
      <w:r>
        <w:rPr>
          <w:rFonts w:ascii="Times New Roman" w:hAnsi="Times New Roman"/>
          <w:color w:val="000000"/>
        </w:rPr>
        <w:t>Приложение №1 Спецификация.</w:t>
      </w:r>
    </w:p>
    <w:p>
      <w:pPr>
        <w:pStyle w:val="NoSpacing"/>
        <w:rPr>
          <w:rFonts w:ascii="Times New Roman" w:hAnsi="Times New Roman"/>
          <w:color w:val="000000"/>
        </w:rPr>
      </w:pPr>
      <w:r>
        <w:rPr>
          <w:rFonts w:ascii="Times New Roman" w:hAnsi="Times New Roman"/>
          <w:color w:val="000000"/>
        </w:rPr>
        <w:t>Приложение №2 Условия предоставления, возврата и удержания обеспечений, связанных с исполнением договора.</w:t>
      </w:r>
    </w:p>
    <w:p>
      <w:pPr>
        <w:pStyle w:val="NoSpacing"/>
        <w:rPr>
          <w:rFonts w:ascii="Times New Roman" w:hAnsi="Times New Roman"/>
          <w:color w:val="000000"/>
        </w:rPr>
      </w:pPr>
      <w:r>
        <w:rPr>
          <w:rFonts w:ascii="Times New Roman" w:hAnsi="Times New Roman"/>
          <w:color w:val="000000"/>
        </w:rPr>
        <w:t>Приложение №3 Порядок применения ЕОС-Качество.</w:t>
      </w:r>
    </w:p>
    <w:p>
      <w:pPr>
        <w:pStyle w:val="NoSpacing"/>
        <w:rPr>
          <w:rFonts w:ascii="Times New Roman" w:hAnsi="Times New Roman"/>
          <w:color w:val="000000"/>
        </w:rPr>
      </w:pPr>
      <w:r>
        <w:rPr>
          <w:rFonts w:ascii="Times New Roman" w:hAnsi="Times New Roman"/>
          <w:color w:val="000000"/>
        </w:rPr>
        <w:t>Приложение №4 Техническое задание.</w:t>
      </w:r>
    </w:p>
    <w:p>
      <w:pPr>
        <w:pStyle w:val="NoSpacing"/>
        <w:rPr>
          <w:rFonts w:ascii="Times New Roman" w:hAnsi="Times New Roman"/>
          <w:color w:val="000000"/>
        </w:rPr>
      </w:pPr>
      <w:r>
        <w:rPr>
          <w:rFonts w:ascii="Times New Roman" w:hAnsi="Times New Roman"/>
          <w:color w:val="000000"/>
        </w:rPr>
      </w:r>
    </w:p>
    <w:p>
      <w:pPr>
        <w:pStyle w:val="BodyText"/>
        <w:spacing w:before="0" w:after="0"/>
        <w:contextualSpacing/>
        <w:jc w:val="center"/>
        <w:rPr>
          <w:b/>
          <w:sz w:val="22"/>
          <w:szCs w:val="22"/>
        </w:rPr>
      </w:pPr>
      <w:r>
        <w:rPr>
          <w:b/>
          <w:sz w:val="22"/>
          <w:szCs w:val="22"/>
        </w:rPr>
        <w:t>17. Адреса и банковские реквизиты Сторон.</w:t>
      </w:r>
    </w:p>
    <w:p>
      <w:pPr>
        <w:pStyle w:val="BodyText"/>
        <w:spacing w:before="0" w:after="0"/>
        <w:contextualSpacing/>
        <w:rPr>
          <w:sz w:val="22"/>
          <w:szCs w:val="22"/>
        </w:rPr>
      </w:pPr>
      <w:r>
        <w:rPr>
          <w:sz w:val="22"/>
          <w:szCs w:val="22"/>
        </w:rPr>
      </w:r>
    </w:p>
    <w:p>
      <w:pPr>
        <w:pStyle w:val="ConsPlusNonformat"/>
        <w:spacing w:before="0" w:after="0"/>
        <w:contextualSpacing/>
        <w:rPr>
          <w:i w:val="false"/>
          <w:i w:val="false"/>
          <w:iCs w:val="false"/>
        </w:rPr>
      </w:pPr>
      <w:r>
        <w:rPr>
          <w:rFonts w:cs="Times New Roman" w:ascii="Times New Roman" w:hAnsi="Times New Roman"/>
          <w:b/>
          <w:i w:val="false"/>
          <w:iCs w:val="false"/>
          <w:sz w:val="22"/>
          <w:szCs w:val="22"/>
        </w:rPr>
        <w:t>Покупатель:</w:t>
        <w:tab/>
        <w:t xml:space="preserve">                                                                    Поставщик:</w:t>
      </w:r>
    </w:p>
    <w:p>
      <w:pPr>
        <w:pStyle w:val="ConsPlusNonformat"/>
        <w:spacing w:before="0" w:after="0"/>
        <w:contextualSpacing/>
        <w:rPr>
          <w:rFonts w:ascii="Times New Roman" w:hAnsi="Times New Roman" w:cs="Times New Roman"/>
          <w:b/>
          <w:i/>
          <w:i/>
          <w:sz w:val="22"/>
          <w:szCs w:val="22"/>
        </w:rPr>
      </w:pPr>
      <w:r>
        <w:rPr>
          <w:rFonts w:cs="Times New Roman" w:ascii="Times New Roman" w:hAnsi="Times New Roman"/>
          <w:b/>
          <w:i/>
          <w:sz w:val="22"/>
          <w:szCs w:val="22"/>
        </w:rPr>
        <w:t xml:space="preserve">                                                                                             </w:t>
      </w:r>
    </w:p>
    <w:tbl>
      <w:tblPr>
        <w:tblW w:w="9739" w:type="dxa"/>
        <w:jc w:val="left"/>
        <w:tblInd w:w="-34" w:type="dxa"/>
        <w:tblLayout w:type="fixed"/>
        <w:tblCellMar>
          <w:top w:w="0" w:type="dxa"/>
          <w:left w:w="108" w:type="dxa"/>
          <w:bottom w:w="0" w:type="dxa"/>
          <w:right w:w="108" w:type="dxa"/>
        </w:tblCellMar>
      </w:tblPr>
      <w:tblGrid>
        <w:gridCol w:w="5104"/>
        <w:gridCol w:w="4634"/>
      </w:tblGrid>
      <w:tr>
        <w:trPr/>
        <w:tc>
          <w:tcPr>
            <w:tcW w:w="5104" w:type="dxa"/>
            <w:tcBorders/>
          </w:tcPr>
          <w:p>
            <w:pPr>
              <w:pStyle w:val="NoSpacing"/>
              <w:widowControl w:val="false"/>
              <w:spacing w:before="0" w:after="0"/>
              <w:contextualSpacing/>
              <w:rPr>
                <w:rFonts w:ascii="Times New Roman" w:hAnsi="Times New Roman" w:eastAsia="Calibri"/>
              </w:rPr>
            </w:pPr>
            <w:r>
              <w:rPr>
                <w:rFonts w:eastAsia="Calibri" w:ascii="Times New Roman" w:hAnsi="Times New Roman"/>
              </w:rPr>
              <w:t>АО «СНИИП»</w:t>
            </w:r>
          </w:p>
          <w:p>
            <w:pPr>
              <w:pStyle w:val="NoSpacing"/>
              <w:widowControl w:val="false"/>
              <w:spacing w:before="0" w:after="0"/>
              <w:contextualSpacing/>
              <w:rPr>
                <w:rFonts w:ascii="Times New Roman" w:hAnsi="Times New Roman" w:eastAsia="Calibri"/>
              </w:rPr>
            </w:pPr>
            <w:r>
              <w:rPr>
                <w:rFonts w:eastAsia="Calibri" w:ascii="Times New Roman" w:hAnsi="Times New Roman"/>
              </w:rPr>
              <w:t>123060, Москва, ул. Расплетина, 5, стр.1</w:t>
            </w:r>
          </w:p>
          <w:p>
            <w:pPr>
              <w:pStyle w:val="NoSpacing"/>
              <w:widowControl w:val="false"/>
              <w:spacing w:before="0" w:after="0"/>
              <w:contextualSpacing/>
              <w:rPr>
                <w:rFonts w:ascii="Times New Roman" w:hAnsi="Times New Roman" w:eastAsia="Calibri"/>
              </w:rPr>
            </w:pPr>
            <w:r>
              <w:rPr>
                <w:rFonts w:eastAsia="Calibri" w:ascii="Times New Roman" w:hAnsi="Times New Roman"/>
              </w:rPr>
              <w:t>Тел. +7(499) 968 60 60</w:t>
            </w:r>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ИНН 7734592593</w:t>
            </w:r>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КПП 773401001</w:t>
            </w:r>
          </w:p>
          <w:p>
            <w:pPr>
              <w:pStyle w:val="NoSpacing"/>
              <w:widowControl w:val="false"/>
              <w:spacing w:before="0" w:after="0"/>
              <w:contextualSpacing/>
              <w:rPr>
                <w:rFonts w:ascii="Times New Roman" w:hAnsi="Times New Roman"/>
              </w:rPr>
            </w:pPr>
            <w:r>
              <w:rPr>
                <w:rFonts w:ascii="Times New Roman" w:hAnsi="Times New Roman"/>
                <w:lang w:val="en-US"/>
              </w:rPr>
              <w:t>E</w:t>
            </w:r>
            <w:r>
              <w:rPr>
                <w:rFonts w:ascii="Times New Roman" w:hAnsi="Times New Roman"/>
              </w:rPr>
              <w:t>-</w:t>
            </w:r>
            <w:r>
              <w:rPr>
                <w:rFonts w:ascii="Times New Roman" w:hAnsi="Times New Roman"/>
                <w:lang w:val="en-US"/>
              </w:rPr>
              <w:t>mail</w:t>
            </w:r>
            <w:r>
              <w:rPr>
                <w:rFonts w:ascii="Times New Roman" w:hAnsi="Times New Roman"/>
              </w:rPr>
              <w:t xml:space="preserve">: </w:t>
            </w:r>
            <w:hyperlink r:id="rId6">
              <w:r>
                <w:rPr>
                  <w:rStyle w:val="Style4"/>
                  <w:rFonts w:ascii="Times New Roman" w:hAnsi="Times New Roman"/>
                  <w:lang w:val="en-US"/>
                </w:rPr>
                <w:t>info</w:t>
              </w:r>
              <w:r>
                <w:rPr>
                  <w:rStyle w:val="Style4"/>
                  <w:rFonts w:ascii="Times New Roman" w:hAnsi="Times New Roman"/>
                </w:rPr>
                <w:t>@</w:t>
              </w:r>
              <w:r>
                <w:rPr>
                  <w:rStyle w:val="Style4"/>
                  <w:rFonts w:ascii="Times New Roman" w:hAnsi="Times New Roman"/>
                  <w:lang w:val="en-US"/>
                </w:rPr>
                <w:t>sniip</w:t>
              </w:r>
              <w:r>
                <w:rPr>
                  <w:rStyle w:val="Style4"/>
                  <w:rFonts w:ascii="Times New Roman" w:hAnsi="Times New Roman"/>
                </w:rPr>
                <w:t>.</w:t>
              </w:r>
              <w:r>
                <w:rPr>
                  <w:rStyle w:val="Style4"/>
                  <w:rFonts w:ascii="Times New Roman" w:hAnsi="Times New Roman"/>
                  <w:lang w:val="en-US"/>
                </w:rPr>
                <w:t>ru</w:t>
              </w:r>
            </w:hyperlink>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Расчетный счет</w:t>
            </w:r>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 xml:space="preserve">№  </w:t>
            </w:r>
            <w:r>
              <w:rPr>
                <w:rFonts w:eastAsia="Calibri" w:ascii="Times New Roman" w:hAnsi="Times New Roman"/>
                <w:lang w:eastAsia="ru-RU"/>
              </w:rPr>
              <w:t>40702810538170012183</w:t>
            </w:r>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В  ПАО Сбербанк,</w:t>
            </w:r>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Корреспондентский счет</w:t>
            </w:r>
          </w:p>
          <w:p>
            <w:pPr>
              <w:pStyle w:val="NoSpacing"/>
              <w:widowControl w:val="false"/>
              <w:spacing w:before="0" w:after="0"/>
              <w:contextualSpacing/>
              <w:rPr>
                <w:rFonts w:ascii="Times New Roman" w:hAnsi="Times New Roman" w:eastAsia="Calibri"/>
                <w:lang w:eastAsia="ru-RU"/>
              </w:rPr>
            </w:pPr>
            <w:r>
              <w:rPr>
                <w:rFonts w:eastAsia="Calibri" w:ascii="Times New Roman" w:hAnsi="Times New Roman"/>
                <w:lang w:eastAsia="ru-RU"/>
              </w:rPr>
              <w:t xml:space="preserve">№ </w:t>
            </w:r>
            <w:r>
              <w:rPr>
                <w:rFonts w:eastAsia="Calibri" w:ascii="Times New Roman" w:hAnsi="Times New Roman"/>
                <w:lang w:eastAsia="ru-RU"/>
              </w:rPr>
              <w:t>30101810400000000225</w:t>
            </w:r>
          </w:p>
          <w:p>
            <w:pPr>
              <w:pStyle w:val="NoSpacing"/>
              <w:widowControl w:val="false"/>
              <w:spacing w:before="0" w:after="0"/>
              <w:contextualSpacing/>
              <w:rPr>
                <w:rFonts w:ascii="Times New Roman" w:hAnsi="Times New Roman" w:eastAsia="Calibri"/>
              </w:rPr>
            </w:pPr>
            <w:r>
              <w:rPr>
                <w:rFonts w:eastAsia="Calibri" w:ascii="Times New Roman" w:hAnsi="Times New Roman"/>
              </w:rPr>
              <w:t>БИК 044525225</w:t>
            </w:r>
          </w:p>
        </w:tc>
        <w:tc>
          <w:tcPr>
            <w:tcW w:w="4634" w:type="dxa"/>
            <w:tcBorders/>
          </w:tcPr>
          <w:p>
            <w:pPr>
              <w:pStyle w:val="NoSpacing"/>
              <w:widowControl w:val="false"/>
              <w:spacing w:before="0" w:after="0"/>
              <w:contextualSpacing/>
              <w:jc w:val="left"/>
              <w:rPr>
                <w:rFonts w:ascii="Times New Roman" w:hAnsi="Times New Roman"/>
              </w:rPr>
            </w:pPr>
            <w:r>
              <w:rPr>
                <w:rFonts w:ascii="Times New Roman" w:hAnsi="Times New Roman"/>
              </w:rPr>
            </w:r>
          </w:p>
          <w:p>
            <w:pPr>
              <w:pStyle w:val="NoSpacing"/>
              <w:widowControl w:val="false"/>
              <w:spacing w:before="0" w:after="0"/>
              <w:contextualSpacing/>
              <w:jc w:val="left"/>
              <w:rPr>
                <w:rFonts w:ascii="Times New Roman" w:hAnsi="Times New Roman"/>
              </w:rPr>
            </w:pPr>
            <w:r>
              <w:rPr>
                <w:rFonts w:ascii="Times New Roman" w:hAnsi="Times New Roman"/>
              </w:rPr>
              <w:t>Тел.</w:t>
            </w:r>
          </w:p>
          <w:p>
            <w:pPr>
              <w:pStyle w:val="NoSpacing"/>
              <w:widowControl w:val="false"/>
              <w:spacing w:before="0" w:after="0"/>
              <w:contextualSpacing/>
              <w:jc w:val="left"/>
              <w:rPr>
                <w:rFonts w:ascii="Times New Roman" w:hAnsi="Times New Roman"/>
              </w:rPr>
            </w:pPr>
            <w:r>
              <w:rPr>
                <w:rFonts w:ascii="Times New Roman" w:hAnsi="Times New Roman"/>
              </w:rPr>
              <w:t>ИНН</w:t>
            </w:r>
          </w:p>
          <w:p>
            <w:pPr>
              <w:pStyle w:val="NoSpacing"/>
              <w:widowControl w:val="false"/>
              <w:spacing w:before="0" w:after="0"/>
              <w:contextualSpacing/>
              <w:jc w:val="left"/>
              <w:rPr>
                <w:rFonts w:ascii="Times New Roman" w:hAnsi="Times New Roman"/>
              </w:rPr>
            </w:pPr>
            <w:hyperlink r:id="rId7">
              <w:r>
                <w:rPr>
                  <w:rStyle w:val="Style4"/>
                  <w:rFonts w:ascii="Times New Roman" w:hAnsi="Times New Roman"/>
                </w:rPr>
                <w:t>КПП</w:t>
              </w:r>
            </w:hyperlink>
          </w:p>
          <w:p>
            <w:pPr>
              <w:pStyle w:val="NoSpacing"/>
              <w:widowControl w:val="false"/>
              <w:spacing w:before="0" w:after="0"/>
              <w:contextualSpacing/>
              <w:jc w:val="left"/>
              <w:rPr>
                <w:rFonts w:ascii="Times New Roman" w:hAnsi="Times New Roman"/>
              </w:rPr>
            </w:pPr>
            <w:r>
              <w:rPr>
                <w:rFonts w:ascii="Times New Roman" w:hAnsi="Times New Roman"/>
              </w:rPr>
              <w:t>E-mail:</w:t>
            </w:r>
          </w:p>
          <w:p>
            <w:pPr>
              <w:pStyle w:val="NoSpacing"/>
              <w:widowControl w:val="false"/>
              <w:spacing w:before="0" w:after="0"/>
              <w:contextualSpacing/>
              <w:jc w:val="left"/>
              <w:rPr>
                <w:rFonts w:ascii="Times New Roman" w:hAnsi="Times New Roman"/>
              </w:rPr>
            </w:pPr>
            <w:r>
              <w:rPr>
                <w:rFonts w:ascii="Times New Roman" w:hAnsi="Times New Roman"/>
              </w:rPr>
              <w:t>Расчетный счет</w:t>
            </w:r>
          </w:p>
          <w:p>
            <w:pPr>
              <w:pStyle w:val="NoSpacing"/>
              <w:widowControl w:val="false"/>
              <w:spacing w:before="0" w:after="0"/>
              <w:contextualSpacing/>
              <w:jc w:val="left"/>
              <w:rPr>
                <w:rFonts w:ascii="Times New Roman" w:hAnsi="Times New Roman"/>
              </w:rPr>
            </w:pPr>
            <w:r>
              <w:rPr>
                <w:rFonts w:ascii="Times New Roman" w:hAnsi="Times New Roman"/>
              </w:rPr>
              <w:t>№</w:t>
            </w:r>
          </w:p>
          <w:p>
            <w:pPr>
              <w:pStyle w:val="NoSpacing"/>
              <w:widowControl w:val="false"/>
              <w:spacing w:before="0" w:after="0"/>
              <w:contextualSpacing/>
              <w:jc w:val="left"/>
              <w:rPr>
                <w:rFonts w:ascii="Times New Roman" w:hAnsi="Times New Roman"/>
              </w:rPr>
            </w:pPr>
            <w:r>
              <w:rPr>
                <w:rFonts w:ascii="Times New Roman" w:hAnsi="Times New Roman"/>
              </w:rPr>
            </w:r>
          </w:p>
          <w:p>
            <w:pPr>
              <w:pStyle w:val="NoSpacing"/>
              <w:widowControl w:val="false"/>
              <w:spacing w:before="0" w:after="0"/>
              <w:contextualSpacing/>
              <w:jc w:val="left"/>
              <w:rPr>
                <w:rFonts w:ascii="Times New Roman" w:hAnsi="Times New Roman"/>
              </w:rPr>
            </w:pPr>
            <w:r>
              <w:rPr>
                <w:rFonts w:ascii="Times New Roman" w:hAnsi="Times New Roman"/>
              </w:rPr>
              <w:t>Корреспондентский счет</w:t>
            </w:r>
          </w:p>
          <w:p>
            <w:pPr>
              <w:pStyle w:val="NoSpacing"/>
              <w:widowControl w:val="false"/>
              <w:spacing w:before="0" w:after="0"/>
              <w:contextualSpacing/>
              <w:jc w:val="left"/>
              <w:rPr>
                <w:rFonts w:ascii="Times New Roman" w:hAnsi="Times New Roman"/>
              </w:rPr>
            </w:pPr>
            <w:r>
              <w:rPr>
                <w:rFonts w:ascii="Times New Roman" w:hAnsi="Times New Roman"/>
              </w:rPr>
              <w:t>№</w:t>
            </w:r>
          </w:p>
          <w:p>
            <w:pPr>
              <w:pStyle w:val="NoSpacing"/>
              <w:widowControl w:val="false"/>
              <w:spacing w:before="0" w:after="0"/>
              <w:contextualSpacing/>
              <w:jc w:val="left"/>
              <w:rPr>
                <w:rFonts w:ascii="Times New Roman" w:hAnsi="Times New Roman"/>
              </w:rPr>
            </w:pPr>
            <w:r>
              <w:rPr>
                <w:rFonts w:ascii="Times New Roman" w:hAnsi="Times New Roman"/>
              </w:rPr>
              <w:t>БИК</w:t>
            </w:r>
          </w:p>
          <w:p>
            <w:pPr>
              <w:pStyle w:val="NoSpacing"/>
              <w:widowControl w:val="false"/>
              <w:spacing w:before="0" w:after="0"/>
              <w:contextualSpacing/>
              <w:jc w:val="left"/>
              <w:rPr>
                <w:rFonts w:ascii="Times New Roman" w:hAnsi="Times New Roman"/>
              </w:rPr>
            </w:pPr>
            <w:r>
              <w:rPr>
                <w:rFonts w:ascii="Times New Roman" w:hAnsi="Times New Roman"/>
              </w:rPr>
            </w:r>
          </w:p>
        </w:tc>
      </w:tr>
    </w:tbl>
    <w:p>
      <w:pPr>
        <w:pStyle w:val="ConsPlusNonformat"/>
        <w:spacing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ConsPlusNonformat"/>
        <w:spacing w:before="0" w:after="0"/>
        <w:contextualSpacing/>
        <w:rPr>
          <w:rFonts w:ascii="Times New Roman" w:hAnsi="Times New Roman" w:cs="Times New Roman"/>
          <w:b/>
          <w:sz w:val="22"/>
          <w:szCs w:val="22"/>
        </w:rPr>
      </w:pPr>
      <w:r>
        <w:rPr>
          <w:rFonts w:cs="Times New Roman" w:ascii="Times New Roman" w:hAnsi="Times New Roman"/>
          <w:b/>
          <w:sz w:val="22"/>
          <w:szCs w:val="22"/>
        </w:rPr>
        <w:t>АО «СНИИП»</w:t>
      </w:r>
      <w:r>
        <w:rPr>
          <w:rFonts w:cs="Times New Roman" w:ascii="Times New Roman" w:hAnsi="Times New Roman"/>
          <w:sz w:val="22"/>
          <w:szCs w:val="22"/>
        </w:rPr>
        <w:tab/>
        <w:tab/>
        <w:tab/>
        <w:tab/>
        <w:tab/>
      </w:r>
      <w:r>
        <w:rPr>
          <w:rFonts w:cs="Times New Roman" w:ascii="Times New Roman" w:hAnsi="Times New Roman"/>
          <w:b/>
          <w:bCs/>
          <w:sz w:val="22"/>
          <w:szCs w:val="22"/>
        </w:rPr>
        <w:t xml:space="preserve">                                 </w:t>
      </w:r>
    </w:p>
    <w:p>
      <w:pPr>
        <w:pStyle w:val="ConsPlusNonformat"/>
        <w:spacing w:before="0" w:after="0"/>
        <w:contextualSpacing/>
        <w:rPr>
          <w:rFonts w:ascii="Times New Roman" w:hAnsi="Times New Roman" w:cs="Times New Roman"/>
          <w:b/>
          <w:sz w:val="22"/>
          <w:szCs w:val="22"/>
        </w:rPr>
      </w:pPr>
      <w:r>
        <w:rPr>
          <w:rFonts w:cs="Times New Roman" w:ascii="Times New Roman" w:hAnsi="Times New Roman"/>
          <w:b/>
          <w:sz w:val="22"/>
          <w:szCs w:val="22"/>
        </w:rPr>
        <w:t xml:space="preserve">Генеральный директор                                                             </w:t>
      </w:r>
    </w:p>
    <w:p>
      <w:pPr>
        <w:pStyle w:val="ConsPlusNonformat"/>
        <w:spacing w:before="0" w:after="0"/>
        <w:contextualSpacing/>
        <w:rPr>
          <w:rFonts w:ascii="Times New Roman" w:hAnsi="Times New Roman" w:cs="Times New Roman"/>
          <w:sz w:val="22"/>
          <w:szCs w:val="22"/>
        </w:rPr>
      </w:pPr>
      <w:r>
        <w:rPr>
          <w:rFonts w:cs="Times New Roman" w:ascii="Times New Roman" w:hAnsi="Times New Roman"/>
          <w:sz w:val="22"/>
          <w:szCs w:val="22"/>
        </w:rPr>
        <w:tab/>
        <w:t xml:space="preserve">                  </w:t>
      </w:r>
    </w:p>
    <w:p>
      <w:pPr>
        <w:pStyle w:val="ConsPlusNonformat"/>
        <w:spacing w:before="0" w:after="0"/>
        <w:contextualSpacing/>
        <w:rPr>
          <w:b/>
          <w:bCs/>
        </w:rPr>
      </w:pPr>
      <w:r>
        <w:rPr>
          <w:rFonts w:cs="Times New Roman" w:ascii="Times New Roman" w:hAnsi="Times New Roman"/>
          <w:b/>
          <w:bCs/>
          <w:sz w:val="22"/>
          <w:szCs w:val="22"/>
        </w:rPr>
        <w:t xml:space="preserve">____________________ Никитин А.Б.                             ________________ </w:t>
      </w:r>
    </w:p>
    <w:p>
      <w:pPr>
        <w:pStyle w:val="ConsPlusNonformat"/>
        <w:spacing w:before="0" w:after="0"/>
        <w:contextualSpacing/>
        <w:jc w:val="center"/>
        <w:rPr>
          <w:rFonts w:ascii="Times New Roman" w:hAnsi="Times New Roman" w:cs="Times New Roman"/>
          <w:sz w:val="24"/>
          <w:szCs w:val="24"/>
          <w:lang w:eastAsia="en-US"/>
        </w:rPr>
      </w:pPr>
      <w:r>
        <w:rPr>
          <w:rFonts w:cs="Times New Roman" w:ascii="Times New Roman" w:hAnsi="Times New Roman"/>
          <w:sz w:val="24"/>
          <w:szCs w:val="24"/>
          <w:lang w:eastAsia="en-US"/>
        </w:rPr>
      </w:r>
    </w:p>
    <w:sectPr>
      <w:headerReference w:type="even" r:id="rId8"/>
      <w:headerReference w:type="default" r:id="rId9"/>
      <w:headerReference w:type="first" r:id="rId10"/>
      <w:type w:val="nextPage"/>
      <w:pgSz w:w="11906" w:h="16838"/>
      <w:pgMar w:left="1136" w:right="1136" w:gutter="0" w:header="1136" w:top="1193" w:footer="0" w:bottom="1136"/>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Cambria">
    <w:charset w:val="01"/>
    <w:family w:val="roman"/>
    <w:pitch w:val="default"/>
  </w:font>
  <w:font w:name="Arial">
    <w:charset w:val="01"/>
    <w:family w:val="swiss"/>
    <w:pitch w:val="default"/>
  </w:font>
  <w:font w:name="Tahoma">
    <w:charset w:val="01"/>
    <w:family w:val="roman"/>
    <w:pitch w:val="default"/>
  </w:font>
  <w:font w:name="OpenSymbol">
    <w:altName w:val="Arial Unicode MS"/>
    <w:charset w:val="01"/>
    <w:family w:val="roman"/>
    <w:pitch w:val="default"/>
  </w:font>
  <w:font w:name="PT Astra Serif">
    <w:charset w:val="01"/>
    <w:family w:val="roman"/>
    <w:pitch w:val="default"/>
  </w:font>
  <w:font w:name="Courier New">
    <w:charset w:val="01"/>
    <w:family w:val="roman"/>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sz w:val="24"/>
        <w:szCs w:val="24"/>
      </w:rPr>
    </w:pPr>
    <w:r>
      <w:rPr>
        <w:rFonts w:ascii="Times New Roman" w:hAnsi="Times New Roman"/>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40"/>
        </w:tabs>
        <w:ind w:left="540" w:hanging="540"/>
      </w:pPr>
      <w:rPr>
        <w:rFonts w:cs="Times New Roman"/>
      </w:rPr>
    </w:lvl>
    <w:lvl w:ilvl="1">
      <w:start w:val="9"/>
      <w:numFmt w:val="decimal"/>
      <w:lvlText w:val="%2."/>
      <w:lvlJc w:val="left"/>
      <w:pPr>
        <w:tabs>
          <w:tab w:val="num" w:pos="3659"/>
        </w:tabs>
        <w:ind w:left="3659" w:hanging="540"/>
      </w:pPr>
      <w:rPr>
        <w:sz w:val="24"/>
        <w:b/>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
    <w:lvl w:ilvl="0">
      <w:start w:val="5"/>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0"/>
        </w:tabs>
        <w:ind w:left="2500" w:hanging="1080"/>
      </w:pPr>
      <w:rPr>
        <w:rFonts w:ascii="Symbol" w:hAnsi="Symbol" w:cs="Symbol" w:hint="default"/>
      </w:rPr>
    </w:lvl>
    <w:lvl w:ilvl="6">
      <w:start w:val="1"/>
      <w:numFmt w:val="bullet"/>
      <w:lvlText w:val=""/>
      <w:lvlJc w:val="left"/>
      <w:pPr>
        <w:tabs>
          <w:tab w:val="num" w:pos="0"/>
        </w:tabs>
        <w:ind w:left="3144" w:hanging="1440"/>
      </w:pPr>
      <w:rPr>
        <w:rFonts w:ascii="Symbol" w:hAnsi="Symbol" w:cs="Symbol" w:hint="default"/>
      </w:rPr>
    </w:lvl>
    <w:lvl w:ilvl="7">
      <w:start w:val="1"/>
      <w:numFmt w:val="bullet"/>
      <w:lvlText w:val=""/>
      <w:lvlJc w:val="left"/>
      <w:pPr>
        <w:tabs>
          <w:tab w:val="num" w:pos="0"/>
        </w:tabs>
        <w:ind w:left="3428" w:hanging="1440"/>
      </w:pPr>
      <w:rPr>
        <w:rFonts w:ascii="Symbol" w:hAnsi="Symbol" w:cs="Symbol" w:hint="default"/>
      </w:rPr>
    </w:lvl>
    <w:lvl w:ilvl="8">
      <w:start w:val="1"/>
      <w:numFmt w:val="bullet"/>
      <w:lvlText w:val=""/>
      <w:lvlJc w:val="left"/>
      <w:pPr>
        <w:tabs>
          <w:tab w:val="num" w:pos="0"/>
        </w:tabs>
        <w:ind w:left="4072" w:hanging="1800"/>
      </w:pPr>
      <w:rPr>
        <w:rFonts w:ascii="Symbol" w:hAnsi="Symbol" w:cs="Symbol" w:hint="default"/>
      </w:rPr>
    </w:lvl>
  </w:abstractNum>
  <w:abstractNum w:abstractNumId="3">
    <w:lvl w:ilvl="0">
      <w:start w:val="6"/>
      <w:numFmt w:val="decimal"/>
      <w:lvlText w:val="%1."/>
      <w:lvlJc w:val="left"/>
      <w:pPr>
        <w:tabs>
          <w:tab w:val="num" w:pos="0"/>
        </w:tabs>
        <w:ind w:left="360" w:hanging="360"/>
      </w:pPr>
      <w:rPr>
        <w:b/>
        <w:rFonts w:cs="Times New Roman"/>
      </w:rPr>
    </w:lvl>
    <w:lvl w:ilvl="1">
      <w:start w:val="1"/>
      <w:numFmt w:val="decimal"/>
      <w:lvlText w:val="%1.%2."/>
      <w:lvlJc w:val="left"/>
      <w:pPr>
        <w:tabs>
          <w:tab w:val="num" w:pos="0"/>
        </w:tabs>
        <w:ind w:left="3054" w:hanging="360"/>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720" w:hanging="72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080" w:hanging="108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4">
    <w:lvl w:ilvl="0">
      <w:start w:val="6"/>
      <w:numFmt w:val="decimal"/>
      <w:lvlText w:val="%1."/>
      <w:lvlJc w:val="left"/>
      <w:pPr>
        <w:tabs>
          <w:tab w:val="num" w:pos="567"/>
        </w:tabs>
        <w:ind w:left="567" w:hanging="567"/>
      </w:pPr>
      <w:rPr>
        <w:rFonts w:cs="Times New Roman"/>
      </w:rPr>
    </w:lvl>
    <w:lvl w:ilvl="1">
      <w:start w:val="1"/>
      <w:numFmt w:val="decimal"/>
      <w:lvlText w:val="%1.%2."/>
      <w:lvlJc w:val="left"/>
      <w:pPr>
        <w:tabs>
          <w:tab w:val="num" w:pos="1152"/>
        </w:tabs>
        <w:ind w:left="1152" w:hanging="432"/>
      </w:pPr>
      <w:rPr>
        <w:rFonts w:cs="Times New Roman"/>
      </w:rPr>
    </w:lvl>
    <w:lvl w:ilvl="2">
      <w:start w:val="1"/>
      <w:numFmt w:val="decimal"/>
      <w:lvlText w:val="%1.%2.%3."/>
      <w:lvlJc w:val="left"/>
      <w:pPr>
        <w:tabs>
          <w:tab w:val="num" w:pos="1800"/>
        </w:tabs>
        <w:ind w:left="1584" w:hanging="504"/>
      </w:pPr>
      <w:rPr>
        <w:rFonts w:cs="Times New Roman"/>
      </w:rPr>
    </w:lvl>
    <w:lvl w:ilvl="3">
      <w:start w:val="1"/>
      <w:numFmt w:val="decimal"/>
      <w:lvlText w:val="%1.%2.%3.%4."/>
      <w:lvlJc w:val="left"/>
      <w:pPr>
        <w:tabs>
          <w:tab w:val="num" w:pos="2160"/>
        </w:tabs>
        <w:ind w:left="2088" w:hanging="648"/>
      </w:pPr>
      <w:rPr>
        <w:rFonts w:cs="Times New Roman"/>
      </w:rPr>
    </w:lvl>
    <w:lvl w:ilvl="4">
      <w:start w:val="1"/>
      <w:numFmt w:val="decimal"/>
      <w:lvlText w:val="%1.%2.%3.%4.%5."/>
      <w:lvlJc w:val="left"/>
      <w:pPr>
        <w:tabs>
          <w:tab w:val="num" w:pos="2880"/>
        </w:tabs>
        <w:ind w:left="2592" w:hanging="792"/>
      </w:pPr>
      <w:rPr>
        <w:rFonts w:cs="Times New Roman"/>
      </w:rPr>
    </w:lvl>
    <w:lvl w:ilvl="5">
      <w:start w:val="1"/>
      <w:numFmt w:val="decimal"/>
      <w:lvlText w:val="%1.%2.%3.%4.%5.%6."/>
      <w:lvlJc w:val="left"/>
      <w:pPr>
        <w:tabs>
          <w:tab w:val="num" w:pos="3240"/>
        </w:tabs>
        <w:ind w:left="3096" w:hanging="936"/>
      </w:pPr>
      <w:rPr>
        <w:rFonts w:cs="Times New Roman"/>
      </w:rPr>
    </w:lvl>
    <w:lvl w:ilvl="6">
      <w:start w:val="1"/>
      <w:numFmt w:val="decimal"/>
      <w:lvlText w:val="%1.%2.%3.%4.%5.%6.%7."/>
      <w:lvlJc w:val="left"/>
      <w:pPr>
        <w:tabs>
          <w:tab w:val="num" w:pos="3960"/>
        </w:tabs>
        <w:ind w:left="3600" w:hanging="1080"/>
      </w:pPr>
      <w:rPr>
        <w:rFonts w:cs="Times New Roman"/>
      </w:rPr>
    </w:lvl>
    <w:lvl w:ilvl="7">
      <w:start w:val="1"/>
      <w:numFmt w:val="decimal"/>
      <w:lvlText w:val="%1.%2.%3.%4.%5.%6.%7.%8."/>
      <w:lvlJc w:val="left"/>
      <w:pPr>
        <w:tabs>
          <w:tab w:val="num" w:pos="4320"/>
        </w:tabs>
        <w:ind w:left="4104" w:hanging="1224"/>
      </w:pPr>
      <w:rPr>
        <w:rFonts w:cs="Times New Roman"/>
      </w:rPr>
    </w:lvl>
    <w:lvl w:ilvl="8">
      <w:start w:val="1"/>
      <w:numFmt w:val="decimal"/>
      <w:lvlText w:val="%1.%2.%3.%4.%5.%6.%7.%8.%9."/>
      <w:lvlJc w:val="left"/>
      <w:pPr>
        <w:tabs>
          <w:tab w:val="num" w:pos="5040"/>
        </w:tabs>
        <w:ind w:left="4680" w:hanging="1440"/>
      </w:pPr>
      <w:rPr>
        <w:rFonts w:cs="Times New Roman"/>
      </w:rPr>
    </w:lvl>
  </w:abstractNum>
  <w:abstractNum w:abstractNumId="5">
    <w:lvl w:ilvl="0">
      <w:start w:val="4"/>
      <w:numFmt w:val="decimal"/>
      <w:lvlText w:val="%1."/>
      <w:lvlJc w:val="left"/>
      <w:pPr>
        <w:tabs>
          <w:tab w:val="num" w:pos="720"/>
        </w:tabs>
        <w:ind w:left="720" w:hanging="360"/>
      </w:pPr>
      <w:rPr/>
    </w:lvl>
    <w:lvl w:ilvl="1">
      <w:start w:val="3"/>
      <w:numFmt w:val="decimal"/>
      <w:lvlText w:val="%1.%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0"/>
        </w:tabs>
        <w:ind w:left="1080" w:hanging="1080"/>
      </w:pPr>
      <w:rPr>
        <w:rFonts w:ascii="Symbol" w:hAnsi="Symbol" w:cs="Symbol" w:hint="default"/>
      </w:rPr>
    </w:lvl>
    <w:lvl w:ilvl="6">
      <w:start w:val="1"/>
      <w:numFmt w:val="bullet"/>
      <w:lvlText w:val=""/>
      <w:lvlJc w:val="left"/>
      <w:pPr>
        <w:tabs>
          <w:tab w:val="num" w:pos="0"/>
        </w:tabs>
        <w:ind w:left="1440" w:hanging="1440"/>
      </w:pPr>
      <w:rPr>
        <w:rFonts w:ascii="Symbol" w:hAnsi="Symbol" w:cs="Symbol" w:hint="default"/>
      </w:rPr>
    </w:lvl>
    <w:lvl w:ilvl="7">
      <w:start w:val="1"/>
      <w:numFmt w:val="bullet"/>
      <w:lvlText w:val=""/>
      <w:lvlJc w:val="left"/>
      <w:pPr>
        <w:tabs>
          <w:tab w:val="num" w:pos="0"/>
        </w:tabs>
        <w:ind w:left="1440" w:hanging="1440"/>
      </w:pPr>
      <w:rPr>
        <w:rFonts w:ascii="Symbol" w:hAnsi="Symbol" w:cs="Symbol" w:hint="default"/>
      </w:rPr>
    </w:lvl>
    <w:lvl w:ilvl="8">
      <w:start w:val="1"/>
      <w:numFmt w:val="bullet"/>
      <w:lvlText w:val=""/>
      <w:lvlJc w:val="left"/>
      <w:pPr>
        <w:tabs>
          <w:tab w:val="num" w:pos="0"/>
        </w:tabs>
        <w:ind w:left="1800" w:hanging="1800"/>
      </w:pPr>
      <w:rPr>
        <w:rFonts w:ascii="Symbol" w:hAnsi="Symbol" w:cs="Symbol" w:hint="default"/>
      </w:rPr>
    </w:lvl>
  </w:abstractNum>
  <w:abstractNum w:abstractNumId="6">
    <w:lvl w:ilvl="0">
      <w:start w:val="1"/>
      <w:numFmt w:val="decimal"/>
      <w:lvlText w:val="%1."/>
      <w:lvlJc w:val="left"/>
      <w:pPr>
        <w:tabs>
          <w:tab w:val="num" w:pos="360"/>
        </w:tabs>
        <w:ind w:left="360" w:hanging="360"/>
      </w:pPr>
      <w:rPr>
        <w:lang w:val="ru-RU"/>
      </w:rPr>
    </w:lvl>
    <w:lvl w:ilvl="1">
      <w:start w:val="1"/>
      <w:numFmt w:val="decimal"/>
      <w:lvlText w:val="%1.%2."/>
      <w:lvlJc w:val="left"/>
      <w:pPr>
        <w:tabs>
          <w:tab w:val="num" w:pos="1146"/>
        </w:tabs>
        <w:ind w:left="858" w:hanging="432"/>
      </w:pPr>
      <w:rPr>
        <w:sz w:val="22"/>
        <w:b w:val="false"/>
        <w:szCs w:val="22"/>
        <w:rFonts w:ascii="Times New Roman" w:hAnsi="Times New Roman" w:cs="Times New Roman"/>
      </w:rPr>
    </w:lvl>
    <w:lvl w:ilvl="2">
      <w:start w:val="1"/>
      <w:numFmt w:val="decimal"/>
      <w:lvlText w:val="%1.%2.%3."/>
      <w:lvlJc w:val="left"/>
      <w:pPr>
        <w:tabs>
          <w:tab w:val="num" w:pos="1648"/>
        </w:tabs>
        <w:ind w:left="1072" w:hanging="504"/>
      </w:pPr>
      <w:rPr>
        <w:sz w:val="22"/>
        <w:szCs w:val="22"/>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320"/>
        </w:tabs>
        <w:ind w:left="3744" w:hanging="1224"/>
      </w:pPr>
      <w:rPr/>
    </w:lvl>
    <w:lvl w:ilvl="8">
      <w:start w:val="1"/>
      <w:numFmt w:val="decimal"/>
      <w:lvlText w:val="%1.%2.%3.%4.%5.%6.%7.%8.%9."/>
      <w:lvlJc w:val="left"/>
      <w:pPr>
        <w:tabs>
          <w:tab w:val="num" w:pos="5040"/>
        </w:tabs>
        <w:ind w:left="4320" w:hanging="1440"/>
      </w:pPr>
      <w:rPr/>
    </w:lvl>
  </w:abstractNum>
  <w:abstractNum w:abstractNumId="7">
    <w:lvl w:ilvl="0">
      <w:start w:val="10"/>
      <w:numFmt w:val="decimal"/>
      <w:lvlText w:val="%1."/>
      <w:lvlJc w:val="left"/>
      <w:pPr>
        <w:tabs>
          <w:tab w:val="num" w:pos="0"/>
        </w:tabs>
        <w:ind w:left="927" w:hanging="360"/>
      </w:pPr>
      <w:rPr/>
    </w:lvl>
    <w:lvl w:ilvl="1">
      <w:start w:val="7"/>
      <w:numFmt w:val="decimal"/>
      <w:lvlText w:val="%1.%2."/>
      <w:lvlJc w:val="left"/>
      <w:pPr>
        <w:tabs>
          <w:tab w:val="num" w:pos="0"/>
        </w:tabs>
        <w:ind w:left="1290" w:hanging="585"/>
      </w:pPr>
      <w:rPr/>
    </w:lvl>
    <w:lvl w:ilvl="2">
      <w:start w:val="1"/>
      <w:numFmt w:val="decimal"/>
      <w:lvlText w:val="%1.%2.%3."/>
      <w:lvlJc w:val="left"/>
      <w:pPr>
        <w:tabs>
          <w:tab w:val="num" w:pos="0"/>
        </w:tabs>
        <w:ind w:left="1563" w:hanging="720"/>
      </w:pPr>
      <w:rPr/>
    </w:lvl>
    <w:lvl w:ilvl="3">
      <w:start w:val="1"/>
      <w:numFmt w:val="decimal"/>
      <w:lvlText w:val="%1.%2.%3.%4."/>
      <w:lvlJc w:val="left"/>
      <w:pPr>
        <w:tabs>
          <w:tab w:val="num" w:pos="0"/>
        </w:tabs>
        <w:ind w:left="1701" w:hanging="720"/>
      </w:pPr>
      <w:rPr/>
    </w:lvl>
    <w:lvl w:ilvl="4">
      <w:start w:val="1"/>
      <w:numFmt w:val="decimal"/>
      <w:lvlText w:val="%1.%2.%3.%4.%5."/>
      <w:lvlJc w:val="left"/>
      <w:pPr>
        <w:tabs>
          <w:tab w:val="num" w:pos="0"/>
        </w:tabs>
        <w:ind w:left="2199" w:hanging="1080"/>
      </w:pPr>
      <w:rPr/>
    </w:lvl>
    <w:lvl w:ilvl="5">
      <w:start w:val="1"/>
      <w:numFmt w:val="decimal"/>
      <w:lvlText w:val="%1.%2.%3.%4.%5.%6."/>
      <w:lvlJc w:val="left"/>
      <w:pPr>
        <w:tabs>
          <w:tab w:val="num" w:pos="0"/>
        </w:tabs>
        <w:ind w:left="2337" w:hanging="1080"/>
      </w:pPr>
      <w:rPr/>
    </w:lvl>
    <w:lvl w:ilvl="6">
      <w:start w:val="1"/>
      <w:numFmt w:val="decimal"/>
      <w:lvlText w:val="%1.%2.%3.%4.%5.%6.%7."/>
      <w:lvlJc w:val="left"/>
      <w:pPr>
        <w:tabs>
          <w:tab w:val="num" w:pos="0"/>
        </w:tabs>
        <w:ind w:left="2835" w:hanging="1440"/>
      </w:pPr>
      <w:rPr/>
    </w:lvl>
    <w:lvl w:ilvl="7">
      <w:start w:val="1"/>
      <w:numFmt w:val="decimal"/>
      <w:lvlText w:val="%1.%2.%3.%4.%5.%6.%7.%8."/>
      <w:lvlJc w:val="left"/>
      <w:pPr>
        <w:tabs>
          <w:tab w:val="num" w:pos="0"/>
        </w:tabs>
        <w:ind w:left="2973" w:hanging="1440"/>
      </w:pPr>
      <w:rPr/>
    </w:lvl>
    <w:lvl w:ilvl="8">
      <w:start w:val="1"/>
      <w:numFmt w:val="decimal"/>
      <w:lvlText w:val="%1.%2.%3.%4.%5.%6.%7.%8.%9."/>
      <w:lvlJc w:val="left"/>
      <w:pPr>
        <w:tabs>
          <w:tab w:val="num" w:pos="0"/>
        </w:tabs>
        <w:ind w:left="3471" w:hanging="1800"/>
      </w:pPr>
      <w:rPr/>
    </w:lvl>
  </w:abstractNum>
  <w:abstractNum w:abstractNumId="8">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decimal"/>
      <w:lvlText w:val="%4)"/>
      <w:lvlJc w:val="left"/>
      <w:pPr>
        <w:tabs>
          <w:tab w:val="num" w:pos="360"/>
        </w:tabs>
        <w:ind w:left="360" w:hanging="360"/>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0" w:hanging="1440"/>
      </w:pPr>
      <w:rPr/>
    </w:lvl>
  </w:abstractNum>
  <w:abstractNum w:abstractNumId="9">
    <w:lvl w:ilvl="0">
      <w:start w:val="1"/>
      <w:numFmt w:val="decimal"/>
      <w:lvlText w:val="%1."/>
      <w:lvlJc w:val="left"/>
      <w:pPr>
        <w:tabs>
          <w:tab w:val="num" w:pos="0"/>
        </w:tabs>
        <w:ind w:left="720" w:hanging="360"/>
      </w:pPr>
      <w:rPr>
        <w:b w:val="false"/>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2160" w:hanging="180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10">
    <w:lvl w:ilvl="0">
      <w:start w:val="1"/>
      <w:numFmt w:val="decimal"/>
      <w:lvlText w:val="%1."/>
      <w:lvlJc w:val="left"/>
      <w:pPr>
        <w:tabs>
          <w:tab w:val="num" w:pos="0"/>
        </w:tabs>
        <w:ind w:left="720" w:hanging="360"/>
      </w:pPr>
      <w:rPr>
        <w:b w:val="false"/>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2160" w:hanging="180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11">
    <w:lvl w:ilvl="0">
      <w:start w:val="1"/>
      <w:numFmt w:val="decimal"/>
      <w:lvlText w:val="%1."/>
      <w:lvlJc w:val="left"/>
      <w:pPr>
        <w:tabs>
          <w:tab w:val="num" w:pos="0"/>
        </w:tabs>
        <w:ind w:left="720" w:hanging="360"/>
      </w:pPr>
      <w:rPr>
        <w:b w:val="false"/>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2160" w:hanging="180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12">
    <w:lvl w:ilvl="0">
      <w:start w:val="1"/>
      <w:numFmt w:val="decimal"/>
      <w:lvlText w:val="%1."/>
      <w:lvlJc w:val="left"/>
      <w:pPr>
        <w:tabs>
          <w:tab w:val="num" w:pos="0"/>
        </w:tabs>
        <w:ind w:left="720" w:hanging="360"/>
      </w:pPr>
      <w:rPr>
        <w:b w:val="false"/>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2160" w:hanging="180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13">
    <w:lvl w:ilvl="0">
      <w:start w:val="1"/>
      <w:numFmt w:val="decimal"/>
      <w:lvlText w:val="%1."/>
      <w:lvlJc w:val="left"/>
      <w:pPr>
        <w:tabs>
          <w:tab w:val="num" w:pos="0"/>
        </w:tabs>
        <w:ind w:left="720" w:hanging="360"/>
      </w:pPr>
      <w:rPr>
        <w:b w:val="false"/>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2160" w:hanging="180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14">
    <w:lvl w:ilvl="0">
      <w:start w:val="1"/>
      <w:numFmt w:val="decimal"/>
      <w:lvlText w:val="%1."/>
      <w:lvlJc w:val="left"/>
      <w:pPr>
        <w:tabs>
          <w:tab w:val="num" w:pos="0"/>
        </w:tabs>
        <w:ind w:left="720" w:hanging="360"/>
      </w:pPr>
      <w:rPr>
        <w:b w:val="false"/>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2160" w:hanging="180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9"/>
    <w:lvlOverride w:ilvl="0">
      <w:startOverride w:val="1"/>
    </w:lvlOverride>
  </w:num>
  <w:num w:numId="17">
    <w:abstractNumId w:val="9"/>
  </w:num>
  <w:num w:numId="18">
    <w:abstractNumId w:val="9"/>
  </w:num>
  <w:num w:numId="19">
    <w:abstractNumId w:val="9"/>
  </w:num>
  <w:num w:numId="20">
    <w:abstractNumId w:val="9"/>
  </w:num>
  <w:num w:numId="21">
    <w:abstractNumId w:val="9"/>
  </w:num>
</w:numbering>
</file>

<file path=word/settings.xml><?xml version="1.0" encoding="utf-8"?>
<w:settings xmlns:w="http://schemas.openxmlformats.org/wordprocessingml/2006/main">
  <w:zoom w:percent="120"/>
  <w:defaultTabStop w:val="708"/>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200"/>
      <w:jc w:val="left"/>
    </w:pPr>
    <w:rPr>
      <w:rFonts w:ascii="Calibri" w:hAnsi="Calibri" w:eastAsia="Times New Roman" w:cs="Times New Roman"/>
      <w:color w:val="auto"/>
      <w:kern w:val="0"/>
      <w:sz w:val="22"/>
      <w:szCs w:val="22"/>
      <w:lang w:val="ru-RU" w:eastAsia="en-US" w:bidi="ar-SA"/>
    </w:rPr>
  </w:style>
  <w:style w:type="paragraph" w:styleId="Heading1">
    <w:name w:val="heading 1"/>
    <w:basedOn w:val="Normal"/>
    <w:next w:val="Normal"/>
    <w:link w:val="1"/>
    <w:qFormat/>
    <w:pPr>
      <w:keepNext w:val="true"/>
      <w:numPr>
        <w:ilvl w:val="0"/>
        <w:numId w:val="6"/>
      </w:numPr>
      <w:spacing w:lineRule="auto" w:line="240" w:before="0" w:after="0"/>
      <w:outlineLvl w:val="0"/>
    </w:pPr>
    <w:rPr>
      <w:rFonts w:ascii="Times New Roman" w:hAnsi="Times New Roman"/>
      <w:b/>
      <w:bCs/>
      <w:caps/>
      <w:kern w:val="2"/>
      <w:sz w:val="24"/>
      <w:szCs w:val="32"/>
      <w:lang w:eastAsia="ru-RU"/>
    </w:rPr>
  </w:style>
  <w:style w:type="paragraph" w:styleId="Heading2">
    <w:name w:val="heading 2"/>
    <w:basedOn w:val="Normal"/>
    <w:next w:val="Normal"/>
    <w:link w:val="2"/>
    <w:qFormat/>
    <w:pPr>
      <w:keepNext w:val="true"/>
      <w:numPr>
        <w:ilvl w:val="1"/>
        <w:numId w:val="6"/>
      </w:numPr>
      <w:spacing w:lineRule="auto" w:line="240" w:before="0" w:after="0"/>
      <w:outlineLvl w:val="1"/>
    </w:pPr>
    <w:rPr>
      <w:rFonts w:ascii="Times New Roman" w:hAnsi="Times New Roman"/>
      <w:caps/>
      <w:sz w:val="24"/>
      <w:szCs w:val="20"/>
      <w:lang w:eastAsia="ru-RU"/>
    </w:rPr>
  </w:style>
  <w:style w:type="paragraph" w:styleId="Heading3">
    <w:name w:val="heading 3"/>
    <w:basedOn w:val="Normal"/>
    <w:next w:val="Normal"/>
    <w:link w:val="3"/>
    <w:qFormat/>
    <w:pPr>
      <w:keepNext w:val="true"/>
      <w:numPr>
        <w:ilvl w:val="2"/>
        <w:numId w:val="6"/>
      </w:numPr>
      <w:tabs>
        <w:tab w:val="clear" w:pos="708"/>
        <w:tab w:val="left" w:pos="1364" w:leader="none"/>
      </w:tabs>
      <w:spacing w:lineRule="auto" w:line="240" w:before="0" w:after="0"/>
      <w:ind w:hanging="0" w:left="788"/>
      <w:outlineLvl w:val="2"/>
    </w:pPr>
    <w:rPr>
      <w:rFonts w:ascii="Times New Roman" w:hAnsi="Times New Roman"/>
      <w:sz w:val="24"/>
      <w:szCs w:val="20"/>
      <w:lang w:eastAsia="ru-RU"/>
    </w:rPr>
  </w:style>
  <w:style w:type="paragraph" w:styleId="Heading4">
    <w:name w:val="heading 4"/>
    <w:basedOn w:val="Normal"/>
    <w:next w:val="Normal"/>
    <w:link w:val="4"/>
    <w:qFormat/>
    <w:pPr>
      <w:keepNext w:val="true"/>
      <w:numPr>
        <w:ilvl w:val="3"/>
        <w:numId w:val="6"/>
      </w:numPr>
      <w:spacing w:lineRule="auto" w:line="240" w:before="0" w:after="0"/>
      <w:outlineLvl w:val="3"/>
    </w:pPr>
    <w:rPr>
      <w:rFonts w:ascii="Times New Roman" w:hAnsi="Times New Roman"/>
      <w:bCs/>
      <w:sz w:val="24"/>
      <w:szCs w:val="28"/>
      <w:lang w:eastAsia="ru-RU"/>
    </w:rPr>
  </w:style>
  <w:style w:type="paragraph" w:styleId="Heading5">
    <w:name w:val="heading 5"/>
    <w:basedOn w:val="Normal"/>
    <w:next w:val="Normal"/>
    <w:link w:val="5"/>
    <w:qFormat/>
    <w:pPr>
      <w:keepNext w:val="true"/>
      <w:keepLines/>
      <w:numPr>
        <w:ilvl w:val="0"/>
        <w:numId w:val="0"/>
      </w:numPr>
      <w:spacing w:lineRule="auto" w:line="240" w:before="40" w:after="0"/>
      <w:outlineLvl w:val="4"/>
    </w:pPr>
    <w:rPr>
      <w:rFonts w:ascii="Cambria" w:hAnsi="Cambria" w:eastAsia="Calibri" w:cs="Tahoma"/>
      <w:color w:themeColor="accent1" w:themeShade="bf" w:val="365F91"/>
      <w:sz w:val="28"/>
      <w:szCs w:val="28"/>
      <w:lang w:eastAsia="ru-RU"/>
    </w:rPr>
  </w:style>
  <w:style w:type="character" w:styleId="DefaultParagraphFont">
    <w:name w:val="Default Paragraph Font"/>
    <w:qFormat/>
    <w:rPr/>
  </w:style>
  <w:style w:type="character" w:styleId="1">
    <w:name w:val="Заголовок 1 Знак"/>
    <w:basedOn w:val="DefaultParagraphFont"/>
    <w:qFormat/>
    <w:rPr>
      <w:rFonts w:ascii="Times New Roman" w:hAnsi="Times New Roman" w:eastAsia="Times New Roman" w:cs="Times New Roman"/>
      <w:b/>
      <w:bCs/>
      <w:caps/>
      <w:kern w:val="2"/>
      <w:sz w:val="24"/>
      <w:szCs w:val="32"/>
      <w:lang w:eastAsia="ru-RU"/>
    </w:rPr>
  </w:style>
  <w:style w:type="character" w:styleId="2">
    <w:name w:val="Заголовок 2 Знак"/>
    <w:basedOn w:val="DefaultParagraphFont"/>
    <w:qFormat/>
    <w:rPr>
      <w:rFonts w:ascii="Times New Roman" w:hAnsi="Times New Roman" w:eastAsia="Times New Roman" w:cs="Times New Roman"/>
      <w:caps/>
      <w:sz w:val="24"/>
      <w:szCs w:val="20"/>
      <w:lang w:eastAsia="ru-RU"/>
    </w:rPr>
  </w:style>
  <w:style w:type="character" w:styleId="3">
    <w:name w:val="Заголовок 3 Знак"/>
    <w:basedOn w:val="DefaultParagraphFont"/>
    <w:qFormat/>
    <w:rPr>
      <w:rFonts w:ascii="Times New Roman" w:hAnsi="Times New Roman" w:eastAsia="Times New Roman" w:cs="Times New Roman"/>
      <w:sz w:val="24"/>
      <w:szCs w:val="20"/>
      <w:lang w:eastAsia="ru-RU"/>
    </w:rPr>
  </w:style>
  <w:style w:type="character" w:styleId="4">
    <w:name w:val="Заголовок 4 Знак"/>
    <w:basedOn w:val="DefaultParagraphFont"/>
    <w:qFormat/>
    <w:rPr>
      <w:rFonts w:ascii="Times New Roman" w:hAnsi="Times New Roman" w:eastAsia="Times New Roman" w:cs="Times New Roman"/>
      <w:bCs/>
      <w:sz w:val="24"/>
      <w:szCs w:val="28"/>
      <w:lang w:eastAsia="ru-RU"/>
    </w:rPr>
  </w:style>
  <w:style w:type="character" w:styleId="5">
    <w:name w:val="Заголовок 5 Знак"/>
    <w:basedOn w:val="DefaultParagraphFont"/>
    <w:qFormat/>
    <w:rPr>
      <w:rFonts w:ascii="Cambria" w:hAnsi="Cambria" w:eastAsia="Calibri" w:cs="Tahoma"/>
      <w:color w:themeColor="accent1" w:themeShade="bf" w:val="365F91"/>
      <w:sz w:val="28"/>
      <w:szCs w:val="28"/>
      <w:lang w:eastAsia="ru-RU"/>
    </w:rPr>
  </w:style>
  <w:style w:type="character" w:styleId="Style9">
    <w:name w:val="Название Знак"/>
    <w:basedOn w:val="DefaultParagraphFont"/>
    <w:qFormat/>
    <w:rPr>
      <w:rFonts w:ascii="Arial" w:hAnsi="Arial" w:eastAsia="Calibri" w:cs="Times New Roman"/>
      <w:b/>
      <w:kern w:val="2"/>
      <w:sz w:val="32"/>
      <w:szCs w:val="20"/>
      <w:lang w:eastAsia="ru-RU"/>
    </w:rPr>
  </w:style>
  <w:style w:type="character" w:styleId="11">
    <w:name w:val="Основной текст Знак1"/>
    <w:basedOn w:val="DefaultParagraphFont"/>
    <w:qFormat/>
    <w:rPr>
      <w:rFonts w:ascii="Times New Roman" w:hAnsi="Times New Roman" w:eastAsia="Calibri" w:cs="Times New Roman"/>
      <w:sz w:val="24"/>
      <w:szCs w:val="20"/>
      <w:lang w:eastAsia="ru-RU"/>
    </w:rPr>
  </w:style>
  <w:style w:type="character" w:styleId="Style10">
    <w:name w:val="Основной текст Знак"/>
    <w:basedOn w:val="DefaultParagraphFont"/>
    <w:qFormat/>
    <w:rPr>
      <w:rFonts w:ascii="Calibri" w:hAnsi="Calibri" w:eastAsia="Times New Roman" w:cs="Times New Roman"/>
    </w:rPr>
  </w:style>
  <w:style w:type="character" w:styleId="21">
    <w:name w:val="Основной текст 2 Знак"/>
    <w:basedOn w:val="DefaultParagraphFont"/>
    <w:link w:val="BodyText2"/>
    <w:qFormat/>
    <w:rPr>
      <w:rFonts w:ascii="Times New Roman" w:hAnsi="Times New Roman" w:eastAsia="Calibri" w:cs="Times New Roman"/>
      <w:sz w:val="24"/>
      <w:szCs w:val="20"/>
      <w:lang w:eastAsia="ru-RU"/>
    </w:rPr>
  </w:style>
  <w:style w:type="character" w:styleId="Style11">
    <w:name w:val="Абзац списка Знак"/>
    <w:link w:val="ListParagraph"/>
    <w:qFormat/>
    <w:rPr>
      <w:rFonts w:ascii="Times New Roman" w:hAnsi="Times New Roman" w:eastAsia="Times New Roman" w:cs="Times New Roman"/>
      <w:sz w:val="24"/>
      <w:szCs w:val="24"/>
      <w:lang w:eastAsia="ru-RU"/>
    </w:rPr>
  </w:style>
  <w:style w:type="character" w:styleId="Style12">
    <w:name w:val="Верхний колонтитул Знак"/>
    <w:basedOn w:val="DefaultParagraphFont"/>
    <w:qFormat/>
    <w:rPr>
      <w:rFonts w:ascii="Calibri" w:hAnsi="Calibri" w:eastAsia="Times New Roman" w:cs="Times New Roman"/>
    </w:rPr>
  </w:style>
  <w:style w:type="character" w:styleId="Style13">
    <w:name w:val="Нижний колонтитул Знак"/>
    <w:basedOn w:val="DefaultParagraphFont"/>
    <w:qFormat/>
    <w:rPr>
      <w:rFonts w:ascii="Calibri" w:hAnsi="Calibri" w:eastAsia="Times New Roman" w:cs="Times New Roman"/>
    </w:rPr>
  </w:style>
  <w:style w:type="character" w:styleId="Style14">
    <w:name w:val="Текст выноски Знак"/>
    <w:basedOn w:val="DefaultParagraphFont"/>
    <w:link w:val="BalloonText"/>
    <w:qFormat/>
    <w:rPr>
      <w:rFonts w:ascii="Tahoma" w:hAnsi="Tahoma" w:eastAsia="Times New Roman" w:cs="Tahoma"/>
      <w:sz w:val="16"/>
      <w:szCs w:val="16"/>
    </w:rPr>
  </w:style>
  <w:style w:type="character" w:styleId="Style15">
    <w:name w:val="Подзаголовок Знак"/>
    <w:basedOn w:val="DefaultParagraphFont"/>
    <w:qFormat/>
    <w:rPr>
      <w:rFonts w:ascii="Cambria" w:hAnsi="Cambria" w:eastAsia="Times New Roman" w:cs="Times New Roman"/>
      <w:sz w:val="24"/>
      <w:szCs w:val="24"/>
      <w:lang w:eastAsia="ru-RU"/>
    </w:rPr>
  </w:style>
  <w:style w:type="character" w:styleId="Style16">
    <w:name w:val="Основной текст_"/>
    <w:basedOn w:val="DefaultParagraphFont"/>
    <w:link w:val="22"/>
    <w:qFormat/>
    <w:rPr>
      <w:rFonts w:ascii="Times New Roman" w:hAnsi="Times New Roman" w:eastAsia="Times New Roman" w:cs="Times New Roman"/>
      <w:sz w:val="27"/>
      <w:szCs w:val="27"/>
      <w:shd w:fill="FFFFFF" w:val="clear"/>
    </w:rPr>
  </w:style>
  <w:style w:type="character" w:styleId="FontStyle24">
    <w:name w:val="Font Style24"/>
    <w:qFormat/>
    <w:rPr>
      <w:rFonts w:ascii="Times New Roman" w:hAnsi="Times New Roman" w:cs="Times New Roman"/>
      <w:sz w:val="26"/>
      <w:szCs w:val="26"/>
    </w:rPr>
  </w:style>
  <w:style w:type="character" w:styleId="CommentReference">
    <w:name w:val="annotation reference"/>
    <w:qFormat/>
    <w:rPr>
      <w:sz w:val="16"/>
      <w:szCs w:val="16"/>
    </w:rPr>
  </w:style>
  <w:style w:type="character" w:styleId="apple-converted-space">
    <w:name w:val="apple-converted-space"/>
    <w:basedOn w:val="DefaultParagraphFont"/>
    <w:qFormat/>
    <w:rPr/>
  </w:style>
  <w:style w:type="character" w:styleId="Hyperlink">
    <w:name w:val="Hyperlink"/>
    <w:basedOn w:val="DefaultParagraphFont"/>
    <w:rPr>
      <w:color w:themeColor="hyperlink" w:val="0000FF"/>
      <w:u w:val="single"/>
    </w:rPr>
  </w:style>
  <w:style w:type="character" w:styleId="Style17">
    <w:name w:val="Выделение"/>
    <w:qFormat/>
    <w:rPr>
      <w:i/>
      <w:iCs/>
    </w:rPr>
  </w:style>
  <w:style w:type="character" w:styleId="FollowedHyperlink">
    <w:name w:val="FollowedHyperlink"/>
    <w:basedOn w:val="DefaultParagraphFont"/>
    <w:rPr>
      <w:color w:val="800080"/>
      <w:u w:val="single"/>
    </w:rPr>
  </w:style>
  <w:style w:type="character" w:styleId="Style18">
    <w:name w:val="Текст примечания Знак"/>
    <w:basedOn w:val="DefaultParagraphFont"/>
    <w:qFormat/>
    <w:rPr>
      <w:rFonts w:ascii="Calibri" w:hAnsi="Calibri" w:eastAsia="Times New Roman" w:cs="Times New Roman"/>
      <w:sz w:val="20"/>
      <w:szCs w:val="20"/>
    </w:rPr>
  </w:style>
  <w:style w:type="character" w:styleId="Style19">
    <w:name w:val="Тема примечания Знак"/>
    <w:basedOn w:val="Style18"/>
    <w:link w:val="annotationsubject"/>
    <w:qFormat/>
    <w:rPr>
      <w:rFonts w:ascii="Calibri" w:hAnsi="Calibri" w:eastAsia="Times New Roman" w:cs="Times New Roman"/>
      <w:b/>
      <w:bCs/>
      <w:sz w:val="20"/>
      <w:szCs w:val="20"/>
    </w:rPr>
  </w:style>
  <w:style w:type="character" w:styleId="Style20">
    <w:name w:val="Основной текст с отступом Знак"/>
    <w:basedOn w:val="DefaultParagraphFont"/>
    <w:qFormat/>
    <w:rPr>
      <w:rFonts w:ascii="Times New Roman" w:hAnsi="Times New Roman" w:eastAsia="Times New Roman" w:cs="Times New Roman"/>
      <w:sz w:val="24"/>
      <w:szCs w:val="24"/>
      <w:lang w:eastAsia="ru-RU"/>
    </w:rPr>
  </w:style>
  <w:style w:type="character" w:styleId="31">
    <w:name w:val="Основной текст 3 Знак"/>
    <w:basedOn w:val="DefaultParagraphFont"/>
    <w:link w:val="BodyText3"/>
    <w:qFormat/>
    <w:rPr>
      <w:rFonts w:ascii="Calibri" w:hAnsi="Calibri" w:eastAsia="Times New Roman" w:cs="Times New Roman"/>
      <w:sz w:val="16"/>
      <w:szCs w:val="16"/>
    </w:rPr>
  </w:style>
  <w:style w:type="character" w:styleId="Strong">
    <w:name w:val="Strong"/>
    <w:basedOn w:val="DefaultParagraphFont"/>
    <w:qFormat/>
    <w:rPr>
      <w:rFonts w:ascii="Arial" w:hAnsi="Arial" w:cs="Arial"/>
      <w:b/>
      <w:bCs/>
      <w:color w:val="auto"/>
      <w:sz w:val="24"/>
      <w:szCs w:val="24"/>
    </w:rPr>
  </w:style>
  <w:style w:type="character" w:styleId="FontStyle27">
    <w:name w:val="Font Style27"/>
    <w:basedOn w:val="DefaultParagraphFont"/>
    <w:qFormat/>
    <w:rPr>
      <w:rFonts w:ascii="Tahoma" w:hAnsi="Tahoma" w:cs="Tahoma"/>
      <w:sz w:val="14"/>
      <w:szCs w:val="14"/>
    </w:rPr>
  </w:style>
  <w:style w:type="character" w:styleId="Style21">
    <w:name w:val="Дата Знак"/>
    <w:basedOn w:val="DefaultParagraphFont"/>
    <w:link w:val="Date"/>
    <w:qFormat/>
    <w:rPr>
      <w:rFonts w:ascii="Times New Roman" w:hAnsi="Times New Roman" w:eastAsia="Times New Roman" w:cs="Times New Roman"/>
      <w:sz w:val="24"/>
      <w:szCs w:val="24"/>
      <w:lang w:eastAsia="ru-RU"/>
    </w:rPr>
  </w:style>
  <w:style w:type="character" w:styleId="ListParagraphChar">
    <w:name w:val="List Paragraph Char"/>
    <w:link w:val="111"/>
    <w:qFormat/>
    <w:rPr>
      <w:rFonts w:ascii="Times New Roman" w:hAnsi="Times New Roman" w:eastAsia="Times New Roman" w:cs="Times New Roman"/>
      <w:sz w:val="24"/>
      <w:szCs w:val="24"/>
      <w:lang w:eastAsia="ru-RU"/>
    </w:rPr>
  </w:style>
  <w:style w:type="character" w:styleId="Style22">
    <w:name w:val="Текст сноски Знак"/>
    <w:basedOn w:val="DefaultParagraphFont"/>
    <w:qFormat/>
    <w:rPr>
      <w:rFonts w:ascii="Times New Roman" w:hAnsi="Times New Roman" w:eastAsia="Times New Roman" w:cs="Times New Roman"/>
      <w:sz w:val="20"/>
      <w:szCs w:val="20"/>
      <w:lang w:eastAsia="ru-RU"/>
    </w:rPr>
  </w:style>
  <w:style w:type="character" w:styleId="Style23">
    <w:name w:val="Символ сноски"/>
    <w:qFormat/>
    <w:rPr>
      <w:rFonts w:cs="Times New Roman"/>
      <w:vertAlign w:val="superscript"/>
    </w:rPr>
  </w:style>
  <w:style w:type="character" w:styleId="user">
    <w:name w:val="Символ сноски (user)"/>
    <w:qFormat/>
    <w:rPr>
      <w:rFonts w:cs="Times New Roman"/>
      <w:vertAlign w:val="superscript"/>
    </w:rPr>
  </w:style>
  <w:style w:type="character" w:styleId="FootnoteReference">
    <w:name w:val="footnote reference"/>
    <w:rPr>
      <w:rFonts w:cs="Times New Roman"/>
      <w:vertAlign w:val="superscript"/>
    </w:rPr>
  </w:style>
  <w:style w:type="character" w:styleId="FootnoteCharacters">
    <w:name w:val="Footnote Characters"/>
    <w:qFormat/>
    <w:rPr>
      <w:rFonts w:cs="Times New Roman"/>
      <w:vertAlign w:val="superscript"/>
    </w:rPr>
  </w:style>
  <w:style w:type="character" w:styleId="Style24">
    <w:name w:val="Символ концевой сноски"/>
    <w:qFormat/>
    <w:rPr>
      <w:vertAlign w:val="superscript"/>
    </w:rPr>
  </w:style>
  <w:style w:type="character" w:styleId="user1">
    <w:name w:val="Символ концевой сноски (user)"/>
    <w:qFormat/>
    <w:rPr>
      <w:vertAlign w:val="superscript"/>
    </w:rPr>
  </w:style>
  <w:style w:type="character" w:styleId="EndnoteReference">
    <w:name w:val="endnote reference"/>
    <w:rPr>
      <w:vertAlign w:val="superscript"/>
    </w:rPr>
  </w:style>
  <w:style w:type="character" w:styleId="EndnoteCharacters">
    <w:name w:val="Endnote Characters"/>
    <w:qFormat/>
    <w:rPr>
      <w:vertAlign w:val="superscript"/>
    </w:rPr>
  </w:style>
  <w:style w:type="character" w:styleId="Style25">
    <w:name w:val="Символ нумерации"/>
    <w:qFormat/>
    <w:rPr/>
  </w:style>
  <w:style w:type="character" w:styleId="Style26">
    <w:name w:val="Маркеры"/>
    <w:qFormat/>
    <w:rPr>
      <w:rFonts w:ascii="OpenSymbol" w:hAnsi="OpenSymbol" w:eastAsia="OpenSymbol" w:cs="OpenSymbol"/>
    </w:rPr>
  </w:style>
  <w:style w:type="character" w:styleId="linenumber1">
    <w:name w:val="line number1"/>
    <w:qFormat/>
    <w:rPr/>
  </w:style>
  <w:style w:type="character" w:styleId="linenumber2">
    <w:name w:val="line number2"/>
    <w:qFormat/>
    <w:rPr/>
  </w:style>
  <w:style w:type="character" w:styleId="WW8Num5z0">
    <w:name w:val="WW8Num5z0"/>
    <w:qFormat/>
    <w:rPr>
      <w:i w:val="false"/>
      <w:iCs w:val="false"/>
    </w:rPr>
  </w:style>
  <w:style w:type="character" w:styleId="WW8Num2z0">
    <w:name w:val="WW8Num2z0"/>
    <w:qFormat/>
    <w:rPr/>
  </w:style>
  <w:style w:type="character" w:styleId="LineNumber">
    <w:name w:val="line number"/>
    <w:rPr/>
  </w:style>
  <w:style w:type="character" w:styleId="user2">
    <w:name w:val="Маркеры (user)"/>
    <w:qFormat/>
    <w:rPr>
      <w:rFonts w:ascii="OpenSymbol" w:hAnsi="OpenSymbol" w:eastAsia="OpenSymbol" w:cs="OpenSymbol"/>
    </w:rPr>
  </w:style>
  <w:style w:type="paragraph" w:styleId="Style27">
    <w:name w:val="Заголовок"/>
    <w:basedOn w:val="Normal"/>
    <w:next w:val="BodyText"/>
    <w:qFormat/>
    <w:pPr>
      <w:keepNext w:val="true"/>
      <w:spacing w:before="240" w:after="120"/>
    </w:pPr>
    <w:rPr>
      <w:rFonts w:ascii="PT Astra Serif" w:hAnsi="PT Astra Serif" w:eastAsia="Tahoma" w:cs="Noto Sans Devanagari"/>
      <w:sz w:val="28"/>
      <w:szCs w:val="28"/>
    </w:rPr>
  </w:style>
  <w:style w:type="paragraph" w:styleId="BodyText">
    <w:name w:val="Body Text"/>
    <w:basedOn w:val="Normal"/>
    <w:link w:val="11"/>
    <w:pPr>
      <w:spacing w:lineRule="auto" w:line="240" w:before="0" w:after="120"/>
      <w:jc w:val="both"/>
    </w:pPr>
    <w:rPr>
      <w:rFonts w:ascii="Times New Roman" w:hAnsi="Times New Roman" w:eastAsia="Calibri"/>
      <w:sz w:val="24"/>
      <w:szCs w:val="20"/>
      <w:lang w:eastAsia="ru-RU"/>
    </w:rPr>
  </w:style>
  <w:style w:type="paragraph" w:styleId="List">
    <w:name w:val="List"/>
    <w:basedOn w:val="BodyText"/>
    <w:pPr/>
    <w:rPr>
      <w:rFonts w:ascii="PT Astra Serif" w:hAnsi="PT Astra Serif" w:cs="Noto Sans Devanagari"/>
    </w:rPr>
  </w:style>
  <w:style w:type="paragraph" w:styleId="Caption">
    <w:name w:val="caption"/>
    <w:basedOn w:val="Normal"/>
    <w:qFormat/>
    <w:pPr>
      <w:suppressLineNumbers/>
      <w:spacing w:before="120" w:after="120"/>
    </w:pPr>
    <w:rPr>
      <w:rFonts w:ascii="PT Astra Serif" w:hAnsi="PT Astra Serif" w:cs="Noto Sans Devanagari"/>
      <w:i/>
      <w:iCs/>
      <w:sz w:val="24"/>
      <w:szCs w:val="24"/>
    </w:rPr>
  </w:style>
  <w:style w:type="paragraph" w:styleId="Style28">
    <w:name w:val="Указатель"/>
    <w:basedOn w:val="Normal"/>
    <w:qFormat/>
    <w:pPr>
      <w:suppressLineNumbers/>
    </w:pPr>
    <w:rPr>
      <w:rFonts w:ascii="PT Astra Serif" w:hAnsi="PT Astra Serif" w:cs="Noto Sans Devanagari"/>
    </w:rPr>
  </w:style>
  <w:style w:type="paragraph" w:styleId="user3">
    <w:name w:val="Заголовок (user)"/>
    <w:basedOn w:val="Normal"/>
    <w:next w:val="BodyText"/>
    <w:qFormat/>
    <w:pPr>
      <w:keepNext w:val="true"/>
      <w:spacing w:before="240" w:after="120"/>
    </w:pPr>
    <w:rPr>
      <w:rFonts w:ascii="PT Astra Serif" w:hAnsi="PT Astra Serif" w:eastAsia="Tahoma" w:cs="Noto Sans Devanagari"/>
      <w:sz w:val="28"/>
      <w:szCs w:val="28"/>
    </w:rPr>
  </w:style>
  <w:style w:type="paragraph" w:styleId="user4">
    <w:name w:val="Указатель (user)"/>
    <w:basedOn w:val="Normal"/>
    <w:qFormat/>
    <w:pPr>
      <w:suppressLineNumbers/>
    </w:pPr>
    <w:rPr>
      <w:rFonts w:ascii="PT Astra Serif" w:hAnsi="PT Astra Serif" w:cs="Noto Sans Devanagari"/>
    </w:rPr>
  </w:style>
  <w:style w:type="paragraph" w:styleId="caption1">
    <w:name w:val="caption1"/>
    <w:basedOn w:val="Normal"/>
    <w:qFormat/>
    <w:pPr>
      <w:suppressLineNumbers/>
      <w:spacing w:before="120" w:after="120"/>
    </w:pPr>
    <w:rPr>
      <w:rFonts w:ascii="PT Astra Serif" w:hAnsi="PT Astra Serif" w:cs="Noto Sans Devanagari"/>
      <w:i/>
      <w:iCs/>
      <w:sz w:val="24"/>
      <w:szCs w:val="24"/>
    </w:rPr>
  </w:style>
  <w:style w:type="paragraph" w:styleId="caption11">
    <w:name w:val="caption11"/>
    <w:basedOn w:val="Normal"/>
    <w:qFormat/>
    <w:pPr>
      <w:suppressLineNumbers/>
      <w:spacing w:before="120" w:after="120"/>
    </w:pPr>
    <w:rPr>
      <w:rFonts w:ascii="PT Astra Serif" w:hAnsi="PT Astra Serif" w:cs="Noto Sans Devanagari"/>
      <w:i/>
      <w:iCs/>
      <w:sz w:val="24"/>
      <w:szCs w:val="24"/>
    </w:rPr>
  </w:style>
  <w:style w:type="paragraph" w:styleId="Title">
    <w:name w:val="Title"/>
    <w:basedOn w:val="Normal"/>
    <w:link w:val="Style9"/>
    <w:qFormat/>
    <w:pPr>
      <w:numPr>
        <w:ilvl w:val="0"/>
        <w:numId w:val="0"/>
      </w:numPr>
      <w:spacing w:lineRule="auto" w:line="240" w:before="240" w:after="60"/>
      <w:jc w:val="center"/>
      <w:outlineLvl w:val="0"/>
    </w:pPr>
    <w:rPr>
      <w:rFonts w:ascii="Arial" w:hAnsi="Arial" w:eastAsia="Calibri"/>
      <w:b/>
      <w:kern w:val="2"/>
      <w:sz w:val="32"/>
      <w:szCs w:val="20"/>
      <w:lang w:eastAsia="ru-RU"/>
    </w:rPr>
  </w:style>
  <w:style w:type="paragraph" w:styleId="BodyText2">
    <w:name w:val="Body Text 2"/>
    <w:basedOn w:val="Normal"/>
    <w:link w:val="21"/>
    <w:qFormat/>
    <w:pPr>
      <w:tabs>
        <w:tab w:val="clear" w:pos="708"/>
        <w:tab w:val="left" w:pos="2167" w:leader="none"/>
      </w:tabs>
      <w:spacing w:lineRule="auto" w:line="240" w:before="0" w:after="60"/>
      <w:ind w:hanging="567" w:left="2167"/>
      <w:jc w:val="both"/>
    </w:pPr>
    <w:rPr>
      <w:rFonts w:ascii="Times New Roman" w:hAnsi="Times New Roman" w:eastAsia="Calibri"/>
      <w:sz w:val="24"/>
      <w:szCs w:val="20"/>
      <w:lang w:eastAsia="ru-RU"/>
    </w:rPr>
  </w:style>
  <w:style w:type="paragraph" w:styleId="ListParagraph">
    <w:name w:val="List Paragraph"/>
    <w:basedOn w:val="Normal"/>
    <w:link w:val="Style11"/>
    <w:qFormat/>
    <w:pPr>
      <w:spacing w:lineRule="auto" w:line="240" w:before="0" w:after="60"/>
      <w:ind w:hanging="0" w:left="720"/>
      <w:contextualSpacing/>
      <w:jc w:val="both"/>
    </w:pPr>
    <w:rPr>
      <w:rFonts w:ascii="Times New Roman" w:hAnsi="Times New Roman"/>
      <w:sz w:val="24"/>
      <w:szCs w:val="24"/>
      <w:lang w:eastAsia="ru-RU"/>
    </w:rPr>
  </w:style>
  <w:style w:type="paragraph" w:styleId="Style29">
    <w:name w:val="Колонтитул"/>
    <w:basedOn w:val="Normal"/>
    <w:qFormat/>
    <w:pPr/>
    <w:rPr/>
  </w:style>
  <w:style w:type="paragraph" w:styleId="Style30">
    <w:name w:val="Колонтитулы"/>
    <w:basedOn w:val="Normal"/>
    <w:qFormat/>
    <w:pPr/>
    <w:rPr/>
  </w:style>
  <w:style w:type="paragraph" w:styleId="user5">
    <w:name w:val="Колонтитулы (user)"/>
    <w:basedOn w:val="Normal"/>
    <w:qFormat/>
    <w:pPr/>
    <w:rPr/>
  </w:style>
  <w:style w:type="paragraph" w:styleId="Header">
    <w:name w:val="header"/>
    <w:basedOn w:val="Normal"/>
    <w:link w:val="Style12"/>
    <w:pPr>
      <w:tabs>
        <w:tab w:val="clear" w:pos="708"/>
        <w:tab w:val="center" w:pos="4677" w:leader="none"/>
        <w:tab w:val="right" w:pos="9355" w:leader="none"/>
      </w:tabs>
      <w:spacing w:lineRule="auto" w:line="240" w:before="0" w:after="0"/>
    </w:pPr>
    <w:rPr/>
  </w:style>
  <w:style w:type="paragraph" w:styleId="Footer">
    <w:name w:val="footer"/>
    <w:basedOn w:val="Normal"/>
    <w:link w:val="Style13"/>
    <w:pPr>
      <w:tabs>
        <w:tab w:val="clear" w:pos="708"/>
        <w:tab w:val="center" w:pos="4677" w:leader="none"/>
        <w:tab w:val="right" w:pos="9355" w:leader="none"/>
      </w:tabs>
      <w:spacing w:lineRule="auto" w:line="240" w:before="0" w:after="0"/>
    </w:pPr>
    <w:rPr/>
  </w:style>
  <w:style w:type="paragraph" w:styleId="12">
    <w:name w:val="Абзац списка1"/>
    <w:basedOn w:val="Normal"/>
    <w:qFormat/>
    <w:pPr>
      <w:ind w:hanging="0" w:left="720"/>
    </w:pPr>
    <w:rPr/>
  </w:style>
  <w:style w:type="paragraph" w:styleId="BalloonText">
    <w:name w:val="Balloon Text"/>
    <w:basedOn w:val="Normal"/>
    <w:link w:val="Style14"/>
    <w:qFormat/>
    <w:pPr>
      <w:spacing w:lineRule="auto" w:line="240" w:before="0" w:after="0"/>
    </w:pPr>
    <w:rPr>
      <w:rFonts w:ascii="Tahoma" w:hAnsi="Tahoma" w:cs="Tahoma"/>
      <w:sz w:val="16"/>
      <w:szCs w:val="16"/>
    </w:rPr>
  </w:style>
  <w:style w:type="paragraph" w:styleId="Subtitle">
    <w:name w:val="Subtitle"/>
    <w:basedOn w:val="Normal"/>
    <w:next w:val="Normal"/>
    <w:link w:val="Style15"/>
    <w:qFormat/>
    <w:pPr>
      <w:widowControl w:val="false"/>
      <w:numPr>
        <w:ilvl w:val="0"/>
        <w:numId w:val="0"/>
      </w:numPr>
      <w:spacing w:lineRule="auto" w:line="240" w:before="0" w:after="60"/>
      <w:jc w:val="center"/>
      <w:outlineLvl w:val="1"/>
    </w:pPr>
    <w:rPr>
      <w:rFonts w:ascii="Cambria" w:hAnsi="Cambria"/>
      <w:sz w:val="24"/>
      <w:szCs w:val="24"/>
      <w:lang w:eastAsia="ru-RU"/>
    </w:rPr>
  </w:style>
  <w:style w:type="paragraph" w:styleId="NoSpacing">
    <w:name w:val="No Spacing"/>
    <w:qFormat/>
    <w:pPr>
      <w:widowControl/>
      <w:suppressAutoHyphens w:val="true"/>
      <w:overflowPunct w:val="true"/>
      <w:bidi w:val="0"/>
      <w:spacing w:lineRule="auto" w:line="240" w:before="0" w:after="0"/>
      <w:jc w:val="left"/>
    </w:pPr>
    <w:rPr>
      <w:rFonts w:ascii="Calibri" w:hAnsi="Calibri" w:eastAsia="Times New Roman" w:cs="Times New Roman"/>
      <w:color w:val="auto"/>
      <w:kern w:val="0"/>
      <w:sz w:val="22"/>
      <w:szCs w:val="22"/>
      <w:lang w:val="ru-RU" w:eastAsia="en-US" w:bidi="ar-SA"/>
    </w:rPr>
  </w:style>
  <w:style w:type="paragraph" w:styleId="ConsPlusNonformat">
    <w:name w:val="ConsPlusNonformat"/>
    <w:qFormat/>
    <w:pPr>
      <w:widowControl w:val="false"/>
      <w:suppressAutoHyphens w:val="true"/>
      <w:overflowPunct w:val="true"/>
      <w:bidi w:val="0"/>
      <w:spacing w:lineRule="auto" w:line="240" w:before="0" w:after="0"/>
      <w:jc w:val="left"/>
    </w:pPr>
    <w:rPr>
      <w:rFonts w:ascii="Courier New" w:hAnsi="Courier New" w:eastAsia="Times New Roman" w:cs="Courier New"/>
      <w:color w:val="auto"/>
      <w:kern w:val="0"/>
      <w:sz w:val="20"/>
      <w:szCs w:val="20"/>
      <w:lang w:val="ru-RU" w:eastAsia="ru-RU" w:bidi="ar-SA"/>
    </w:rPr>
  </w:style>
  <w:style w:type="paragraph" w:styleId="22">
    <w:name w:val="Основной текст2"/>
    <w:basedOn w:val="Normal"/>
    <w:link w:val="Style16"/>
    <w:qFormat/>
    <w:pPr>
      <w:widowControl w:val="false"/>
      <w:shd w:val="clear" w:fill="FFFFFF"/>
      <w:spacing w:lineRule="atLeast" w:line="0" w:before="120" w:after="240"/>
      <w:ind w:hanging="500"/>
      <w:jc w:val="center"/>
    </w:pPr>
    <w:rPr>
      <w:rFonts w:ascii="Times New Roman" w:hAnsi="Times New Roman"/>
      <w:sz w:val="27"/>
      <w:szCs w:val="27"/>
    </w:rPr>
  </w:style>
  <w:style w:type="paragraph" w:styleId="Para2">
    <w:name w:val="Para 2"/>
    <w:basedOn w:val="Heading2"/>
    <w:qFormat/>
    <w:pPr>
      <w:keepNext w:val="false"/>
      <w:tabs>
        <w:tab w:val="clear" w:pos="708"/>
        <w:tab w:val="left" w:pos="1559" w:leader="none"/>
        <w:tab w:val="left" w:pos="2268" w:leader="none"/>
        <w:tab w:val="left" w:pos="2977" w:leader="none"/>
        <w:tab w:val="left" w:pos="3686" w:leader="none"/>
        <w:tab w:val="left" w:pos="4394" w:leader="none"/>
        <w:tab w:val="right" w:pos="8789" w:leader="none"/>
      </w:tabs>
      <w:spacing w:before="100" w:after="100"/>
    </w:pPr>
    <w:rPr>
      <w:rFonts w:ascii="Arial" w:hAnsi="Arial" w:eastAsia="Batang"/>
      <w:caps w:val="false"/>
      <w:smallCaps w:val="false"/>
      <w:sz w:val="20"/>
      <w:lang w:bidi="ru-RU"/>
    </w:rPr>
  </w:style>
  <w:style w:type="paragraph" w:styleId="ConsPlusNormal">
    <w:name w:val="ConsPlusNormal"/>
    <w:qFormat/>
    <w:pPr>
      <w:widowControl w:val="false"/>
      <w:suppressAutoHyphens w:val="true"/>
      <w:overflowPunct w:val="true"/>
      <w:bidi w:val="0"/>
      <w:spacing w:lineRule="auto" w:line="240" w:before="0" w:after="0"/>
      <w:ind w:firstLine="720"/>
      <w:jc w:val="left"/>
    </w:pPr>
    <w:rPr>
      <w:rFonts w:ascii="Arial" w:hAnsi="Arial" w:eastAsia="Times New Roman" w:cs="Arial"/>
      <w:color w:val="auto"/>
      <w:kern w:val="0"/>
      <w:sz w:val="20"/>
      <w:szCs w:val="20"/>
      <w:lang w:val="ru-RU" w:eastAsia="ru-RU" w:bidi="ar-SA"/>
    </w:rPr>
  </w:style>
  <w:style w:type="paragraph" w:styleId="xl76">
    <w:name w:val="xl76"/>
    <w:basedOn w:val="Normal"/>
    <w:qFormat/>
    <w:pPr>
      <w:pBdr>
        <w:bottom w:val="single" w:sz="8" w:space="0" w:color="000000"/>
      </w:pBdr>
      <w:shd w:val="clear" w:fill="FFFFFF"/>
      <w:spacing w:lineRule="auto" w:line="240" w:before="280" w:after="280"/>
      <w:jc w:val="center"/>
      <w:textAlignment w:val="center"/>
    </w:pPr>
    <w:rPr>
      <w:rFonts w:ascii="Times New Roman" w:hAnsi="Times New Roman"/>
      <w:sz w:val="20"/>
      <w:szCs w:val="20"/>
      <w:lang w:eastAsia="ru-RU"/>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center"/>
    </w:pPr>
    <w:rPr>
      <w:rFonts w:ascii="Times New Roman" w:hAnsi="Times New Roman"/>
      <w:color w:val="000000"/>
      <w:sz w:val="20"/>
      <w:szCs w:val="20"/>
      <w:lang w:eastAsia="ru-RU"/>
    </w:rPr>
  </w:style>
  <w:style w:type="paragraph" w:styleId="xl78">
    <w:name w:val="xl78"/>
    <w:basedOn w:val="Normal"/>
    <w:qFormat/>
    <w:pPr>
      <w:pBdr>
        <w:top w:val="single" w:sz="4" w:space="0" w:color="000000"/>
        <w:left w:val="single" w:sz="4" w:space="0" w:color="000000"/>
        <w:bottom w:val="single" w:sz="4" w:space="0" w:color="000000"/>
        <w:right w:val="single" w:sz="4" w:space="0" w:color="000000"/>
      </w:pBdr>
      <w:shd w:val="clear" w:fill="FFFFFF"/>
      <w:spacing w:lineRule="auto" w:line="240" w:before="280" w:after="280"/>
      <w:textAlignment w:val="center"/>
    </w:pPr>
    <w:rPr>
      <w:rFonts w:ascii="Times New Roman" w:hAnsi="Times New Roman"/>
      <w:sz w:val="20"/>
      <w:szCs w:val="20"/>
      <w:lang w:eastAsia="ru-RU"/>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hd w:val="clear" w:fill="FFFFFF"/>
      <w:spacing w:lineRule="auto" w:line="240" w:before="280" w:after="280"/>
      <w:jc w:val="center"/>
      <w:textAlignment w:val="center"/>
    </w:pPr>
    <w:rPr>
      <w:rFonts w:ascii="Times New Roman" w:hAnsi="Times New Roman"/>
      <w:sz w:val="20"/>
      <w:szCs w:val="20"/>
      <w:lang w:eastAsia="ru-RU"/>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lineRule="auto" w:line="240" w:before="280" w:after="280"/>
    </w:pPr>
    <w:rPr>
      <w:rFonts w:ascii="Times New Roman" w:hAnsi="Times New Roman"/>
      <w:sz w:val="24"/>
      <w:szCs w:val="24"/>
      <w:lang w:eastAsia="ru-RU"/>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center"/>
    </w:pPr>
    <w:rPr>
      <w:rFonts w:ascii="Arial" w:hAnsi="Arial" w:cs="Arial"/>
      <w:color w:val="000000"/>
      <w:sz w:val="20"/>
      <w:szCs w:val="20"/>
      <w:lang w:eastAsia="ru-RU"/>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center"/>
    </w:pPr>
    <w:rPr>
      <w:rFonts w:ascii="Arial" w:hAnsi="Arial" w:cs="Arial"/>
      <w:b/>
      <w:bCs/>
      <w:color w:val="000000"/>
      <w:sz w:val="20"/>
      <w:szCs w:val="20"/>
      <w:lang w:eastAsia="ru-RU"/>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center"/>
    </w:pPr>
    <w:rPr>
      <w:rFonts w:ascii="Arial" w:hAnsi="Arial" w:cs="Arial"/>
      <w:b/>
      <w:bCs/>
      <w:sz w:val="20"/>
      <w:szCs w:val="20"/>
      <w:lang w:eastAsia="ru-RU"/>
    </w:rPr>
  </w:style>
  <w:style w:type="paragraph" w:styleId="xl84">
    <w:name w:val="xl84"/>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center"/>
    </w:pPr>
    <w:rPr>
      <w:rFonts w:ascii="Arial" w:hAnsi="Arial" w:cs="Arial"/>
      <w:b/>
      <w:bCs/>
      <w:sz w:val="20"/>
      <w:szCs w:val="20"/>
      <w:lang w:eastAsia="ru-RU"/>
    </w:rPr>
  </w:style>
  <w:style w:type="paragraph" w:styleId="Style151">
    <w:name w:val="Style15"/>
    <w:basedOn w:val="Normal"/>
    <w:qFormat/>
    <w:pPr>
      <w:widowControl w:val="false"/>
      <w:spacing w:lineRule="auto" w:line="240" w:before="0" w:after="0"/>
    </w:pPr>
    <w:rPr>
      <w:rFonts w:ascii="Times New Roman" w:hAnsi="Times New Roman"/>
      <w:sz w:val="24"/>
      <w:szCs w:val="24"/>
      <w:lang w:eastAsia="ru-RU"/>
    </w:rPr>
  </w:style>
  <w:style w:type="paragraph" w:styleId="CommentText">
    <w:name w:val="annotation text"/>
    <w:basedOn w:val="Normal"/>
    <w:link w:val="Style18"/>
    <w:pPr>
      <w:spacing w:lineRule="auto" w:line="240"/>
    </w:pPr>
    <w:rPr>
      <w:sz w:val="20"/>
      <w:szCs w:val="20"/>
    </w:rPr>
  </w:style>
  <w:style w:type="paragraph" w:styleId="annotationsubject">
    <w:name w:val="annotation subject"/>
    <w:basedOn w:val="CommentText"/>
    <w:next w:val="CommentText"/>
    <w:link w:val="Style19"/>
    <w:qFormat/>
    <w:pPr/>
    <w:rPr>
      <w:b/>
      <w:bCs/>
    </w:rPr>
  </w:style>
  <w:style w:type="paragraph" w:styleId="BodyTextIndent">
    <w:name w:val="Body Text Indent"/>
    <w:basedOn w:val="Normal"/>
    <w:link w:val="Style20"/>
    <w:pPr>
      <w:spacing w:lineRule="auto" w:line="240" w:before="0" w:after="120"/>
      <w:ind w:hanging="0" w:left="283"/>
    </w:pPr>
    <w:rPr>
      <w:rFonts w:ascii="Times New Roman" w:hAnsi="Times New Roman"/>
      <w:sz w:val="24"/>
      <w:szCs w:val="24"/>
      <w:lang w:eastAsia="ru-RU"/>
    </w:rPr>
  </w:style>
  <w:style w:type="paragraph" w:styleId="BodyText3">
    <w:name w:val="Body Text 3"/>
    <w:basedOn w:val="Normal"/>
    <w:link w:val="31"/>
    <w:qFormat/>
    <w:pPr>
      <w:spacing w:before="0" w:after="120"/>
    </w:pPr>
    <w:rPr>
      <w:sz w:val="16"/>
      <w:szCs w:val="16"/>
    </w:rPr>
  </w:style>
  <w:style w:type="paragraph" w:styleId="Default">
    <w:name w:val="Default"/>
    <w:qFormat/>
    <w:pPr>
      <w:widowControl/>
      <w:suppressAutoHyphens w:val="true"/>
      <w:overflowPunct w:val="true"/>
      <w:bidi w:val="0"/>
      <w:spacing w:lineRule="auto" w:line="240" w:before="0" w:after="0"/>
      <w:jc w:val="left"/>
    </w:pPr>
    <w:rPr>
      <w:rFonts w:ascii="Times New Roman" w:hAnsi="Times New Roman" w:eastAsia="Calibri" w:cs="Times New Roman"/>
      <w:color w:val="000000"/>
      <w:kern w:val="0"/>
      <w:sz w:val="24"/>
      <w:szCs w:val="24"/>
      <w:lang w:val="ru-RU" w:eastAsia="ru-RU" w:bidi="ar-SA"/>
    </w:rPr>
  </w:style>
  <w:style w:type="paragraph" w:styleId="7">
    <w:name w:val="заголовок 7"/>
    <w:basedOn w:val="Normal"/>
    <w:next w:val="Normal"/>
    <w:qFormat/>
    <w:pPr>
      <w:keepNext w:val="true"/>
      <w:spacing w:lineRule="auto" w:line="360" w:before="120" w:after="0"/>
      <w:ind w:firstLine="720"/>
      <w:jc w:val="center"/>
    </w:pPr>
    <w:rPr>
      <w:rFonts w:ascii="Times New Roman" w:hAnsi="Times New Roman"/>
      <w:sz w:val="24"/>
      <w:szCs w:val="24"/>
      <w:lang w:eastAsia="ru-RU"/>
    </w:rPr>
  </w:style>
  <w:style w:type="paragraph" w:styleId="unknownstyle">
    <w:name w:val="unknown style"/>
    <w:qFormat/>
    <w:pPr>
      <w:widowControl w:val="false"/>
      <w:suppressAutoHyphens w:val="true"/>
      <w:overflowPunct w:val="true"/>
      <w:bidi w:val="0"/>
      <w:spacing w:lineRule="auto" w:line="240" w:before="0" w:after="0"/>
      <w:jc w:val="left"/>
    </w:pPr>
    <w:rPr>
      <w:rFonts w:ascii="Times New Roman" w:hAnsi="Times New Roman" w:eastAsia="BatangChe" w:cs="Times New Roman"/>
      <w:color w:val="000000"/>
      <w:kern w:val="2"/>
      <w:sz w:val="24"/>
      <w:szCs w:val="24"/>
      <w:lang w:val="en-US" w:eastAsia="ar-SA" w:bidi="ar-SA"/>
    </w:rPr>
  </w:style>
  <w:style w:type="paragraph" w:styleId="13">
    <w:name w:val="Заголовок1"/>
    <w:basedOn w:val="Title"/>
    <w:qFormat/>
    <w:pPr>
      <w:numPr>
        <w:ilvl w:val="0"/>
        <w:numId w:val="8"/>
      </w:numPr>
      <w:tabs>
        <w:tab w:val="clear" w:pos="708"/>
      </w:tabs>
      <w:ind w:hanging="0" w:left="0"/>
    </w:pPr>
    <w:rPr>
      <w:rFonts w:ascii="Times New Roman" w:hAnsi="Times New Roman" w:eastAsia="Times New Roman"/>
      <w:bCs/>
      <w:szCs w:val="32"/>
    </w:rPr>
  </w:style>
  <w:style w:type="paragraph" w:styleId="Date">
    <w:name w:val="Date"/>
    <w:basedOn w:val="Normal"/>
    <w:next w:val="Normal"/>
    <w:link w:val="Style21"/>
    <w:qFormat/>
    <w:pPr>
      <w:spacing w:lineRule="auto" w:line="240" w:before="0" w:after="0"/>
    </w:pPr>
    <w:rPr>
      <w:rFonts w:ascii="Times New Roman" w:hAnsi="Times New Roman"/>
      <w:sz w:val="24"/>
      <w:szCs w:val="24"/>
      <w:lang w:eastAsia="ru-RU"/>
    </w:rPr>
  </w:style>
  <w:style w:type="paragraph" w:styleId="xl65">
    <w:name w:val="xl65"/>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pPr>
    <w:rPr>
      <w:rFonts w:ascii="Times New Roman" w:hAnsi="Times New Roman"/>
      <w:sz w:val="24"/>
      <w:szCs w:val="24"/>
      <w:lang w:eastAsia="ru-RU"/>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lineRule="auto" w:line="240" w:before="280" w:after="280"/>
    </w:pPr>
    <w:rPr>
      <w:rFonts w:ascii="Times New Roman" w:hAnsi="Times New Roman"/>
      <w:sz w:val="24"/>
      <w:szCs w:val="24"/>
      <w:lang w:eastAsia="ru-RU"/>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right"/>
      <w:textAlignment w:val="top"/>
    </w:pPr>
    <w:rPr>
      <w:rFonts w:ascii="Times New Roman" w:hAnsi="Times New Roman"/>
      <w:sz w:val="24"/>
      <w:szCs w:val="24"/>
      <w:lang w:eastAsia="ru-RU"/>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pacing w:lineRule="auto" w:line="240" w:before="280" w:after="280"/>
      <w:textAlignment w:val="top"/>
    </w:pPr>
    <w:rPr>
      <w:rFonts w:ascii="Times New Roman" w:hAnsi="Times New Roman"/>
      <w:sz w:val="24"/>
      <w:szCs w:val="24"/>
      <w:lang w:eastAsia="ru-RU"/>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right"/>
      <w:textAlignment w:val="top"/>
    </w:pPr>
    <w:rPr>
      <w:rFonts w:ascii="Times New Roman" w:hAnsi="Times New Roman"/>
      <w:sz w:val="24"/>
      <w:szCs w:val="24"/>
      <w:lang w:eastAsia="ru-RU"/>
    </w:rPr>
  </w:style>
  <w:style w:type="paragraph" w:styleId="xl70">
    <w:name w:val="xl70"/>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right"/>
      <w:textAlignment w:val="top"/>
    </w:pPr>
    <w:rPr>
      <w:rFonts w:ascii="Times New Roman" w:hAnsi="Times New Roman"/>
      <w:sz w:val="24"/>
      <w:szCs w:val="24"/>
      <w:lang w:eastAsia="ru-RU"/>
    </w:rPr>
  </w:style>
  <w:style w:type="paragraph" w:styleId="Revision">
    <w:name w:val="Revision"/>
    <w:qFormat/>
    <w:pPr>
      <w:widowControl/>
      <w:suppressAutoHyphens w:val="true"/>
      <w:overflowPunct w:val="true"/>
      <w:bidi w:val="0"/>
      <w:spacing w:lineRule="auto" w:line="240" w:before="0" w:after="0"/>
      <w:jc w:val="left"/>
    </w:pPr>
    <w:rPr>
      <w:rFonts w:ascii="Times New Roman" w:hAnsi="Times New Roman" w:eastAsia="Times New Roman" w:cs="Times New Roman"/>
      <w:color w:val="auto"/>
      <w:kern w:val="0"/>
      <w:sz w:val="28"/>
      <w:szCs w:val="28"/>
      <w:lang w:val="ru-RU" w:eastAsia="ru-RU" w:bidi="ar-SA"/>
    </w:rPr>
  </w:style>
  <w:style w:type="paragraph" w:styleId="xl71">
    <w:name w:val="xl71"/>
    <w:basedOn w:val="Normal"/>
    <w:qFormat/>
    <w:pPr>
      <w:pBdr>
        <w:left w:val="single" w:sz="8" w:space="0" w:color="000000"/>
        <w:bottom w:val="single" w:sz="4" w:space="0" w:color="000000"/>
        <w:right w:val="single" w:sz="4" w:space="0" w:color="000000"/>
      </w:pBdr>
      <w:spacing w:lineRule="auto" w:line="240" w:before="280" w:after="280"/>
      <w:jc w:val="center"/>
      <w:textAlignment w:val="center"/>
    </w:pPr>
    <w:rPr>
      <w:rFonts w:ascii="Times New Roman" w:hAnsi="Times New Roman"/>
      <w:b/>
      <w:bCs/>
      <w:color w:val="000000"/>
      <w:sz w:val="24"/>
      <w:szCs w:val="24"/>
      <w:lang w:eastAsia="ru-RU"/>
    </w:rPr>
  </w:style>
  <w:style w:type="paragraph" w:styleId="xl72">
    <w:name w:val="xl72"/>
    <w:basedOn w:val="Normal"/>
    <w:qFormat/>
    <w:pPr>
      <w:pBdr>
        <w:left w:val="single" w:sz="4" w:space="0" w:color="000000"/>
        <w:bottom w:val="single" w:sz="4" w:space="0" w:color="000000"/>
        <w:right w:val="single" w:sz="4" w:space="0" w:color="000000"/>
      </w:pBdr>
      <w:spacing w:lineRule="auto" w:line="240" w:before="280" w:after="280"/>
      <w:jc w:val="center"/>
      <w:textAlignment w:val="center"/>
    </w:pPr>
    <w:rPr>
      <w:rFonts w:ascii="Times New Roman" w:hAnsi="Times New Roman"/>
      <w:b/>
      <w:bCs/>
      <w:color w:val="000000"/>
      <w:sz w:val="24"/>
      <w:szCs w:val="24"/>
      <w:lang w:eastAsia="ru-RU"/>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hd w:val="clear" w:fill="FFFFFF"/>
      <w:spacing w:lineRule="auto" w:line="240" w:before="280" w:after="280"/>
      <w:textAlignment w:val="top"/>
    </w:pPr>
    <w:rPr>
      <w:rFonts w:ascii="Times New Roman" w:hAnsi="Times New Roman"/>
      <w:sz w:val="24"/>
      <w:szCs w:val="24"/>
      <w:lang w:eastAsia="ru-RU"/>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hd w:val="clear" w:fill="FFFFFF"/>
      <w:spacing w:lineRule="auto" w:line="240" w:before="280" w:after="280"/>
      <w:jc w:val="center"/>
      <w:textAlignment w:val="top"/>
    </w:pPr>
    <w:rPr>
      <w:rFonts w:ascii="Times New Roman" w:hAnsi="Times New Roman"/>
      <w:sz w:val="24"/>
      <w:szCs w:val="24"/>
      <w:lang w:eastAsia="ru-RU"/>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85">
    <w:name w:val="xl85"/>
    <w:basedOn w:val="Normal"/>
    <w:qFormat/>
    <w:pPr>
      <w:pBdr>
        <w:left w:val="single" w:sz="4" w:space="0" w:color="000000"/>
        <w:bottom w:val="single" w:sz="4" w:space="0" w:color="000000"/>
        <w:right w:val="single" w:sz="4" w:space="0" w:color="000000"/>
      </w:pBdr>
      <w:shd w:val="clear" w:fill="FFFFFF"/>
      <w:spacing w:lineRule="auto" w:line="240" w:before="280" w:after="280"/>
      <w:jc w:val="center"/>
      <w:textAlignment w:val="top"/>
    </w:pPr>
    <w:rPr>
      <w:rFonts w:ascii="Times New Roman" w:hAnsi="Times New Roman"/>
      <w:sz w:val="24"/>
      <w:szCs w:val="24"/>
      <w:lang w:eastAsia="ru-RU"/>
    </w:rPr>
  </w:style>
  <w:style w:type="paragraph" w:styleId="xl86">
    <w:name w:val="xl86"/>
    <w:basedOn w:val="Normal"/>
    <w:qFormat/>
    <w:pPr>
      <w:pBdr>
        <w:left w:val="single" w:sz="4" w:space="0" w:color="000000"/>
        <w:bottom w:val="single" w:sz="4"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87">
    <w:name w:val="xl87"/>
    <w:basedOn w:val="Normal"/>
    <w:qFormat/>
    <w:pPr>
      <w:pBdr>
        <w:left w:val="single" w:sz="4" w:space="0" w:color="000000"/>
        <w:bottom w:val="single" w:sz="4"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88">
    <w:name w:val="xl88"/>
    <w:basedOn w:val="Normal"/>
    <w:qFormat/>
    <w:pPr>
      <w:pBdr>
        <w:left w:val="single" w:sz="4" w:space="0" w:color="000000"/>
        <w:bottom w:val="single" w:sz="4" w:space="0" w:color="000000"/>
        <w:right w:val="single" w:sz="8" w:space="0" w:color="000000"/>
      </w:pBdr>
      <w:spacing w:lineRule="auto" w:line="240" w:before="280" w:after="280"/>
      <w:jc w:val="center"/>
      <w:textAlignment w:val="center"/>
    </w:pPr>
    <w:rPr>
      <w:rFonts w:ascii="Times New Roman" w:hAnsi="Times New Roman"/>
      <w:sz w:val="24"/>
      <w:szCs w:val="24"/>
      <w:lang w:eastAsia="ru-RU"/>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hd w:val="clear" w:fill="FFFFFF"/>
      <w:spacing w:lineRule="auto" w:line="240" w:before="280" w:after="280"/>
      <w:jc w:val="center"/>
      <w:textAlignment w:val="center"/>
    </w:pPr>
    <w:rPr>
      <w:rFonts w:ascii="Times New Roman" w:hAnsi="Times New Roman"/>
      <w:b/>
      <w:bCs/>
      <w:color w:val="000000"/>
      <w:sz w:val="24"/>
      <w:szCs w:val="24"/>
      <w:lang w:eastAsia="ru-RU"/>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hd w:val="clear" w:fill="FFFFFF"/>
      <w:spacing w:lineRule="auto" w:line="240" w:before="280" w:after="280"/>
      <w:jc w:val="center"/>
      <w:textAlignment w:val="top"/>
    </w:pPr>
    <w:rPr>
      <w:rFonts w:ascii="Times New Roman" w:hAnsi="Times New Roman"/>
      <w:sz w:val="24"/>
      <w:szCs w:val="24"/>
      <w:lang w:eastAsia="ru-RU"/>
    </w:rPr>
  </w:style>
  <w:style w:type="paragraph" w:styleId="xl94">
    <w:name w:val="xl94"/>
    <w:basedOn w:val="Normal"/>
    <w:qFormat/>
    <w:pPr>
      <w:pBdr>
        <w:top w:val="single" w:sz="4" w:space="0" w:color="000000"/>
        <w:left w:val="single" w:sz="4" w:space="0" w:color="000000"/>
        <w:bottom w:val="single" w:sz="4" w:space="0" w:color="000000"/>
        <w:right w:val="single" w:sz="8" w:space="0" w:color="000000"/>
      </w:pBdr>
      <w:shd w:val="clear" w:fill="FFFFFF"/>
      <w:spacing w:lineRule="auto" w:line="240" w:before="280" w:after="280"/>
      <w:jc w:val="center"/>
      <w:textAlignment w:val="center"/>
    </w:pPr>
    <w:rPr>
      <w:rFonts w:ascii="Times New Roman" w:hAnsi="Times New Roman"/>
      <w:sz w:val="24"/>
      <w:szCs w:val="24"/>
      <w:lang w:eastAsia="ru-RU"/>
    </w:rPr>
  </w:style>
  <w:style w:type="paragraph" w:styleId="xl95">
    <w:name w:val="xl95"/>
    <w:basedOn w:val="Normal"/>
    <w:qFormat/>
    <w:pPr>
      <w:pBdr>
        <w:top w:val="single" w:sz="4" w:space="0" w:color="000000"/>
        <w:left w:val="single" w:sz="4" w:space="0" w:color="000000"/>
        <w:bottom w:val="single" w:sz="8" w:space="0" w:color="000000"/>
        <w:right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96">
    <w:name w:val="xl96"/>
    <w:basedOn w:val="Normal"/>
    <w:qFormat/>
    <w:pPr>
      <w:pBdr>
        <w:left w:val="single" w:sz="4" w:space="0" w:color="000000"/>
        <w:bottom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97">
    <w:name w:val="xl97"/>
    <w:basedOn w:val="Normal"/>
    <w:qFormat/>
    <w:pPr>
      <w:pBdr>
        <w:left w:val="single" w:sz="4" w:space="0" w:color="000000"/>
        <w:bottom w:val="single" w:sz="4" w:space="0" w:color="000000"/>
      </w:pBdr>
      <w:spacing w:lineRule="auto" w:line="240" w:before="280" w:after="280"/>
      <w:jc w:val="center"/>
      <w:textAlignment w:val="top"/>
    </w:pPr>
    <w:rPr>
      <w:rFonts w:ascii="Times New Roman" w:hAnsi="Times New Roman"/>
      <w:sz w:val="24"/>
      <w:szCs w:val="24"/>
      <w:lang w:eastAsia="ru-RU"/>
    </w:rPr>
  </w:style>
  <w:style w:type="paragraph" w:styleId="xl98">
    <w:name w:val="xl98"/>
    <w:basedOn w:val="Normal"/>
    <w:qFormat/>
    <w:pPr>
      <w:pBdr>
        <w:top w:val="single" w:sz="4" w:space="0" w:color="000000"/>
        <w:left w:val="single" w:sz="4" w:space="0" w:color="000000"/>
        <w:bottom w:val="single" w:sz="8" w:space="0" w:color="000000"/>
      </w:pBdr>
      <w:spacing w:lineRule="auto" w:line="240" w:before="280" w:after="280"/>
      <w:jc w:val="center"/>
      <w:textAlignment w:val="top"/>
    </w:pPr>
    <w:rPr>
      <w:rFonts w:ascii="Times New Roman" w:hAnsi="Times New Roman"/>
      <w:sz w:val="24"/>
      <w:szCs w:val="24"/>
      <w:lang w:eastAsia="ru-RU"/>
    </w:rPr>
  </w:style>
  <w:style w:type="paragraph" w:styleId="111">
    <w:name w:val="Абзац списка11"/>
    <w:basedOn w:val="Normal"/>
    <w:link w:val="ListParagraphChar"/>
    <w:qFormat/>
    <w:pPr>
      <w:spacing w:lineRule="auto" w:line="240" w:before="0" w:after="0"/>
      <w:ind w:hanging="0" w:left="708"/>
    </w:pPr>
    <w:rPr>
      <w:rFonts w:ascii="Times New Roman" w:hAnsi="Times New Roman"/>
      <w:sz w:val="24"/>
      <w:szCs w:val="24"/>
      <w:lang w:eastAsia="ru-RU"/>
    </w:rPr>
  </w:style>
  <w:style w:type="paragraph" w:styleId="FootnoteText">
    <w:name w:val="footnote text"/>
    <w:basedOn w:val="Normal"/>
    <w:link w:val="Style22"/>
    <w:pPr>
      <w:spacing w:lineRule="auto" w:line="240" w:before="0" w:after="0"/>
    </w:pPr>
    <w:rPr>
      <w:rFonts w:ascii="Times New Roman" w:hAnsi="Times New Roman"/>
      <w:sz w:val="20"/>
      <w:szCs w:val="20"/>
      <w:lang w:eastAsia="ru-RU"/>
    </w:rPr>
  </w:style>
  <w:style w:type="paragraph" w:styleId="EndnoteText">
    <w:name w:val="endnote text"/>
    <w:basedOn w:val="Normal"/>
    <w:pPr>
      <w:suppressLineNumbers/>
      <w:ind w:hanging="340" w:left="340"/>
    </w:pPr>
    <w:rPr>
      <w:sz w:val="20"/>
      <w:szCs w:val="20"/>
    </w:rPr>
  </w:style>
  <w:style w:type="paragraph" w:styleId="23">
    <w:name w:val="Основной текст 2"/>
    <w:basedOn w:val="Normal"/>
    <w:qFormat/>
    <w:pPr>
      <w:spacing w:lineRule="auto" w:line="240" w:before="0" w:after="60"/>
      <w:ind w:hanging="567" w:left="2167" w:right="0"/>
      <w:jc w:val="both"/>
    </w:pPr>
    <w:rPr>
      <w:rFonts w:ascii="Times New Roman" w:hAnsi="Times New Roman" w:eastAsia="Calibri" w:cs="Times New Roman"/>
      <w:sz w:val="24"/>
      <w:szCs w:val="20"/>
    </w:rPr>
  </w:style>
  <w:style w:type="paragraph" w:styleId="Style31">
    <w:name w:val="Содержимое таблицы"/>
    <w:basedOn w:val="Normal"/>
    <w:qFormat/>
    <w:pPr>
      <w:widowControl w:val="false"/>
      <w:suppressLineNumbers/>
    </w:pPr>
    <w:rPr/>
  </w:style>
  <w:style w:type="paragraph" w:styleId="Style32">
    <w:name w:val="Комментарий"/>
    <w:basedOn w:val="Normal"/>
    <w:qFormat/>
    <w:pPr>
      <w:spacing w:lineRule="auto" w:line="240" w:before="56" w:after="0"/>
      <w:ind w:hanging="0" w:left="57" w:right="57"/>
    </w:pPr>
    <w:rPr>
      <w:color w:val="auto"/>
      <w:sz w:val="20"/>
      <w:szCs w:val="20"/>
    </w:rPr>
  </w:style>
  <w:style w:type="paragraph" w:styleId="user6">
    <w:name w:val="Комментарий (user)"/>
    <w:basedOn w:val="Normal"/>
    <w:qFormat/>
    <w:pPr>
      <w:spacing w:lineRule="auto" w:line="240" w:before="56" w:after="0"/>
      <w:ind w:hanging="0" w:left="57" w:right="57"/>
    </w:pPr>
    <w:rPr>
      <w:color w:val="auto"/>
      <w:sz w:val="20"/>
      <w:szCs w:val="20"/>
    </w:rPr>
  </w:style>
  <w:style w:type="numbering" w:styleId="Style33">
    <w:name w:val="Без списка"/>
    <w:qFormat/>
  </w:style>
  <w:style w:type="numbering" w:styleId="14">
    <w:name w:val="Нет списка1"/>
    <w:qFormat/>
  </w:style>
  <w:style w:type="numbering" w:styleId="WW8Num5">
    <w:name w:val="WW8Num5"/>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sniip.ru" TargetMode="External"/><Relationship Id="rId3" Type="http://schemas.openxmlformats.org/officeDocument/2006/relationships/hyperlink" Target="mailto:info@sniip.ru" TargetMode="External"/><Relationship Id="rId4" Type="http://schemas.openxmlformats.org/officeDocument/2006/relationships/hyperlink" Target="mailto:info@sniip.ru" TargetMode="External"/><Relationship Id="rId5" Type="http://schemas.openxmlformats.org/officeDocument/2006/relationships/hyperlink" Target="mailto:benef@sniip.ru" TargetMode="External"/><Relationship Id="rId6" Type="http://schemas.openxmlformats.org/officeDocument/2006/relationships/hyperlink" Target="mailto:info@sniip.ru" TargetMode="External"/><Relationship Id="rId7" Type="http://schemas.openxmlformats.org/officeDocument/2006/relationships/hyperlink" Target="mailto:113@stalnnov.ru"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Manager>ANMeshkova@rosatom.ru</Manager>
  <TotalTime>2474</TotalTime>
  <Application>LibreOffice/25.2.6.2$Linux_X86_64 LibreOffice_project/520$Build-2</Application>
  <AppVersion>15.0000</AppVersion>
  <Pages>14</Pages>
  <Words>6769</Words>
  <Characters>48732</Characters>
  <CharactersWithSpaces>55936</CharactersWithSpaces>
  <Paragraphs>248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2022-09-20T08:22:00Z</dcterms:created>
  <dc:creator>TaPMeshkova@sniip.ru</dc:creator>
  <dc:description/>
  <dc:language>ru-RU</dc:language>
  <cp:lastModifiedBy/>
  <dcterms:modified xsi:type="dcterms:W3CDTF">2026-07-22T13:44:28Z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0x010100852D4B720744BF479477B9FD5A24E5FD</vt:lpwstr>
  </property>
</Properties>
</file>