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nsPlusNormal1"/>
        <w:widowControl/>
        <w:tabs>
          <w:tab w:val="clear" w:pos="708"/>
          <w:tab w:val="left" w:pos="-360" w:leader="none"/>
          <w:tab w:val="left" w:pos="540" w:leader="none"/>
        </w:tabs>
        <w:spacing w:before="120" w:after="120"/>
        <w:ind w:hanging="0"/>
        <w:jc w:val="center"/>
        <w:rPr>
          <w:rFonts w:ascii="Times New Roman" w:hAnsi="Times New Roman" w:cs="Times New Roman"/>
          <w:b/>
          <w:bCs/>
          <w:smallCaps/>
          <w:sz w:val="28"/>
          <w:szCs w:val="28"/>
        </w:rPr>
      </w:pPr>
      <w:r>
        <w:rPr>
          <w:rFonts w:cs="Times New Roman" w:ascii="Times New Roman" w:hAnsi="Times New Roman"/>
          <w:b/>
          <w:bCs/>
          <w:smallCaps/>
          <w:sz w:val="28"/>
          <w:szCs w:val="28"/>
        </w:rPr>
        <w:t xml:space="preserve">Требования к содержанию, составу заявки на участие в электронном аукционе и инструкция по ее заполнению </w:t>
      </w:r>
    </w:p>
    <w:p>
      <w:pPr>
        <w:pStyle w:val="ConsPlusNormal1"/>
        <w:widowControl/>
        <w:tabs>
          <w:tab w:val="clear" w:pos="708"/>
          <w:tab w:val="left" w:pos="-360" w:leader="none"/>
          <w:tab w:val="left" w:pos="540" w:leader="none"/>
        </w:tabs>
        <w:spacing w:before="120" w:after="120"/>
        <w:ind w:hanging="0"/>
        <w:jc w:val="center"/>
        <w:rPr>
          <w:rFonts w:ascii="Times New Roman" w:hAnsi="Times New Roman" w:cs="Times New Roman"/>
          <w:b/>
          <w:bCs/>
          <w:smallCaps/>
          <w:sz w:val="28"/>
          <w:szCs w:val="28"/>
        </w:rPr>
      </w:pPr>
      <w:r>
        <w:rPr>
          <w:rFonts w:cs="Times New Roman" w:ascii="Times New Roman" w:hAnsi="Times New Roman"/>
          <w:b/>
          <w:bCs/>
          <w:smallCaps/>
          <w:sz w:val="28"/>
          <w:szCs w:val="28"/>
        </w:rPr>
        <w:t>1.Требования к содержанию и составу заявки на участие в электронном аукционе, подаваемой участником закупки</w:t>
      </w:r>
    </w:p>
    <w:p>
      <w:pPr>
        <w:pStyle w:val="Normal"/>
        <w:tabs>
          <w:tab w:val="clear" w:pos="708"/>
          <w:tab w:val="left" w:pos="540" w:leader="none"/>
          <w:tab w:val="left" w:pos="3600" w:leader="none"/>
        </w:tabs>
        <w:ind w:hanging="567" w:left="567"/>
        <w:rPr/>
      </w:pPr>
      <w:r>
        <w:rPr/>
        <w:t>Заявка на участие в электронном аукционе должна содержать:</w:t>
      </w:r>
    </w:p>
    <w:p>
      <w:pPr>
        <w:pStyle w:val="Normal"/>
        <w:tabs>
          <w:tab w:val="clear" w:pos="708"/>
          <w:tab w:val="left" w:pos="540" w:leader="none"/>
          <w:tab w:val="left" w:pos="3600" w:leader="none"/>
        </w:tabs>
        <w:ind w:hanging="567" w:left="567"/>
        <w:rPr/>
      </w:pPr>
      <w:r>
        <w:rPr/>
        <w:t>1.1 Следующие документы и информацию об участнике закупки:</w:t>
      </w:r>
    </w:p>
    <w:tbl>
      <w:tblPr>
        <w:tblStyle w:val="af6"/>
        <w:tblW w:w="5000" w:type="pct"/>
        <w:jc w:val="left"/>
        <w:tblInd w:w="108" w:type="dxa"/>
        <w:tblLayout w:type="fixed"/>
        <w:tblCellMar>
          <w:top w:w="0" w:type="dxa"/>
          <w:left w:w="108" w:type="dxa"/>
          <w:bottom w:w="0" w:type="dxa"/>
          <w:right w:w="108" w:type="dxa"/>
        </w:tblCellMar>
        <w:tblLook w:val="04a0"/>
      </w:tblPr>
      <w:tblGrid>
        <w:gridCol w:w="1311"/>
        <w:gridCol w:w="4352"/>
        <w:gridCol w:w="4870"/>
        <w:gridCol w:w="2649"/>
      </w:tblGrid>
      <w:tr>
        <w:trPr/>
        <w:tc>
          <w:tcPr>
            <w:tcW w:w="1311" w:type="dxa"/>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t>Основание по закону № 44-ФЗ</w:t>
            </w:r>
          </w:p>
        </w:tc>
        <w:tc>
          <w:tcPr>
            <w:tcW w:w="9222" w:type="dxa"/>
            <w:gridSpan w:val="2"/>
            <w:tcBorders/>
          </w:tcPr>
          <w:p>
            <w:pPr>
              <w:pStyle w:val="Normal"/>
              <w:widowControl w:val="false"/>
              <w:tabs>
                <w:tab w:val="clear" w:pos="708"/>
                <w:tab w:val="left" w:pos="540" w:leader="none"/>
                <w:tab w:val="left" w:pos="3600" w:leader="none"/>
              </w:tabs>
              <w:suppressAutoHyphens w:val="true"/>
              <w:spacing w:before="0" w:after="60"/>
              <w:jc w:val="center"/>
              <w:rPr>
                <w:kern w:val="0"/>
                <w:sz w:val="22"/>
                <w:lang w:val="ru-RU" w:bidi="ar-SA"/>
              </w:rPr>
            </w:pPr>
            <w:r>
              <w:rPr>
                <w:kern w:val="0"/>
                <w:sz w:val="22"/>
                <w:lang w:val="ru-RU" w:bidi="ar-SA"/>
              </w:rPr>
              <w:t>Документы и информация</w:t>
            </w:r>
          </w:p>
        </w:tc>
        <w:tc>
          <w:tcPr>
            <w:tcW w:w="2649" w:type="dxa"/>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t>Порядок предоставления информации и документов</w:t>
            </w:r>
          </w:p>
        </w:tc>
      </w:tr>
      <w:tr>
        <w:trPr/>
        <w:tc>
          <w:tcPr>
            <w:tcW w:w="1311" w:type="dxa"/>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t>пп. «а» п. 1 ч.1 ст. 43 Закона № 44-ФЗ</w:t>
            </w:r>
          </w:p>
        </w:tc>
        <w:tc>
          <w:tcPr>
            <w:tcW w:w="9222" w:type="dxa"/>
            <w:gridSpan w:val="2"/>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c>
          <w:tcPr>
            <w:tcW w:w="2649" w:type="dxa"/>
            <w:vMerge w:val="restart"/>
            <w:tcBorders/>
          </w:tcPr>
          <w:p>
            <w:pPr>
              <w:pStyle w:val="Normal"/>
              <w:widowControl w:val="false"/>
              <w:suppressAutoHyphens w:val="true"/>
              <w:spacing w:before="0" w:after="60"/>
              <w:rPr>
                <w:kern w:val="0"/>
                <w:sz w:val="22"/>
                <w:lang w:val="ru-RU" w:bidi="ar-SA"/>
              </w:rPr>
            </w:pPr>
            <w:r>
              <w:rPr>
                <w:kern w:val="0"/>
                <w:sz w:val="22"/>
                <w:lang w:val="ru-RU" w:bidi="ar-SA"/>
              </w:rPr>
              <w:t>Указанные информация и документы, предусмотренные настоящими пунктами, не включаются участником закупки в заявку на участие в закупке. Такие информация и документы в случаях, предусмотренных Законом № 44-ФЗ, направляется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pPr>
              <w:pStyle w:val="Normal"/>
              <w:widowControl w:val="false"/>
              <w:suppressAutoHyphens w:val="true"/>
              <w:spacing w:before="0" w:after="60"/>
              <w:rPr>
                <w:kern w:val="0"/>
                <w:sz w:val="22"/>
                <w:lang w:val="ru-RU" w:bidi="ar-SA"/>
              </w:rPr>
            </w:pPr>
            <w:r>
              <w:rPr>
                <w:kern w:val="0"/>
                <w:sz w:val="22"/>
                <w:lang w:val="ru-RU" w:bidi="ar-SA"/>
              </w:rPr>
            </w:r>
          </w:p>
          <w:p>
            <w:pPr>
              <w:pStyle w:val="Normal"/>
              <w:widowControl w:val="false"/>
              <w:suppressAutoHyphens w:val="true"/>
              <w:spacing w:before="0" w:after="60"/>
              <w:jc w:val="left"/>
              <w:rPr>
                <w:kern w:val="0"/>
                <w:sz w:val="22"/>
                <w:lang w:val="ru-RU" w:bidi="ar-SA"/>
              </w:rPr>
            </w:pPr>
            <w:r>
              <w:rPr>
                <w:kern w:val="0"/>
                <w:sz w:val="22"/>
                <w:lang w:val="ru-RU" w:bidi="ar-SA"/>
              </w:rPr>
              <w:t>.</w:t>
            </w:r>
          </w:p>
        </w:tc>
      </w:tr>
      <w:tr>
        <w:trPr/>
        <w:tc>
          <w:tcPr>
            <w:tcW w:w="1311" w:type="dxa"/>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t>пп. «б» п. 1 ч.1 ст. 43 Закона № 44-ФЗ</w:t>
            </w:r>
          </w:p>
        </w:tc>
        <w:tc>
          <w:tcPr>
            <w:tcW w:w="9222" w:type="dxa"/>
            <w:gridSpan w:val="2"/>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c>
          <w:tcPr>
            <w:tcW w:w="2649" w:type="dxa"/>
            <w:vMerge w:val="continue"/>
            <w:tcBorders/>
          </w:tcPr>
          <w:p>
            <w:pPr>
              <w:pStyle w:val="Normal"/>
              <w:widowControl w:val="false"/>
              <w:suppressAutoHyphens w:val="true"/>
              <w:spacing w:before="0" w:after="60"/>
              <w:jc w:val="left"/>
              <w:rPr>
                <w:kern w:val="0"/>
                <w:sz w:val="22"/>
                <w:lang w:val="ru-RU" w:bidi="ar-SA"/>
              </w:rPr>
            </w:pPr>
            <w:r>
              <w:rPr>
                <w:kern w:val="0"/>
                <w:sz w:val="22"/>
                <w:lang w:val="ru-RU" w:bidi="ar-SA"/>
              </w:rPr>
            </w:r>
          </w:p>
        </w:tc>
      </w:tr>
      <w:tr>
        <w:trPr/>
        <w:tc>
          <w:tcPr>
            <w:tcW w:w="1311" w:type="dxa"/>
            <w:tcBorders/>
          </w:tcPr>
          <w:p>
            <w:pPr>
              <w:pStyle w:val="Normal"/>
              <w:widowControl w:val="false"/>
              <w:suppressAutoHyphens w:val="true"/>
              <w:spacing w:before="0" w:after="60"/>
              <w:rPr>
                <w:kern w:val="0"/>
                <w:sz w:val="22"/>
                <w:lang w:val="ru-RU" w:bidi="ar-SA"/>
              </w:rPr>
            </w:pPr>
            <w:r>
              <w:rPr>
                <w:kern w:val="0"/>
                <w:sz w:val="22"/>
                <w:lang w:val="ru-RU" w:bidi="ar-SA"/>
              </w:rPr>
              <w:t>пп. «в» п. 1 ч.1 ст. 43 Закона № 44</w:t>
            </w:r>
          </w:p>
        </w:tc>
        <w:tc>
          <w:tcPr>
            <w:tcW w:w="9222" w:type="dxa"/>
            <w:gridSpan w:val="2"/>
            <w:tcBorders/>
          </w:tcPr>
          <w:p>
            <w:pPr>
              <w:pStyle w:val="Normal"/>
              <w:widowControl w:val="false"/>
              <w:suppressAutoHyphens w:val="true"/>
              <w:spacing w:before="0" w:after="0"/>
              <w:rPr>
                <w:kern w:val="0"/>
                <w:sz w:val="22"/>
                <w:lang w:val="ru-RU" w:bidi="ar-SA"/>
              </w:rPr>
            </w:pPr>
            <w:r>
              <w:rPr>
                <w:kern w:val="0"/>
                <w:sz w:val="22"/>
                <w:lang w:val="ru-RU" w:bidi="ar-SA"/>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2649" w:type="dxa"/>
            <w:vMerge w:val="continue"/>
            <w:tcBorders/>
          </w:tcPr>
          <w:p>
            <w:pPr>
              <w:pStyle w:val="Normal"/>
              <w:widowControl w:val="false"/>
              <w:suppressAutoHyphens w:val="true"/>
              <w:spacing w:before="0" w:after="60"/>
              <w:jc w:val="left"/>
              <w:rPr>
                <w:kern w:val="0"/>
                <w:sz w:val="22"/>
                <w:lang w:val="ru-RU" w:bidi="ar-SA"/>
              </w:rPr>
            </w:pPr>
            <w:r>
              <w:rPr>
                <w:kern w:val="0"/>
                <w:sz w:val="22"/>
                <w:lang w:val="ru-RU" w:bidi="ar-SA"/>
              </w:rPr>
            </w:r>
          </w:p>
        </w:tc>
      </w:tr>
      <w:tr>
        <w:trPr/>
        <w:tc>
          <w:tcPr>
            <w:tcW w:w="1311" w:type="dxa"/>
            <w:tcBorders/>
          </w:tcPr>
          <w:p>
            <w:pPr>
              <w:pStyle w:val="Normal"/>
              <w:widowControl w:val="false"/>
              <w:suppressAutoHyphens w:val="true"/>
              <w:spacing w:before="0" w:after="60"/>
              <w:rPr>
                <w:kern w:val="0"/>
                <w:sz w:val="22"/>
                <w:lang w:val="ru-RU" w:bidi="ar-SA"/>
              </w:rPr>
            </w:pPr>
            <w:r>
              <w:rPr>
                <w:kern w:val="0"/>
                <w:sz w:val="22"/>
                <w:lang w:val="ru-RU" w:bidi="ar-SA"/>
              </w:rPr>
              <w:t>пп. «г» п. 1 ч.1 ст. 43 Закона № 44</w:t>
            </w:r>
          </w:p>
        </w:tc>
        <w:tc>
          <w:tcPr>
            <w:tcW w:w="9222" w:type="dxa"/>
            <w:gridSpan w:val="2"/>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c>
          <w:tcPr>
            <w:tcW w:w="2649" w:type="dxa"/>
            <w:vMerge w:val="continue"/>
            <w:tcBorders/>
          </w:tcPr>
          <w:p>
            <w:pPr>
              <w:pStyle w:val="Normal"/>
              <w:widowControl w:val="false"/>
              <w:suppressAutoHyphens w:val="true"/>
              <w:spacing w:before="0" w:after="60"/>
              <w:jc w:val="left"/>
              <w:rPr>
                <w:kern w:val="0"/>
                <w:sz w:val="22"/>
                <w:lang w:val="ru-RU" w:bidi="ar-SA"/>
              </w:rPr>
            </w:pPr>
            <w:r>
              <w:rPr>
                <w:kern w:val="0"/>
                <w:sz w:val="22"/>
                <w:lang w:val="ru-RU" w:bidi="ar-SA"/>
              </w:rPr>
            </w:r>
          </w:p>
        </w:tc>
      </w:tr>
      <w:tr>
        <w:trPr/>
        <w:tc>
          <w:tcPr>
            <w:tcW w:w="1311" w:type="dxa"/>
            <w:tcBorders/>
          </w:tcPr>
          <w:p>
            <w:pPr>
              <w:pStyle w:val="Normal"/>
              <w:widowControl w:val="false"/>
              <w:suppressAutoHyphens w:val="true"/>
              <w:spacing w:before="0" w:after="60"/>
              <w:rPr>
                <w:kern w:val="0"/>
                <w:sz w:val="22"/>
                <w:lang w:val="ru-RU" w:bidi="ar-SA"/>
              </w:rPr>
            </w:pPr>
            <w:r>
              <w:rPr>
                <w:kern w:val="0"/>
                <w:sz w:val="22"/>
                <w:lang w:val="ru-RU" w:bidi="ar-SA"/>
              </w:rPr>
              <w:t>пп. «д» п. 1 ч.1 ст. 43 Закона № 44</w:t>
            </w:r>
          </w:p>
        </w:tc>
        <w:tc>
          <w:tcPr>
            <w:tcW w:w="9222" w:type="dxa"/>
            <w:gridSpan w:val="2"/>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c>
          <w:tcPr>
            <w:tcW w:w="2649" w:type="dxa"/>
            <w:vMerge w:val="continue"/>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r>
          </w:p>
        </w:tc>
      </w:tr>
      <w:tr>
        <w:trPr/>
        <w:tc>
          <w:tcPr>
            <w:tcW w:w="1311" w:type="dxa"/>
            <w:tcBorders/>
          </w:tcPr>
          <w:p>
            <w:pPr>
              <w:pStyle w:val="Normal"/>
              <w:widowControl w:val="false"/>
              <w:suppressAutoHyphens w:val="true"/>
              <w:spacing w:before="0" w:after="60"/>
              <w:rPr>
                <w:kern w:val="0"/>
                <w:sz w:val="22"/>
                <w:lang w:val="ru-RU" w:bidi="ar-SA"/>
              </w:rPr>
            </w:pPr>
            <w:r>
              <w:rPr>
                <w:kern w:val="0"/>
                <w:sz w:val="22"/>
                <w:lang w:val="ru-RU" w:bidi="ar-SA"/>
              </w:rPr>
              <w:t>пп. «е» п. 1 ч.1 ст. 43 Закона № 44</w:t>
            </w:r>
          </w:p>
        </w:tc>
        <w:tc>
          <w:tcPr>
            <w:tcW w:w="9222" w:type="dxa"/>
            <w:gridSpan w:val="2"/>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c>
          <w:tcPr>
            <w:tcW w:w="2649" w:type="dxa"/>
            <w:vMerge w:val="continue"/>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r>
          </w:p>
        </w:tc>
      </w:tr>
      <w:tr>
        <w:trPr/>
        <w:tc>
          <w:tcPr>
            <w:tcW w:w="1311" w:type="dxa"/>
            <w:tcBorders/>
          </w:tcPr>
          <w:p>
            <w:pPr>
              <w:pStyle w:val="Normal"/>
              <w:widowControl w:val="false"/>
              <w:suppressAutoHyphens w:val="true"/>
              <w:spacing w:before="0" w:after="60"/>
              <w:rPr>
                <w:kern w:val="0"/>
                <w:sz w:val="22"/>
                <w:lang w:val="ru-RU" w:bidi="ar-SA"/>
              </w:rPr>
            </w:pPr>
            <w:r>
              <w:rPr>
                <w:kern w:val="0"/>
                <w:sz w:val="22"/>
                <w:lang w:val="ru-RU" w:bidi="ar-SA"/>
              </w:rPr>
              <w:t>пп. «ж» п. 1 ч.1 ст. 43 Закона № 44</w:t>
            </w:r>
          </w:p>
        </w:tc>
        <w:tc>
          <w:tcPr>
            <w:tcW w:w="9222" w:type="dxa"/>
            <w:gridSpan w:val="2"/>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 (далее –Выписка)</w:t>
            </w:r>
          </w:p>
        </w:tc>
        <w:tc>
          <w:tcPr>
            <w:tcW w:w="2649" w:type="dxa"/>
            <w:vMerge w:val="continue"/>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r>
          </w:p>
        </w:tc>
      </w:tr>
      <w:tr>
        <w:trPr>
          <w:trHeight w:val="701" w:hRule="atLeast"/>
        </w:trPr>
        <w:tc>
          <w:tcPr>
            <w:tcW w:w="1311" w:type="dxa"/>
            <w:tcBorders/>
          </w:tcPr>
          <w:p>
            <w:pPr>
              <w:pStyle w:val="Normal"/>
              <w:widowControl w:val="false"/>
              <w:suppressAutoHyphens w:val="true"/>
              <w:spacing w:before="0" w:after="60"/>
              <w:rPr>
                <w:kern w:val="0"/>
                <w:sz w:val="22"/>
                <w:lang w:val="ru-RU" w:bidi="ar-SA"/>
              </w:rPr>
            </w:pPr>
            <w:r>
              <w:rPr>
                <w:kern w:val="0"/>
                <w:sz w:val="22"/>
                <w:lang w:val="ru-RU" w:bidi="ar-SA"/>
              </w:rPr>
              <w:t>пп. «з» п. 1 ч.1 ст. 43 Закона № 44</w:t>
            </w:r>
          </w:p>
        </w:tc>
        <w:tc>
          <w:tcPr>
            <w:tcW w:w="9222" w:type="dxa"/>
            <w:gridSpan w:val="2"/>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c>
          <w:tcPr>
            <w:tcW w:w="2649" w:type="dxa"/>
            <w:vMerge w:val="continue"/>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r>
          </w:p>
        </w:tc>
      </w:tr>
      <w:tr>
        <w:trPr>
          <w:trHeight w:val="701" w:hRule="atLeast"/>
        </w:trPr>
        <w:tc>
          <w:tcPr>
            <w:tcW w:w="1311" w:type="dxa"/>
            <w:tcBorders/>
          </w:tcPr>
          <w:p>
            <w:pPr>
              <w:pStyle w:val="Normal"/>
              <w:widowControl w:val="false"/>
              <w:suppressAutoHyphens w:val="true"/>
              <w:spacing w:before="0" w:after="60"/>
              <w:rPr>
                <w:kern w:val="0"/>
                <w:sz w:val="22"/>
                <w:lang w:val="ru-RU" w:bidi="ar-SA"/>
              </w:rPr>
            </w:pPr>
            <w:r>
              <w:rPr>
                <w:kern w:val="0"/>
                <w:sz w:val="22"/>
                <w:lang w:val="ru-RU" w:bidi="ar-SA"/>
              </w:rPr>
              <w:t>пп. «и» п. 1 ч.1 ст. 43 Закона № 44</w:t>
            </w:r>
          </w:p>
        </w:tc>
        <w:tc>
          <w:tcPr>
            <w:tcW w:w="9222" w:type="dxa"/>
            <w:gridSpan w:val="2"/>
            <w:tcBorders/>
          </w:tcPr>
          <w:p>
            <w:pPr>
              <w:pStyle w:val="Normal"/>
              <w:widowControl w:val="false"/>
              <w:suppressAutoHyphens w:val="true"/>
              <w:spacing w:before="0" w:after="0"/>
              <w:ind w:hanging="4"/>
              <w:rPr>
                <w:kern w:val="0"/>
                <w:sz w:val="22"/>
                <w:lang w:val="ru-RU" w:bidi="ar-SA"/>
              </w:rPr>
            </w:pPr>
            <w:r>
              <w:rPr>
                <w:kern w:val="0"/>
                <w:sz w:val="22"/>
                <w:lang w:val="ru-RU" w:bidi="ar-SA"/>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p>
            <w:pPr>
              <w:pStyle w:val="Normal"/>
              <w:widowControl w:val="false"/>
              <w:tabs>
                <w:tab w:val="clear" w:pos="708"/>
                <w:tab w:val="left" w:pos="0" w:leader="none"/>
                <w:tab w:val="left" w:pos="3600" w:leader="none"/>
              </w:tabs>
              <w:suppressAutoHyphens w:val="true"/>
              <w:spacing w:before="0" w:after="60"/>
              <w:rPr>
                <w:kern w:val="0"/>
                <w:sz w:val="22"/>
                <w:lang w:val="ru-RU" w:bidi="ar-SA"/>
              </w:rPr>
            </w:pPr>
            <w:r>
              <w:rPr>
                <w:kern w:val="0"/>
                <w:sz w:val="22"/>
                <w:lang w:val="ru-RU" w:bidi="ar-SA"/>
              </w:rPr>
            </w:r>
          </w:p>
          <w:p>
            <w:pPr>
              <w:pStyle w:val="Normal"/>
              <w:widowControl w:val="false"/>
              <w:tabs>
                <w:tab w:val="clear" w:pos="708"/>
                <w:tab w:val="left" w:pos="0" w:leader="none"/>
                <w:tab w:val="left" w:pos="3600" w:leader="none"/>
              </w:tabs>
              <w:suppressAutoHyphens w:val="true"/>
              <w:spacing w:before="0" w:after="60"/>
              <w:rPr>
                <w:kern w:val="0"/>
                <w:sz w:val="22"/>
                <w:lang w:val="ru-RU" w:bidi="ar-SA"/>
              </w:rPr>
            </w:pPr>
            <w:r>
              <w:rPr>
                <w:kern w:val="0"/>
                <w:sz w:val="22"/>
                <w:lang w:val="ru-RU" w:bidi="ar-SA"/>
              </w:rPr>
            </w:r>
          </w:p>
        </w:tc>
        <w:tc>
          <w:tcPr>
            <w:tcW w:w="2649" w:type="dxa"/>
            <w:vMerge w:val="continue"/>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r>
          </w:p>
        </w:tc>
      </w:tr>
      <w:tr>
        <w:trPr/>
        <w:tc>
          <w:tcPr>
            <w:tcW w:w="1311" w:type="dxa"/>
            <w:tcBorders/>
          </w:tcPr>
          <w:p>
            <w:pPr>
              <w:pStyle w:val="Normal"/>
              <w:widowControl w:val="false"/>
              <w:suppressAutoHyphens w:val="true"/>
              <w:spacing w:before="0" w:after="60"/>
              <w:rPr>
                <w:kern w:val="0"/>
                <w:sz w:val="22"/>
                <w:lang w:val="ru-RU" w:bidi="ar-SA"/>
              </w:rPr>
            </w:pPr>
            <w:r>
              <w:rPr>
                <w:kern w:val="0"/>
                <w:sz w:val="22"/>
                <w:lang w:val="ru-RU" w:bidi="ar-SA"/>
              </w:rPr>
              <w:t>пп. «к» п. 1 ч.1 ст. 43 Закона № 44</w:t>
            </w:r>
          </w:p>
        </w:tc>
        <w:tc>
          <w:tcPr>
            <w:tcW w:w="9222" w:type="dxa"/>
            <w:gridSpan w:val="2"/>
            <w:tcBorders/>
          </w:tcPr>
          <w:p>
            <w:pPr>
              <w:pStyle w:val="Normal"/>
              <w:widowControl w:val="false"/>
              <w:tabs>
                <w:tab w:val="clear" w:pos="708"/>
                <w:tab w:val="left" w:pos="540" w:leader="none"/>
                <w:tab w:val="left" w:pos="3600" w:leader="none"/>
              </w:tabs>
              <w:suppressAutoHyphens w:val="true"/>
              <w:spacing w:before="0" w:after="60"/>
              <w:rPr>
                <w:sz w:val="22"/>
              </w:rPr>
            </w:pPr>
            <w:r>
              <w:rPr>
                <w:kern w:val="0"/>
                <w:sz w:val="22"/>
                <w:lang w:val="ru-RU" w:bidi="ar-SA"/>
              </w:rPr>
              <w:t xml:space="preserve">Декларация о принадлежности участника закупки к организации инвалидов, предусмотренной </w:t>
            </w:r>
            <w:hyperlink r:id="rId2">
              <w:r>
                <w:rPr>
                  <w:rFonts w:eastAsia="" w:eastAsiaTheme="majorEastAsia"/>
                  <w:color w:val="1A0DAB"/>
                  <w:kern w:val="0"/>
                  <w:sz w:val="22"/>
                  <w:lang w:val="ru-RU" w:bidi="ar-SA"/>
                </w:rPr>
                <w:t>частью 2 статьи 29</w:t>
              </w:r>
            </w:hyperlink>
            <w:r>
              <w:rPr>
                <w:kern w:val="0"/>
                <w:sz w:val="22"/>
                <w:lang w:val="ru-RU" w:bidi="ar-SA"/>
              </w:rPr>
              <w:t xml:space="preserve"> Закона № 44-ФЗ (если участник закупки является такой организацией)</w:t>
            </w:r>
          </w:p>
        </w:tc>
        <w:tc>
          <w:tcPr>
            <w:tcW w:w="2649" w:type="dxa"/>
            <w:vMerge w:val="continue"/>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r>
          </w:p>
        </w:tc>
      </w:tr>
      <w:tr>
        <w:trPr/>
        <w:tc>
          <w:tcPr>
            <w:tcW w:w="1311" w:type="dxa"/>
            <w:tcBorders/>
          </w:tcPr>
          <w:p>
            <w:pPr>
              <w:pStyle w:val="Normal"/>
              <w:widowControl w:val="false"/>
              <w:suppressAutoHyphens w:val="true"/>
              <w:spacing w:before="0" w:after="60"/>
              <w:rPr>
                <w:kern w:val="0"/>
                <w:sz w:val="22"/>
                <w:lang w:val="ru-RU" w:bidi="ar-SA"/>
              </w:rPr>
            </w:pPr>
            <w:r>
              <w:rPr>
                <w:kern w:val="0"/>
                <w:sz w:val="22"/>
                <w:lang w:val="ru-RU" w:bidi="ar-SA"/>
              </w:rPr>
              <w:t>пп. «л» п. 1 ч.1 ст. 43 Закона № 44</w:t>
            </w:r>
          </w:p>
        </w:tc>
        <w:tc>
          <w:tcPr>
            <w:tcW w:w="9222" w:type="dxa"/>
            <w:gridSpan w:val="2"/>
            <w:tcBorders/>
          </w:tcPr>
          <w:p>
            <w:pPr>
              <w:pStyle w:val="Normal"/>
              <w:widowControl w:val="false"/>
              <w:tabs>
                <w:tab w:val="clear" w:pos="708"/>
                <w:tab w:val="left" w:pos="540" w:leader="none"/>
                <w:tab w:val="left" w:pos="3600" w:leader="none"/>
              </w:tabs>
              <w:suppressAutoHyphens w:val="true"/>
              <w:spacing w:before="0" w:after="60"/>
              <w:rPr>
                <w:sz w:val="22"/>
              </w:rPr>
            </w:pPr>
            <w:r>
              <w:rPr>
                <w:kern w:val="0"/>
                <w:sz w:val="22"/>
                <w:lang w:val="ru-RU" w:bidi="ar-SA"/>
              </w:rPr>
              <w:t xml:space="preserve">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hyperlink r:id="rId3">
              <w:r>
                <w:rPr>
                  <w:rFonts w:eastAsia="" w:eastAsiaTheme="majorEastAsia"/>
                  <w:color w:val="1A0DAB"/>
                  <w:kern w:val="0"/>
                  <w:sz w:val="22"/>
                  <w:lang w:val="ru-RU" w:bidi="ar-SA"/>
                </w:rPr>
                <w:t>частью 3 статьи 30</w:t>
              </w:r>
            </w:hyperlink>
            <w:r>
              <w:rPr>
                <w:kern w:val="0"/>
                <w:sz w:val="22"/>
                <w:lang w:val="ru-RU" w:bidi="ar-SA"/>
              </w:rPr>
              <w:t xml:space="preserve"> Закона № 44-ФЗ</w:t>
            </w:r>
          </w:p>
        </w:tc>
        <w:tc>
          <w:tcPr>
            <w:tcW w:w="2649" w:type="dxa"/>
            <w:vMerge w:val="continue"/>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r>
          </w:p>
        </w:tc>
      </w:tr>
      <w:tr>
        <w:trPr/>
        <w:tc>
          <w:tcPr>
            <w:tcW w:w="1311" w:type="dxa"/>
            <w:tcBorders>
              <w:top w:val="nil"/>
            </w:tcBorders>
          </w:tcPr>
          <w:p>
            <w:pPr>
              <w:pStyle w:val="Normal"/>
              <w:widowControl w:val="false"/>
              <w:tabs>
                <w:tab w:val="clear" w:pos="708"/>
                <w:tab w:val="left" w:pos="540" w:leader="none"/>
                <w:tab w:val="left" w:pos="3600" w:leader="none"/>
              </w:tabs>
              <w:suppressAutoHyphens w:val="true"/>
              <w:spacing w:before="0" w:after="60"/>
              <w:rPr>
                <w:b/>
                <w:bCs/>
                <w:i/>
                <w:i/>
                <w:iCs/>
              </w:rPr>
            </w:pPr>
            <w:r>
              <w:rPr>
                <w:b/>
                <w:bCs/>
                <w:i/>
                <w:iCs/>
                <w:kern w:val="0"/>
                <w:sz w:val="22"/>
                <w:lang w:val="ru-RU" w:bidi="ar-SA"/>
              </w:rPr>
              <w:t>Основание по закону № 44-ФЗ</w:t>
            </w:r>
          </w:p>
        </w:tc>
        <w:tc>
          <w:tcPr>
            <w:tcW w:w="4352" w:type="dxa"/>
            <w:tcBorders>
              <w:top w:val="nil"/>
              <w:right w:val="nil"/>
            </w:tcBorders>
          </w:tcPr>
          <w:p>
            <w:pPr>
              <w:pStyle w:val="Normal"/>
              <w:widowControl w:val="false"/>
              <w:tabs>
                <w:tab w:val="clear" w:pos="708"/>
                <w:tab w:val="left" w:pos="540" w:leader="none"/>
                <w:tab w:val="left" w:pos="3600" w:leader="none"/>
              </w:tabs>
              <w:suppressAutoHyphens w:val="true"/>
              <w:spacing w:before="0" w:after="60"/>
              <w:rPr>
                <w:b/>
                <w:bCs/>
                <w:i/>
                <w:i/>
                <w:iCs/>
              </w:rPr>
            </w:pPr>
            <w:r>
              <w:rPr>
                <w:b/>
                <w:bCs/>
                <w:i/>
                <w:iCs/>
                <w:kern w:val="0"/>
                <w:sz w:val="22"/>
                <w:lang w:val="ru-RU" w:bidi="ar-SA"/>
              </w:rPr>
              <w:t>Документы и информация</w:t>
            </w:r>
          </w:p>
        </w:tc>
        <w:tc>
          <w:tcPr>
            <w:tcW w:w="4870" w:type="dxa"/>
            <w:tcBorders>
              <w:top w:val="nil"/>
            </w:tcBorders>
          </w:tcPr>
          <w:p>
            <w:pPr>
              <w:pStyle w:val="Normal"/>
              <w:widowControl w:val="false"/>
              <w:tabs>
                <w:tab w:val="clear" w:pos="708"/>
                <w:tab w:val="left" w:pos="0" w:leader="none"/>
                <w:tab w:val="left" w:pos="3600" w:leader="none"/>
              </w:tabs>
              <w:suppressAutoHyphens w:val="true"/>
              <w:spacing w:before="0" w:after="60"/>
              <w:rPr>
                <w:b/>
                <w:bCs/>
                <w:i/>
                <w:i/>
                <w:iCs/>
              </w:rPr>
            </w:pPr>
            <w:r>
              <w:rPr>
                <w:b/>
                <w:bCs/>
                <w:i/>
                <w:iCs/>
                <w:kern w:val="0"/>
                <w:sz w:val="22"/>
                <w:lang w:val="ru-RU" w:bidi="ar-SA"/>
              </w:rPr>
              <w:t>Требование к наличию документов и информации/ исчерпывающий перечень таких документов</w:t>
            </w:r>
          </w:p>
        </w:tc>
        <w:tc>
          <w:tcPr>
            <w:tcW w:w="2649" w:type="dxa"/>
            <w:tcBorders>
              <w:top w:val="nil"/>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r>
          </w:p>
        </w:tc>
      </w:tr>
      <w:tr>
        <w:trPr>
          <w:trHeight w:val="701" w:hRule="atLeast"/>
        </w:trPr>
        <w:tc>
          <w:tcPr>
            <w:tcW w:w="1311" w:type="dxa"/>
            <w:tcBorders/>
          </w:tcPr>
          <w:p>
            <w:pPr>
              <w:pStyle w:val="Normal"/>
              <w:widowControl w:val="false"/>
              <w:suppressAutoHyphens w:val="true"/>
              <w:spacing w:before="0" w:after="60"/>
              <w:rPr>
                <w:kern w:val="0"/>
                <w:sz w:val="22"/>
                <w:lang w:val="ru-RU" w:bidi="ar-SA"/>
              </w:rPr>
            </w:pPr>
            <w:r>
              <w:rPr>
                <w:kern w:val="0"/>
                <w:sz w:val="22"/>
                <w:lang w:val="ru-RU" w:bidi="ar-SA"/>
              </w:rPr>
              <w:t>пп. «м» п. 1 ч.1 ст. 43 Закона № 44</w:t>
            </w:r>
          </w:p>
        </w:tc>
        <w:tc>
          <w:tcPr>
            <w:tcW w:w="4352" w:type="dxa"/>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c>
          <w:tcPr>
            <w:tcW w:w="4870" w:type="dxa"/>
            <w:tcBorders/>
          </w:tcPr>
          <w:p>
            <w:pPr>
              <w:pStyle w:val="ListParagraph"/>
              <w:widowControl w:val="false"/>
              <w:tabs>
                <w:tab w:val="clear" w:pos="708"/>
                <w:tab w:val="left" w:pos="-2700" w:leader="none"/>
                <w:tab w:val="left" w:pos="-1800" w:leader="none"/>
                <w:tab w:val="left" w:pos="-360" w:leader="none"/>
                <w:tab w:val="left" w:pos="0" w:leader="none"/>
                <w:tab w:val="left" w:pos="142" w:leader="none"/>
                <w:tab w:val="left" w:pos="360" w:leader="none"/>
                <w:tab w:val="left" w:pos="851" w:leader="none"/>
                <w:tab w:val="left" w:pos="1134" w:leader="none"/>
                <w:tab w:val="left" w:pos="1418" w:leader="none"/>
                <w:tab w:val="left" w:pos="3600" w:leader="none"/>
              </w:tabs>
              <w:suppressAutoHyphens w:val="true"/>
              <w:spacing w:before="0" w:after="0"/>
              <w:ind w:hanging="0" w:left="0"/>
              <w:contextualSpacing/>
              <w:rPr>
                <w:kern w:val="0"/>
                <w:lang w:val="ru-RU" w:bidi="ar-SA"/>
              </w:rPr>
            </w:pPr>
            <w:r>
              <w:rPr>
                <w:kern w:val="0"/>
                <w:lang w:val="ru-RU" w:bidi="ar-SA"/>
              </w:rPr>
              <w:t>Требуется</w:t>
            </w:r>
          </w:p>
        </w:tc>
        <w:tc>
          <w:tcPr>
            <w:tcW w:w="2649" w:type="dxa"/>
            <w:tcBorders/>
          </w:tcPr>
          <w:p>
            <w:pPr>
              <w:pStyle w:val="Normal"/>
              <w:widowControl w:val="false"/>
              <w:suppressAutoHyphens w:val="true"/>
              <w:spacing w:before="0" w:after="60"/>
              <w:ind w:firstLine="34"/>
              <w:rPr>
                <w:kern w:val="0"/>
                <w:sz w:val="22"/>
                <w:lang w:val="ru-RU" w:bidi="ar-SA"/>
              </w:rPr>
            </w:pPr>
            <w:r>
              <w:rPr>
                <w:kern w:val="0"/>
                <w:sz w:val="22"/>
                <w:lang w:val="ru-RU" w:bidi="ar-SA"/>
              </w:rPr>
              <w:t xml:space="preserve"> </w:t>
            </w:r>
            <w:r>
              <w:rPr>
                <w:kern w:val="0"/>
                <w:sz w:val="22"/>
                <w:lang w:val="ru-RU" w:bidi="ar-SA"/>
              </w:rPr>
              <w:t xml:space="preserve">Указанные документы, предусмотренные настоящими пунктами, </w:t>
            </w:r>
            <w:r>
              <w:rPr>
                <w:b/>
                <w:i/>
                <w:kern w:val="0"/>
                <w:sz w:val="22"/>
                <w:lang w:val="ru-RU" w:bidi="ar-SA"/>
              </w:rPr>
              <w:t>включаются</w:t>
            </w:r>
            <w:r>
              <w:rPr>
                <w:kern w:val="0"/>
                <w:sz w:val="22"/>
                <w:lang w:val="ru-RU" w:bidi="ar-SA"/>
              </w:rPr>
              <w:t xml:space="preserve"> участником закупки в заявку на участие в закупке.</w:t>
            </w:r>
          </w:p>
        </w:tc>
      </w:tr>
      <w:tr>
        <w:trPr>
          <w:trHeight w:val="849" w:hRule="atLeast"/>
        </w:trPr>
        <w:tc>
          <w:tcPr>
            <w:tcW w:w="1311" w:type="dxa"/>
            <w:tcBorders/>
          </w:tcPr>
          <w:p>
            <w:pPr>
              <w:pStyle w:val="Normal"/>
              <w:widowControl w:val="false"/>
              <w:suppressAutoHyphens w:val="true"/>
              <w:spacing w:before="0" w:after="60"/>
              <w:rPr>
                <w:kern w:val="0"/>
                <w:sz w:val="22"/>
                <w:lang w:val="ru-RU" w:bidi="ar-SA"/>
              </w:rPr>
            </w:pPr>
            <w:r>
              <w:rPr>
                <w:kern w:val="0"/>
                <w:sz w:val="22"/>
                <w:lang w:val="ru-RU" w:bidi="ar-SA"/>
              </w:rPr>
              <w:t>пп. «н» п. 1 ч.1 ст. 43 Закона № 44</w:t>
            </w:r>
          </w:p>
        </w:tc>
        <w:tc>
          <w:tcPr>
            <w:tcW w:w="4352" w:type="dxa"/>
            <w:tcBorders/>
          </w:tcPr>
          <w:p>
            <w:pPr>
              <w:pStyle w:val="Normal"/>
              <w:widowControl w:val="false"/>
              <w:tabs>
                <w:tab w:val="clear" w:pos="708"/>
                <w:tab w:val="left" w:pos="540" w:leader="none"/>
                <w:tab w:val="left" w:pos="3600" w:leader="none"/>
              </w:tabs>
              <w:suppressAutoHyphens w:val="true"/>
              <w:spacing w:before="0" w:after="60"/>
              <w:ind w:firstLine="52"/>
              <w:rPr>
                <w:sz w:val="22"/>
              </w:rPr>
            </w:pPr>
            <w:r>
              <w:rPr>
                <w:kern w:val="0"/>
                <w:sz w:val="22"/>
                <w:lang w:val="ru-RU" w:bidi="ar-SA"/>
              </w:rPr>
              <w:t xml:space="preserve">Информация и документы, которые подтверждают соответствие участника закупки требованиям, установленным </w:t>
            </w:r>
            <w:hyperlink r:id="rId4">
              <w:r>
                <w:rPr>
                  <w:rFonts w:eastAsia="" w:eastAsiaTheme="majorEastAsia"/>
                  <w:color w:val="1A0DAB"/>
                  <w:kern w:val="0"/>
                  <w:sz w:val="22"/>
                  <w:lang w:val="ru-RU" w:bidi="ar-SA"/>
                </w:rPr>
                <w:t>пунктом 1 части 1 статьи 31</w:t>
              </w:r>
            </w:hyperlink>
            <w:r>
              <w:rPr>
                <w:kern w:val="0"/>
                <w:sz w:val="22"/>
                <w:lang w:val="ru-RU" w:bidi="ar-SA"/>
              </w:rPr>
              <w:t xml:space="preserve"> Закона № 44-ФЗ</w:t>
            </w:r>
          </w:p>
        </w:tc>
        <w:tc>
          <w:tcPr>
            <w:tcW w:w="4870" w:type="dxa"/>
            <w:tcBorders/>
          </w:tcPr>
          <w:p>
            <w:pPr>
              <w:pStyle w:val="Normal"/>
              <w:widowControl w:val="false"/>
              <w:suppressAutoHyphens w:val="true"/>
              <w:spacing w:before="0" w:after="0"/>
              <w:rPr>
                <w:b w:val="false"/>
                <w:bCs w:val="false"/>
                <w:sz w:val="22"/>
                <w:szCs w:val="24"/>
              </w:rPr>
            </w:pPr>
            <w:r>
              <w:rPr>
                <w:b w:val="false"/>
                <w:bCs w:val="false"/>
                <w:sz w:val="22"/>
                <w:szCs w:val="24"/>
              </w:rPr>
              <w:t>Н</w:t>
            </w:r>
            <w:r>
              <w:rPr>
                <w:b w:val="false"/>
                <w:bCs w:val="false"/>
                <w:color w:val="000000"/>
                <w:kern w:val="0"/>
                <w:sz w:val="22"/>
                <w:szCs w:val="24"/>
                <w:lang w:val="ru-RU" w:bidi="ar-SA"/>
              </w:rPr>
              <w:t>е требуется.</w:t>
            </w:r>
          </w:p>
        </w:tc>
        <w:tc>
          <w:tcPr>
            <w:tcW w:w="2649" w:type="dxa"/>
            <w:tcBorders/>
          </w:tcPr>
          <w:p>
            <w:pPr>
              <w:pStyle w:val="Normal"/>
              <w:widowControl w:val="false"/>
              <w:spacing w:before="0" w:after="60"/>
              <w:ind w:firstLine="720"/>
              <w:rPr>
                <w:rStyle w:val="Style16"/>
                <w:sz w:val="22"/>
              </w:rPr>
            </w:pPr>
            <w:r>
              <w:rPr>
                <w:sz w:val="22"/>
              </w:rPr>
            </w:r>
          </w:p>
        </w:tc>
      </w:tr>
      <w:tr>
        <w:trPr>
          <w:trHeight w:val="849" w:hRule="atLeast"/>
        </w:trPr>
        <w:tc>
          <w:tcPr>
            <w:tcW w:w="1311" w:type="dxa"/>
            <w:tcBorders/>
          </w:tcPr>
          <w:p>
            <w:pPr>
              <w:pStyle w:val="Normal"/>
              <w:widowControl w:val="false"/>
              <w:suppressAutoHyphens w:val="true"/>
              <w:spacing w:before="0" w:after="60"/>
              <w:rPr>
                <w:kern w:val="0"/>
                <w:sz w:val="22"/>
                <w:lang w:val="ru-RU" w:bidi="ar-SA"/>
              </w:rPr>
            </w:pPr>
            <w:r>
              <w:rPr>
                <w:kern w:val="0"/>
                <w:sz w:val="22"/>
                <w:lang w:val="ru-RU" w:bidi="ar-SA"/>
              </w:rPr>
              <w:t>пп. «н» п. 1 ч.1 ст. 43 Закона № 44</w:t>
            </w:r>
          </w:p>
        </w:tc>
        <w:tc>
          <w:tcPr>
            <w:tcW w:w="4352" w:type="dxa"/>
            <w:tcBorders/>
          </w:tcPr>
          <w:p>
            <w:pPr>
              <w:pStyle w:val="Normal"/>
              <w:widowControl w:val="false"/>
              <w:tabs>
                <w:tab w:val="clear" w:pos="708"/>
                <w:tab w:val="left" w:pos="540" w:leader="none"/>
                <w:tab w:val="left" w:pos="3600" w:leader="none"/>
              </w:tabs>
              <w:suppressAutoHyphens w:val="true"/>
              <w:spacing w:before="0" w:after="60"/>
              <w:rPr>
                <w:sz w:val="22"/>
              </w:rPr>
            </w:pPr>
            <w:r>
              <w:rPr>
                <w:kern w:val="0"/>
                <w:sz w:val="22"/>
                <w:lang w:val="ru-RU" w:bidi="ar-SA"/>
              </w:rPr>
              <w:t>И</w:t>
            </w:r>
            <w:r>
              <w:rPr>
                <w:color w:val="000000"/>
                <w:kern w:val="0"/>
                <w:sz w:val="22"/>
                <w:lang w:val="ru-RU" w:bidi="ar-SA"/>
              </w:rPr>
              <w:t xml:space="preserve">нформация и документы, </w:t>
            </w:r>
            <w:r>
              <w:rPr>
                <w:b w:val="false"/>
                <w:i w:val="false"/>
                <w:caps w:val="false"/>
                <w:smallCaps w:val="false"/>
                <w:color w:val="000000"/>
                <w:spacing w:val="0"/>
                <w:kern w:val="0"/>
                <w:sz w:val="22"/>
                <w:szCs w:val="22"/>
                <w:lang w:val="ru-RU" w:bidi="ar-SA"/>
              </w:rPr>
              <w:t>которые подтверждают со</w:t>
            </w:r>
            <w:r>
              <w:rPr>
                <w:kern w:val="0"/>
                <w:sz w:val="22"/>
                <w:lang w:val="ru-RU" w:bidi="ar-SA"/>
              </w:rPr>
              <w:t xml:space="preserve">ответствие участника закупки дополнительным требованиям, установленным в соответствии с </w:t>
            </w:r>
            <w:hyperlink r:id="rId5">
              <w:r>
                <w:rPr>
                  <w:rFonts w:eastAsia="" w:eastAsiaTheme="majorEastAsia"/>
                  <w:color w:val="1A0DAB"/>
                  <w:kern w:val="0"/>
                  <w:sz w:val="22"/>
                  <w:lang w:val="ru-RU" w:bidi="ar-SA"/>
                </w:rPr>
                <w:t>частями 2</w:t>
              </w:r>
            </w:hyperlink>
            <w:r>
              <w:rPr>
                <w:kern w:val="0"/>
                <w:sz w:val="22"/>
                <w:lang w:val="ru-RU" w:bidi="ar-SA"/>
              </w:rPr>
              <w:t xml:space="preserve"> и </w:t>
            </w:r>
            <w:hyperlink r:id="rId6">
              <w:r>
                <w:rPr>
                  <w:rFonts w:eastAsia="" w:eastAsiaTheme="majorEastAsia"/>
                  <w:color w:val="1A0DAB"/>
                  <w:kern w:val="0"/>
                  <w:sz w:val="22"/>
                  <w:lang w:val="ru-RU" w:bidi="ar-SA"/>
                </w:rPr>
                <w:t>2.1</w:t>
              </w:r>
            </w:hyperlink>
            <w:r>
              <w:rPr>
                <w:kern w:val="0"/>
                <w:sz w:val="22"/>
                <w:lang w:val="ru-RU" w:bidi="ar-SA"/>
              </w:rPr>
              <w:t xml:space="preserve"> (при наличии таких требований) статьи 31 Закона № 44-ФЗ, если иное не предусмотрено Законом № 44-ФЗ</w:t>
            </w:r>
          </w:p>
        </w:tc>
        <w:tc>
          <w:tcPr>
            <w:tcW w:w="4870" w:type="dxa"/>
            <w:tcBorders/>
          </w:tcPr>
          <w:p>
            <w:pPr>
              <w:pStyle w:val="ConsPlusNormal1"/>
              <w:widowControl w:val="false"/>
              <w:tabs>
                <w:tab w:val="clear" w:pos="708"/>
                <w:tab w:val="left" w:pos="0" w:leader="none"/>
              </w:tabs>
              <w:suppressAutoHyphens w:val="true"/>
              <w:spacing w:before="0" w:after="0"/>
              <w:ind w:hanging="0"/>
              <w:jc w:val="both"/>
              <w:rPr>
                <w:rFonts w:ascii="Times New Roman" w:hAnsi="Times New Roman" w:cs="Times New Roman"/>
                <w:i/>
                <w:i/>
                <w:color w:val="0070C0"/>
                <w:sz w:val="22"/>
                <w:szCs w:val="22"/>
              </w:rPr>
            </w:pPr>
            <w:r>
              <w:rPr>
                <w:rFonts w:cs="Times New Roman" w:ascii="Times New Roman" w:hAnsi="Times New Roman"/>
                <w:i/>
                <w:color w:val="0070C0"/>
                <w:kern w:val="0"/>
                <w:sz w:val="22"/>
                <w:szCs w:val="22"/>
                <w:lang w:val="ru-RU" w:bidi="ar-SA"/>
              </w:rPr>
              <w:t xml:space="preserve">Не требуется. </w:t>
            </w:r>
          </w:p>
        </w:tc>
        <w:tc>
          <w:tcPr>
            <w:tcW w:w="2649" w:type="dxa"/>
            <w:tcBorders/>
          </w:tcPr>
          <w:p>
            <w:pPr>
              <w:pStyle w:val="Normal"/>
              <w:widowControl w:val="false"/>
              <w:suppressAutoHyphens w:val="true"/>
              <w:spacing w:before="0" w:after="60"/>
              <w:rPr>
                <w:kern w:val="0"/>
                <w:sz w:val="22"/>
                <w:lang w:val="ru-RU" w:bidi="ar-SA"/>
              </w:rPr>
            </w:pPr>
            <w:r>
              <w:rPr>
                <w:kern w:val="0"/>
                <w:sz w:val="22"/>
                <w:lang w:val="ru-RU" w:bidi="ar-SA"/>
              </w:rPr>
              <w:t>И</w:t>
            </w:r>
            <w:r>
              <w:rPr>
                <w:color w:val="000000"/>
                <w:kern w:val="0"/>
                <w:sz w:val="22"/>
                <w:lang w:val="ru-RU" w:bidi="ar-SA"/>
              </w:rPr>
              <w:t xml:space="preserve">нформация и документы, </w:t>
            </w:r>
            <w:r>
              <w:rPr>
                <w:b w:val="false"/>
                <w:i w:val="false"/>
                <w:caps w:val="false"/>
                <w:smallCaps w:val="false"/>
                <w:color w:val="000000"/>
                <w:spacing w:val="0"/>
                <w:kern w:val="0"/>
                <w:sz w:val="22"/>
                <w:szCs w:val="22"/>
                <w:lang w:val="ru-RU" w:bidi="ar-SA"/>
              </w:rPr>
              <w:t>которые подтверждают соответствие участника закупки дополнительным требованиям,</w:t>
            </w:r>
            <w:r>
              <w:rPr>
                <w:color w:val="000000"/>
                <w:kern w:val="0"/>
                <w:sz w:val="22"/>
                <w:lang w:val="ru-RU" w:bidi="ar-SA"/>
              </w:rPr>
              <w:t xml:space="preserve"> установленны</w:t>
            </w:r>
            <w:r>
              <w:rPr>
                <w:kern w:val="0"/>
                <w:sz w:val="22"/>
                <w:lang w:val="ru-RU" w:bidi="ar-SA"/>
              </w:rPr>
              <w:t>м настоящим пунктом (при наличии таких требований), не включаются участником закупки в заявку на участие в закупке. Такие информация и документы в случаях, предусмотренных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trPr/>
        <w:tc>
          <w:tcPr>
            <w:tcW w:w="1311" w:type="dxa"/>
            <w:tcBorders/>
          </w:tcPr>
          <w:p>
            <w:pPr>
              <w:pStyle w:val="Normal"/>
              <w:widowControl w:val="false"/>
              <w:suppressAutoHyphens w:val="true"/>
              <w:spacing w:before="0" w:after="60"/>
              <w:rPr>
                <w:kern w:val="0"/>
                <w:sz w:val="22"/>
                <w:lang w:val="ru-RU" w:bidi="ar-SA"/>
              </w:rPr>
            </w:pPr>
            <w:r>
              <w:rPr>
                <w:kern w:val="0"/>
                <w:sz w:val="22"/>
                <w:lang w:val="ru-RU" w:bidi="ar-SA"/>
              </w:rPr>
              <w:t>пп. «о» п. 1 ч.1 ст. 43 Закона № 44</w:t>
            </w:r>
          </w:p>
        </w:tc>
        <w:tc>
          <w:tcPr>
            <w:tcW w:w="4352" w:type="dxa"/>
            <w:tcBorders/>
          </w:tcPr>
          <w:p>
            <w:pPr>
              <w:pStyle w:val="Normal"/>
              <w:widowControl w:val="false"/>
              <w:tabs>
                <w:tab w:val="clear" w:pos="708"/>
                <w:tab w:val="left" w:pos="540" w:leader="none"/>
                <w:tab w:val="left" w:pos="3600" w:leader="none"/>
              </w:tabs>
              <w:suppressAutoHyphens w:val="true"/>
              <w:spacing w:before="0" w:after="60"/>
              <w:rPr>
                <w:sz w:val="22"/>
              </w:rPr>
            </w:pPr>
            <w:r>
              <w:rPr>
                <w:kern w:val="0"/>
                <w:sz w:val="22"/>
                <w:lang w:val="ru-RU" w:bidi="ar-SA"/>
              </w:rPr>
              <w:t xml:space="preserve">Декларация о соответствии участника закупки требованиям, установленным </w:t>
            </w:r>
            <w:hyperlink r:id="rId7">
              <w:r>
                <w:rPr>
                  <w:rFonts w:eastAsia="" w:eastAsiaTheme="majorEastAsia"/>
                  <w:color w:val="1A0DAB"/>
                  <w:kern w:val="0"/>
                  <w:sz w:val="22"/>
                  <w:lang w:val="ru-RU" w:bidi="ar-SA"/>
                </w:rPr>
                <w:t>пунктами 3</w:t>
              </w:r>
            </w:hyperlink>
            <w:r>
              <w:rPr>
                <w:kern w:val="0"/>
                <w:sz w:val="22"/>
                <w:lang w:val="ru-RU" w:bidi="ar-SA"/>
              </w:rPr>
              <w:t xml:space="preserve"> - </w:t>
            </w:r>
            <w:hyperlink r:id="rId8">
              <w:r>
                <w:rPr>
                  <w:rFonts w:eastAsia="" w:eastAsiaTheme="majorEastAsia"/>
                  <w:color w:val="1A0DAB"/>
                  <w:kern w:val="0"/>
                  <w:sz w:val="22"/>
                  <w:lang w:val="ru-RU" w:bidi="ar-SA"/>
                </w:rPr>
                <w:t>5</w:t>
              </w:r>
            </w:hyperlink>
            <w:r>
              <w:rPr>
                <w:kern w:val="0"/>
                <w:sz w:val="22"/>
                <w:lang w:val="ru-RU" w:bidi="ar-SA"/>
              </w:rPr>
              <w:t xml:space="preserve">, </w:t>
            </w:r>
            <w:hyperlink r:id="rId9">
              <w:r>
                <w:rPr>
                  <w:rFonts w:eastAsia="" w:eastAsiaTheme="majorEastAsia"/>
                  <w:color w:val="1A0DAB"/>
                  <w:kern w:val="0"/>
                  <w:sz w:val="22"/>
                  <w:lang w:val="ru-RU" w:bidi="ar-SA"/>
                </w:rPr>
                <w:t>7</w:t>
              </w:r>
            </w:hyperlink>
            <w:r>
              <w:rPr>
                <w:kern w:val="0"/>
                <w:sz w:val="22"/>
                <w:lang w:val="ru-RU" w:bidi="ar-SA"/>
              </w:rPr>
              <w:t xml:space="preserve"> — 11 части 1 статьи 31 </w:t>
            </w:r>
            <w:hyperlink r:id="rId10">
              <w:r>
                <w:rPr>
                  <w:kern w:val="0"/>
                  <w:sz w:val="22"/>
                  <w:lang w:val="ru-RU" w:bidi="ar-SA"/>
                </w:rPr>
                <w:t xml:space="preserve"> Закона № 44-ФЗ</w:t>
              </w:r>
            </w:hyperlink>
          </w:p>
        </w:tc>
        <w:tc>
          <w:tcPr>
            <w:tcW w:w="4870" w:type="dxa"/>
            <w:tcBorders/>
          </w:tcPr>
          <w:p>
            <w:pPr>
              <w:pStyle w:val="ConsPlusNormal1"/>
              <w:widowControl w:val="false"/>
              <w:tabs>
                <w:tab w:val="clear" w:pos="708"/>
                <w:tab w:val="left" w:pos="0" w:leader="none"/>
              </w:tabs>
              <w:suppressAutoHyphens w:val="true"/>
              <w:spacing w:before="0" w:after="0"/>
              <w:ind w:hanging="0"/>
              <w:jc w:val="both"/>
              <w:rPr>
                <w:rFonts w:ascii="Times New Roman" w:hAnsi="Times New Roman" w:cs="Times New Roman"/>
                <w:sz w:val="22"/>
                <w:szCs w:val="22"/>
              </w:rPr>
            </w:pPr>
            <w:r>
              <w:rPr>
                <w:rFonts w:cs="Times New Roman" w:ascii="Times New Roman" w:hAnsi="Times New Roman"/>
                <w:kern w:val="0"/>
                <w:sz w:val="22"/>
                <w:szCs w:val="22"/>
                <w:lang w:val="ru-RU" w:bidi="ar-SA"/>
              </w:rPr>
              <w:t>Требуется.</w:t>
            </w:r>
          </w:p>
          <w:p>
            <w:pPr>
              <w:pStyle w:val="ConsPlusNormal1"/>
              <w:widowControl w:val="false"/>
              <w:tabs>
                <w:tab w:val="clear" w:pos="708"/>
                <w:tab w:val="left" w:pos="0" w:leader="none"/>
              </w:tabs>
              <w:suppressAutoHyphens w:val="true"/>
              <w:spacing w:before="0" w:after="0"/>
              <w:ind w:hanging="0"/>
              <w:jc w:val="both"/>
              <w:rPr>
                <w:rFonts w:ascii="Times New Roman" w:hAnsi="Times New Roman" w:cs="Times New Roman"/>
                <w:sz w:val="22"/>
                <w:szCs w:val="22"/>
              </w:rPr>
            </w:pPr>
            <w:r>
              <w:rPr>
                <w:rFonts w:cs="Times New Roman" w:ascii="Times New Roman" w:hAnsi="Times New Roman"/>
                <w:sz w:val="22"/>
                <w:szCs w:val="22"/>
              </w:rPr>
            </w:r>
          </w:p>
        </w:tc>
        <w:tc>
          <w:tcPr>
            <w:tcW w:w="2649" w:type="dxa"/>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t xml:space="preserve">Декларация о соответствии участника закупки требованиям, установленным </w:t>
            </w:r>
            <w:hyperlink r:id="rId11">
              <w:r>
                <w:rPr>
                  <w:rFonts w:eastAsia="" w:eastAsiaTheme="majorEastAsia"/>
                  <w:color w:val="1A0DAB"/>
                  <w:kern w:val="0"/>
                  <w:sz w:val="22"/>
                  <w:lang w:val="ru-RU" w:bidi="ar-SA"/>
                </w:rPr>
                <w:t>пунктами 3</w:t>
              </w:r>
            </w:hyperlink>
            <w:r>
              <w:rPr>
                <w:kern w:val="0"/>
                <w:sz w:val="22"/>
                <w:lang w:val="ru-RU" w:bidi="ar-SA"/>
              </w:rPr>
              <w:t xml:space="preserve"> - </w:t>
            </w:r>
            <w:hyperlink r:id="rId12">
              <w:r>
                <w:rPr>
                  <w:rFonts w:eastAsia="" w:eastAsiaTheme="majorEastAsia"/>
                  <w:color w:val="1A0DAB"/>
                  <w:kern w:val="0"/>
                  <w:sz w:val="22"/>
                  <w:lang w:val="ru-RU" w:bidi="ar-SA"/>
                </w:rPr>
                <w:t>5</w:t>
              </w:r>
            </w:hyperlink>
            <w:r>
              <w:rPr>
                <w:kern w:val="0"/>
                <w:sz w:val="22"/>
                <w:lang w:val="ru-RU" w:bidi="ar-SA"/>
              </w:rPr>
              <w:t xml:space="preserve">, </w:t>
            </w:r>
            <w:hyperlink r:id="rId13">
              <w:r>
                <w:rPr>
                  <w:rFonts w:eastAsia="" w:eastAsiaTheme="majorEastAsia"/>
                  <w:color w:val="1A0DAB"/>
                  <w:kern w:val="0"/>
                  <w:sz w:val="22"/>
                  <w:lang w:val="ru-RU" w:bidi="ar-SA"/>
                </w:rPr>
                <w:t>7</w:t>
              </w:r>
            </w:hyperlink>
            <w:r>
              <w:rPr>
                <w:kern w:val="0"/>
                <w:sz w:val="22"/>
                <w:lang w:val="ru-RU" w:bidi="ar-SA"/>
              </w:rPr>
              <w:t xml:space="preserve"> — 11 части 1 статьи 31 </w:t>
            </w:r>
            <w:hyperlink r:id="rId14">
              <w:r>
                <w:rPr>
                  <w:kern w:val="0"/>
                  <w:sz w:val="22"/>
                  <w:lang w:val="ru-RU" w:bidi="ar-SA"/>
                </w:rPr>
                <w:t xml:space="preserve"> Закона № 44-ФЗ</w:t>
              </w:r>
            </w:hyperlink>
            <w:r>
              <w:rPr>
                <w:kern w:val="0"/>
                <w:sz w:val="22"/>
                <w:lang w:val="ru-RU" w:bidi="ar-SA"/>
              </w:rPr>
              <w:t xml:space="preserve"> </w:t>
            </w:r>
            <w:r>
              <w:rPr>
                <w:b/>
                <w:kern w:val="0"/>
                <w:sz w:val="22"/>
                <w:lang w:val="ru-RU" w:bidi="ar-SA"/>
              </w:rPr>
              <w:t>включается</w:t>
            </w:r>
            <w:r>
              <w:rPr>
                <w:kern w:val="0"/>
                <w:sz w:val="22"/>
                <w:lang w:val="ru-RU" w:bidi="ar-SA"/>
              </w:rPr>
              <w:t xml:space="preserve"> участником закупки в заявку на участие в закупке.</w:t>
            </w:r>
          </w:p>
        </w:tc>
      </w:tr>
      <w:tr>
        <w:trPr>
          <w:trHeight w:val="2267" w:hRule="atLeast"/>
        </w:trPr>
        <w:tc>
          <w:tcPr>
            <w:tcW w:w="1311" w:type="dxa"/>
            <w:tcBorders/>
          </w:tcPr>
          <w:p>
            <w:pPr>
              <w:pStyle w:val="Normal"/>
              <w:widowControl w:val="false"/>
              <w:suppressAutoHyphens w:val="true"/>
              <w:spacing w:before="0" w:after="60"/>
              <w:rPr>
                <w:kern w:val="0"/>
                <w:sz w:val="22"/>
                <w:lang w:val="ru-RU" w:bidi="ar-SA"/>
              </w:rPr>
            </w:pPr>
            <w:r>
              <w:rPr>
                <w:kern w:val="0"/>
                <w:sz w:val="22"/>
                <w:lang w:val="ru-RU" w:bidi="ar-SA"/>
              </w:rPr>
              <w:t>пп. «п» п. 1 ч.1 ст. 43 Закона № 44</w:t>
            </w:r>
          </w:p>
        </w:tc>
        <w:tc>
          <w:tcPr>
            <w:tcW w:w="4352" w:type="dxa"/>
            <w:tcBorders/>
          </w:tcPr>
          <w:p>
            <w:pPr>
              <w:pStyle w:val="Normal"/>
              <w:widowControl w:val="false"/>
              <w:suppressAutoHyphens w:val="true"/>
              <w:spacing w:before="0" w:after="60"/>
              <w:ind w:hanging="4"/>
              <w:rPr>
                <w:kern w:val="0"/>
                <w:sz w:val="22"/>
                <w:lang w:val="ru-RU" w:bidi="ar-SA"/>
              </w:rPr>
            </w:pPr>
            <w:r>
              <w:rPr>
                <w:kern w:val="0"/>
                <w:sz w:val="22"/>
                <w:lang w:val="ru-RU" w:bidi="ar-SA"/>
              </w:rPr>
              <w:tab/>
              <w:t>Реквизиты счета участника закупки, на который в соответствии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c>
          <w:tcPr>
            <w:tcW w:w="4870" w:type="dxa"/>
            <w:tcBorders/>
          </w:tcPr>
          <w:p>
            <w:pPr>
              <w:pStyle w:val="ConsPlusNormal1"/>
              <w:widowControl w:val="false"/>
              <w:tabs>
                <w:tab w:val="clear" w:pos="708"/>
                <w:tab w:val="left" w:pos="0" w:leader="none"/>
              </w:tabs>
              <w:suppressAutoHyphens w:val="true"/>
              <w:spacing w:before="0" w:after="0"/>
              <w:ind w:hanging="0"/>
              <w:jc w:val="both"/>
              <w:rPr>
                <w:rFonts w:ascii="Times New Roman" w:hAnsi="Times New Roman" w:cs="Times New Roman"/>
                <w:i/>
                <w:i/>
                <w:color w:val="0070C0"/>
                <w:sz w:val="24"/>
                <w:szCs w:val="24"/>
              </w:rPr>
            </w:pPr>
            <w:r>
              <w:rPr>
                <w:rFonts w:cs="Times New Roman" w:ascii="Times New Roman" w:hAnsi="Times New Roman"/>
                <w:kern w:val="0"/>
                <w:sz w:val="22"/>
                <w:szCs w:val="22"/>
                <w:lang w:val="ru-RU" w:bidi="ar-SA"/>
              </w:rPr>
              <w:t>Требуется.</w:t>
            </w:r>
          </w:p>
        </w:tc>
        <w:tc>
          <w:tcPr>
            <w:tcW w:w="2649" w:type="dxa"/>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t xml:space="preserve">Указанные информация и документы, предусмотренные настоящими пунктами, </w:t>
            </w:r>
            <w:r>
              <w:rPr>
                <w:b/>
                <w:kern w:val="0"/>
                <w:sz w:val="22"/>
                <w:lang w:val="ru-RU" w:bidi="ar-SA"/>
              </w:rPr>
              <w:t>включаются</w:t>
            </w:r>
            <w:r>
              <w:rPr>
                <w:kern w:val="0"/>
                <w:sz w:val="22"/>
                <w:lang w:val="ru-RU" w:bidi="ar-SA"/>
              </w:rPr>
              <w:t xml:space="preserve"> участником закупки в заявку на участие в закупке.</w:t>
            </w:r>
          </w:p>
        </w:tc>
      </w:tr>
      <w:tr>
        <w:trPr>
          <w:trHeight w:val="2267" w:hRule="atLeast"/>
        </w:trPr>
        <w:tc>
          <w:tcPr>
            <w:tcW w:w="1311" w:type="dxa"/>
            <w:tcBorders>
              <w:top w:val="nil"/>
            </w:tcBorders>
          </w:tcPr>
          <w:p>
            <w:pPr>
              <w:pStyle w:val="Normal"/>
              <w:widowControl w:val="false"/>
              <w:suppressAutoHyphens w:val="true"/>
              <w:spacing w:before="0" w:after="60"/>
              <w:rPr>
                <w:kern w:val="0"/>
                <w:sz w:val="22"/>
                <w:lang w:val="ru-RU" w:bidi="ar-SA"/>
              </w:rPr>
            </w:pPr>
            <w:r>
              <w:rPr>
                <w:kern w:val="0"/>
                <w:sz w:val="22"/>
                <w:lang w:val="ru-RU" w:bidi="ar-SA"/>
              </w:rPr>
              <w:t>Часть 18 ст.44 Закона № 44</w:t>
            </w:r>
          </w:p>
        </w:tc>
        <w:tc>
          <w:tcPr>
            <w:tcW w:w="4352" w:type="dxa"/>
            <w:tcBorders>
              <w:top w:val="nil"/>
            </w:tcBorders>
          </w:tcPr>
          <w:p>
            <w:pPr>
              <w:pStyle w:val="Normal"/>
              <w:widowControl w:val="false"/>
              <w:suppressAutoHyphens w:val="true"/>
              <w:spacing w:before="0" w:after="60"/>
              <w:ind w:hanging="4"/>
              <w:rPr>
                <w:kern w:val="0"/>
                <w:sz w:val="22"/>
                <w:lang w:val="ru-RU" w:bidi="ar-SA"/>
              </w:rPr>
            </w:pPr>
            <w:r>
              <w:rPr>
                <w:kern w:val="0"/>
                <w:sz w:val="22"/>
                <w:lang w:val="ru-RU" w:bidi="ar-SA"/>
              </w:rPr>
              <w:t>Информация и документы, подтверждающие предоставление обеспечения заявки на участие в закупке, в форме электронных документов или форме электронных образов бумажных документов (если участником закупки является юридическое лицо, зарегистрированное на территории государства-члена Евразийского экономического союза, за исключением Российской Федерации, или физическое лицо, являющееся гражданином государства — члена Евразийского экономического союза, за исключением Российской Федерации, которым внесены денежные средства в качестве обеспечения заявки на участие в закупке)</w:t>
            </w:r>
          </w:p>
        </w:tc>
        <w:tc>
          <w:tcPr>
            <w:tcW w:w="4870" w:type="dxa"/>
            <w:tcBorders>
              <w:top w:val="nil"/>
            </w:tcBorders>
          </w:tcPr>
          <w:p>
            <w:pPr>
              <w:pStyle w:val="ConsPlusNormal1"/>
              <w:widowControl w:val="false"/>
              <w:tabs>
                <w:tab w:val="clear" w:pos="708"/>
                <w:tab w:val="left" w:pos="0" w:leader="none"/>
              </w:tabs>
              <w:suppressAutoHyphens w:val="true"/>
              <w:spacing w:before="0" w:after="0"/>
              <w:ind w:hanging="0"/>
              <w:jc w:val="both"/>
              <w:rPr>
                <w:rFonts w:ascii="Times New Roman" w:hAnsi="Times New Roman" w:cs="Times New Roman"/>
                <w:i/>
                <w:i/>
                <w:color w:val="0070C0"/>
                <w:sz w:val="24"/>
                <w:szCs w:val="24"/>
              </w:rPr>
            </w:pPr>
            <w:r>
              <w:rPr>
                <w:rFonts w:cs="Times New Roman" w:ascii="Times New Roman" w:hAnsi="Times New Roman"/>
                <w:i/>
                <w:color w:val="0070C0"/>
                <w:kern w:val="0"/>
                <w:sz w:val="24"/>
                <w:szCs w:val="24"/>
                <w:lang w:val="ru-RU" w:bidi="ar-SA"/>
              </w:rPr>
              <w:t>Требуется</w:t>
            </w:r>
          </w:p>
        </w:tc>
        <w:tc>
          <w:tcPr>
            <w:tcW w:w="2649" w:type="dxa"/>
            <w:tcBorders>
              <w:top w:val="nil"/>
            </w:tcBorders>
          </w:tcPr>
          <w:p>
            <w:pPr>
              <w:pStyle w:val="Normal"/>
              <w:widowControl w:val="false"/>
              <w:tabs>
                <w:tab w:val="clear" w:pos="708"/>
                <w:tab w:val="left" w:pos="540" w:leader="none"/>
                <w:tab w:val="left" w:pos="3600" w:leader="none"/>
              </w:tabs>
              <w:suppressAutoHyphens w:val="true"/>
              <w:spacing w:before="0" w:after="60"/>
              <w:rPr>
                <w:kern w:val="0"/>
                <w:sz w:val="22"/>
                <w:lang w:val="ru-RU" w:bidi="ar-SA"/>
              </w:rPr>
            </w:pPr>
            <w:r>
              <w:rPr>
                <w:kern w:val="0"/>
                <w:sz w:val="22"/>
                <w:lang w:val="ru-RU" w:bidi="ar-SA"/>
              </w:rPr>
              <w:t xml:space="preserve">Указанные информация и документы, предусмотренные настоящими пунктами, </w:t>
            </w:r>
            <w:r>
              <w:rPr>
                <w:b/>
                <w:kern w:val="0"/>
                <w:sz w:val="22"/>
                <w:lang w:val="ru-RU" w:bidi="ar-SA"/>
              </w:rPr>
              <w:t>включаются</w:t>
            </w:r>
            <w:r>
              <w:rPr>
                <w:kern w:val="0"/>
                <w:sz w:val="22"/>
                <w:lang w:val="ru-RU" w:bidi="ar-SA"/>
              </w:rPr>
              <w:t xml:space="preserve"> участником закупки в заявку на участие в закупке.</w:t>
            </w:r>
          </w:p>
        </w:tc>
      </w:tr>
    </w:tbl>
    <w:p>
      <w:pPr>
        <w:pStyle w:val="Normal"/>
        <w:tabs>
          <w:tab w:val="clear" w:pos="708"/>
          <w:tab w:val="left" w:pos="540" w:leader="none"/>
          <w:tab w:val="left" w:pos="3600" w:leader="none"/>
        </w:tabs>
        <w:ind w:hanging="567" w:left="567"/>
        <w:rPr/>
      </w:pPr>
      <w:r>
        <w:rPr/>
      </w:r>
    </w:p>
    <w:p>
      <w:pPr>
        <w:pStyle w:val="Normal"/>
        <w:ind w:firstLine="540"/>
        <w:rPr/>
      </w:pPr>
      <w:r>
        <w:rPr/>
        <w:t>1.2. Предложение участника закупки в отношении объекта закупки:</w:t>
      </w:r>
    </w:p>
    <w:p>
      <w:pPr>
        <w:pStyle w:val="Normal"/>
        <w:ind w:firstLine="540"/>
        <w:rPr/>
      </w:pPr>
      <w:r>
        <w:rPr/>
        <w:t xml:space="preserve">1) характеристики предлагаемого участником закупки товара, соответствующие показателям, установленным в разделе «Информация об объекте закупки» извещения в соответствии с </w:t>
      </w:r>
      <w:hyperlink r:id="rId15">
        <w:r>
          <w:rPr>
            <w:rFonts w:eastAsia="" w:eastAsiaTheme="majorEastAsia"/>
            <w:color w:val="1A0DAB"/>
          </w:rPr>
          <w:t>частью 2 статьи 33</w:t>
        </w:r>
      </w:hyperlink>
      <w:r>
        <w:rPr/>
        <w:t xml:space="preserve"> Закона № 44-ФЗ, товарный знак (при наличии у товара товарного знака) (под показателями понимаются значения характеристик раздела «Информация об объекте закупки» извещения об осуществлении закупки).</w:t>
      </w:r>
    </w:p>
    <w:p>
      <w:pPr>
        <w:pStyle w:val="Normal"/>
        <w:ind w:firstLine="540"/>
        <w:rPr/>
      </w:pPr>
      <w:r>
        <w:rPr/>
        <w:t>Информация, предусмотренная настоящим пунктом,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pPr>
        <w:pStyle w:val="Normal"/>
        <w:ind w:firstLine="540"/>
        <w:rPr>
          <w:i/>
          <w:i/>
          <w:color w:val="FF0000"/>
        </w:rPr>
      </w:pPr>
      <w:r>
        <w:rPr>
          <w:i/>
          <w:color w:val="FF0000"/>
        </w:rPr>
      </w:r>
    </w:p>
    <w:p>
      <w:pPr>
        <w:pStyle w:val="Normal"/>
        <w:ind w:firstLine="540"/>
        <w:rPr>
          <w:iCs/>
        </w:rPr>
      </w:pPr>
      <w:r>
        <w:rPr>
          <w:iCs/>
        </w:rPr>
        <w:t xml:space="preserve">2) </w:t>
      </w:r>
      <w:r>
        <w:rPr/>
        <w:t>наименование страны происхождения товара в соответствии с общероссийским классификатором, используемым для идентификации стран мира (постановление Госстандарта России от 14 декабря 2001 года № 529-ст «О принятии и введении в действие Общероссийского классификатора стран мира»)</w:t>
      </w:r>
      <w:r>
        <w:rPr>
          <w:iCs/>
        </w:rPr>
        <w:t xml:space="preserve">; </w:t>
      </w:r>
    </w:p>
    <w:p>
      <w:pPr>
        <w:pStyle w:val="Normal"/>
        <w:ind w:firstLine="540"/>
        <w:rPr>
          <w:iCs/>
        </w:rPr>
      </w:pPr>
      <w:r>
        <w:rPr>
          <w:iCs/>
        </w:rPr>
      </w:r>
    </w:p>
    <w:p>
      <w:pPr>
        <w:pStyle w:val="Normal"/>
        <w:ind w:firstLine="540"/>
        <w:rPr/>
      </w:pPr>
      <w:r>
        <w:rPr>
          <w:iCs/>
        </w:rPr>
        <w:t>3)</w:t>
      </w:r>
      <w:r>
        <w:rPr/>
        <w:t xml:space="preserve">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w:t>
      </w:r>
      <w:r>
        <w:rPr>
          <w:color w:val="000000"/>
        </w:rPr>
        <w:t xml:space="preserve">новлены требования к товару, работе или услуге и представление указанных документов предусмотрено извещением об осуществлении закупки). </w:t>
      </w:r>
    </w:p>
    <w:p>
      <w:pPr>
        <w:pStyle w:val="Normal"/>
        <w:tabs>
          <w:tab w:val="clear" w:pos="708"/>
          <w:tab w:val="left" w:pos="-2700" w:leader="none"/>
          <w:tab w:val="left" w:pos="-1800" w:leader="none"/>
          <w:tab w:val="left" w:pos="540" w:leader="none"/>
          <w:tab w:val="left" w:pos="851" w:leader="none"/>
          <w:tab w:val="left" w:pos="1134" w:leader="none"/>
          <w:tab w:val="left" w:pos="1418" w:leader="none"/>
        </w:tabs>
        <w:spacing w:before="0" w:after="0"/>
        <w:ind w:hanging="0" w:left="567"/>
        <w:rPr>
          <w:color w:val="000000"/>
        </w:rPr>
      </w:pPr>
      <w:r>
        <w:rPr>
          <w:i/>
          <w:color w:val="000000"/>
        </w:rPr>
        <w:t>Предоставление не требуется.</w:t>
      </w:r>
    </w:p>
    <w:p>
      <w:pPr>
        <w:pStyle w:val="Normal"/>
        <w:ind w:firstLine="540"/>
        <w:rPr>
          <w:color w:val="000000"/>
        </w:rPr>
      </w:pPr>
      <w:r>
        <w:rPr>
          <w:color w:val="000000"/>
        </w:rPr>
        <w:t>Заявка на участие в электронном аукционе также может содержать информацию и документы, в том числе эскиз, рисунок, чертеж, фотографию, иное изображение предлагаемого участником закупки товара.</w:t>
      </w:r>
    </w:p>
    <w:p>
      <w:pPr>
        <w:pStyle w:val="Normal"/>
        <w:ind w:firstLine="540"/>
        <w:rPr>
          <w:rFonts w:ascii="Times New Roman" w:hAnsi="Times New Roman"/>
          <w:color w:val="000000"/>
        </w:rPr>
      </w:pPr>
      <w:r>
        <w:rPr>
          <w:rFonts w:ascii="Times New Roman" w:hAnsi="Times New Roman"/>
          <w:color w:val="000000"/>
        </w:rPr>
      </w:r>
    </w:p>
    <w:p>
      <w:pPr>
        <w:pStyle w:val="Normal"/>
        <w:ind w:firstLine="540"/>
        <w:rPr/>
      </w:pPr>
      <w:r>
        <w:rPr>
          <w:rFonts w:ascii="Times New Roman" w:hAnsi="Times New Roman"/>
          <w:color w:val="000000"/>
        </w:rPr>
        <w:t xml:space="preserve">1.3. </w:t>
      </w:r>
      <w:r>
        <w:rPr>
          <w:rFonts w:ascii="Times New Roman" w:hAnsi="Times New Roman"/>
          <w:color w:val="000000"/>
        </w:rPr>
        <w:t>И</w:t>
      </w:r>
      <w:r>
        <w:rPr>
          <w:rFonts w:eastAsia="" w:ascii="Times New Roman" w:hAnsi="Times New Roman" w:eastAsiaTheme="majorEastAsia"/>
          <w:b w:val="false"/>
          <w:i w:val="false"/>
          <w:caps w:val="false"/>
          <w:smallCaps w:val="false"/>
          <w:color w:val="000000"/>
          <w:spacing w:val="0"/>
          <w:sz w:val="23"/>
        </w:rPr>
        <w:t>нформация и документы, определенные в соответствии с </w:t>
      </w:r>
      <w:r>
        <w:fldChar w:fldCharType="begin"/>
      </w:r>
      <w:r>
        <w:rPr>
          <w:smallCaps w:val="false"/>
          <w:caps w:val="false"/>
          <w:dstrike w:val="false"/>
          <w:strike w:val="false"/>
          <w:sz w:val="23"/>
          <w:spacing w:val="0"/>
          <w:i w:val="false"/>
          <w:u w:val="none"/>
          <w:b w:val="false"/>
          <w:effect w:val="none"/>
          <w:rFonts w:eastAsia="" w:ascii="Times New Roman" w:hAnsi="Times New Roman"/>
          <w:color w:val="000000"/>
        </w:rPr>
        <w:instrText xml:space="preserve"> HYPERLINK "https://internet.garant.ru/" \l "/document/70353464/entry/1422"</w:instrText>
      </w:r>
      <w:r>
        <w:rPr>
          <w:smallCaps w:val="false"/>
          <w:caps w:val="false"/>
          <w:dstrike w:val="false"/>
          <w:strike w:val="false"/>
          <w:sz w:val="23"/>
          <w:spacing w:val="0"/>
          <w:i w:val="false"/>
          <w:u w:val="none"/>
          <w:b w:val="false"/>
          <w:effect w:val="none"/>
          <w:rFonts w:eastAsia="" w:ascii="Times New Roman" w:hAnsi="Times New Roman"/>
          <w:color w:val="000000"/>
        </w:rPr>
        <w:fldChar w:fldCharType="separate"/>
      </w:r>
      <w:r>
        <w:rPr>
          <w:rFonts w:eastAsia="" w:ascii="Times New Roman" w:hAnsi="Times New Roman" w:eastAsiaTheme="majorEastAsia"/>
          <w:b w:val="false"/>
          <w:i w:val="false"/>
          <w:caps w:val="false"/>
          <w:smallCaps w:val="false"/>
          <w:strike w:val="false"/>
          <w:dstrike w:val="false"/>
          <w:color w:val="000000"/>
          <w:spacing w:val="0"/>
          <w:sz w:val="23"/>
          <w:u w:val="none"/>
          <w:effect w:val="none"/>
        </w:rPr>
        <w:t>пунктом 2 части 2 статьи 14</w:t>
      </w:r>
      <w:r>
        <w:rPr>
          <w:smallCaps w:val="false"/>
          <w:caps w:val="false"/>
          <w:dstrike w:val="false"/>
          <w:strike w:val="false"/>
          <w:sz w:val="23"/>
          <w:spacing w:val="0"/>
          <w:i w:val="false"/>
          <w:u w:val="none"/>
          <w:b w:val="false"/>
          <w:effect w:val="none"/>
          <w:rFonts w:eastAsia="" w:ascii="Times New Roman" w:hAnsi="Times New Roman"/>
          <w:color w:val="000000"/>
        </w:rPr>
        <w:fldChar w:fldCharType="end"/>
      </w:r>
      <w:r>
        <w:rPr>
          <w:rFonts w:eastAsia="" w:ascii="Times New Roman" w:hAnsi="Times New Roman" w:eastAsiaTheme="majorEastAsia"/>
          <w:caps w:val="false"/>
          <w:smallCaps w:val="false"/>
          <w:color w:val="000000"/>
          <w:spacing w:val="0"/>
        </w:rPr>
        <w:t> </w:t>
      </w:r>
      <w:r>
        <w:rPr>
          <w:rFonts w:ascii="Times New Roman" w:hAnsi="Times New Roman"/>
          <w:color w:val="000000"/>
        </w:rPr>
        <w:t xml:space="preserve"> Закона № 44-ФЗ.</w:t>
      </w:r>
    </w:p>
    <w:p>
      <w:pPr>
        <w:pStyle w:val="Normal"/>
        <w:spacing w:before="0" w:after="0"/>
        <w:ind w:hanging="0" w:left="567"/>
        <w:rPr>
          <w:rFonts w:ascii="Times New Roman" w:hAnsi="Times New Roman"/>
          <w:color w:val="000000"/>
        </w:rPr>
      </w:pPr>
      <w:r>
        <w:rPr>
          <w:rFonts w:ascii="Times New Roman" w:hAnsi="Times New Roman"/>
          <w:i/>
          <w:color w:val="000000"/>
        </w:rPr>
        <w:t>Предоставление не требуется.</w:t>
      </w:r>
    </w:p>
    <w:p>
      <w:pPr>
        <w:pStyle w:val="Normal"/>
        <w:ind w:firstLine="540"/>
        <w:rPr>
          <w:color w:val="000000"/>
        </w:rPr>
      </w:pPr>
      <w:r>
        <w:rPr>
          <w:color w:val="000000"/>
        </w:rPr>
      </w:r>
    </w:p>
    <w:p>
      <w:pPr>
        <w:pStyle w:val="Normal"/>
        <w:tabs>
          <w:tab w:val="clear" w:pos="708"/>
          <w:tab w:val="left" w:pos="-360" w:leader="none"/>
          <w:tab w:val="left" w:pos="540" w:leader="none"/>
        </w:tabs>
        <w:ind w:hanging="0" w:left="540"/>
        <w:rPr>
          <w:rFonts w:ascii="Times New Roman" w:hAnsi="Times New Roman"/>
        </w:rPr>
      </w:pPr>
      <w:r>
        <w:rPr>
          <w:rFonts w:ascii="Times New Roman" w:hAnsi="Times New Roman"/>
          <w:b/>
          <w:sz w:val="28"/>
          <w:szCs w:val="32"/>
        </w:rPr>
        <w:t xml:space="preserve">2. Инструкция по заполнению заявки на участие в электронном аукционе </w:t>
      </w:r>
    </w:p>
    <w:p>
      <w:pPr>
        <w:pStyle w:val="Normal"/>
        <w:spacing w:before="0" w:after="0"/>
        <w:ind w:firstLine="540"/>
        <w:rPr>
          <w:rFonts w:ascii="Times New Roman" w:hAnsi="Times New Roman"/>
        </w:rPr>
      </w:pPr>
      <w:r>
        <w:rPr>
          <w:rFonts w:ascii="Times New Roman" w:hAnsi="Times New Roman"/>
        </w:rPr>
        <w:t>2.1. Инструкция по заполнению характеристик в заявке содержится в разделе «Информация об объекте закупки» извещения об осуществлении закупки. Информация и документы, включенные в заявку участника закупки, не должны противоречить информации в такой заявке, сформированной участником закупки путем заполнения экранных форм веб-интерфейса электронной площадки (</w:t>
      </w:r>
      <w:r>
        <w:rPr>
          <w:rFonts w:ascii="Times New Roman" w:hAnsi="Times New Roman"/>
          <w:shd w:fill="FFFFFF" w:val="clear"/>
        </w:rPr>
        <w:t xml:space="preserve">в структурированном виде), а также между собой. </w:t>
      </w:r>
    </w:p>
    <w:p>
      <w:pPr>
        <w:pStyle w:val="ListParagraph"/>
        <w:tabs>
          <w:tab w:val="clear" w:pos="708"/>
          <w:tab w:val="left" w:pos="-2700" w:leader="none"/>
          <w:tab w:val="left" w:pos="-1800" w:leader="none"/>
          <w:tab w:val="left" w:pos="-360" w:leader="none"/>
          <w:tab w:val="left" w:pos="142" w:leader="none"/>
          <w:tab w:val="left" w:pos="567" w:leader="none"/>
          <w:tab w:val="left" w:pos="720" w:leader="none"/>
          <w:tab w:val="left" w:pos="1440" w:leader="none"/>
        </w:tabs>
        <w:spacing w:before="0" w:after="0"/>
        <w:ind w:hanging="0" w:left="0"/>
        <w:contextualSpacing/>
        <w:rPr/>
      </w:pPr>
      <w:r>
        <w:rPr>
          <w:rFonts w:ascii="Times New Roman" w:hAnsi="Times New Roman"/>
        </w:rPr>
        <w:t xml:space="preserve">      </w:t>
      </w:r>
      <w:r>
        <w:rPr>
          <w:rFonts w:ascii="Times New Roman" w:hAnsi="Times New Roman"/>
        </w:rPr>
        <w:t>2.2. Заявка на участие в электронном аукционе, подготовленная участником закупки, составляется на русском языке.</w:t>
      </w:r>
      <w:bookmarkStart w:id="0" w:name="_Ref119430333"/>
      <w:r>
        <w:rPr>
          <w:rFonts w:ascii="Times New Roman" w:hAnsi="Times New Roman"/>
        </w:rPr>
        <w:t xml:space="preserve"> </w:t>
      </w:r>
      <w:bookmarkStart w:id="1" w:name="_Toc123405470"/>
      <w:bookmarkStart w:id="2" w:name="_Ref119429817"/>
      <w:bookmarkEnd w:id="0"/>
      <w:r>
        <w:rPr>
          <w:rFonts w:ascii="Times New Roman" w:hAnsi="Times New Roman"/>
          <w:color w:val="000000"/>
          <w:shd w:fill="FFFFFF" w:val="clear"/>
        </w:rPr>
        <w:t>Входящие в заявку на участие в электронном аукционе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bookmarkEnd w:id="1"/>
      <w:bookmarkEnd w:id="2"/>
      <w:r>
        <w:rPr>
          <w:rFonts w:ascii="Times New Roman" w:hAnsi="Times New Roman"/>
          <w:color w:val="000000"/>
          <w:shd w:fill="FFFFFF" w:val="clear"/>
        </w:rPr>
        <w:t xml:space="preserve"> Заявка должна составляться в соответствии с Правилами русской орфографии и пунктуации,</w:t>
      </w:r>
      <w:r>
        <w:rPr>
          <w:rStyle w:val="11"/>
          <w:rFonts w:ascii="Times New Roman" w:hAnsi="Times New Roman"/>
          <w:color w:val="000000"/>
          <w:kern w:val="0"/>
          <w:sz w:val="24"/>
          <w:szCs w:val="24"/>
          <w:shd w:fill="FFFFFF" w:val="clear"/>
        </w:rPr>
        <w:t xml:space="preserve"> </w:t>
      </w:r>
      <w:r>
        <w:rPr>
          <w:rStyle w:val="Emphasis"/>
          <w:rFonts w:ascii="Times New Roman" w:hAnsi="Times New Roman"/>
          <w:color w:val="000000"/>
          <w:shd w:fill="FFFFFF" w:val="clear"/>
        </w:rPr>
        <w:t>утвержденными Академией наук СССР, Министерством высшего образования СССР и Министерством просвещения РСФСР в 1956 году.</w:t>
      </w:r>
    </w:p>
    <w:p>
      <w:pPr>
        <w:pStyle w:val="ListParagraph"/>
        <w:tabs>
          <w:tab w:val="clear" w:pos="708"/>
          <w:tab w:val="left" w:pos="-2700" w:leader="none"/>
          <w:tab w:val="left" w:pos="-1800" w:leader="none"/>
          <w:tab w:val="left" w:pos="-360" w:leader="none"/>
          <w:tab w:val="left" w:pos="567" w:leader="none"/>
          <w:tab w:val="left" w:pos="720" w:leader="none"/>
          <w:tab w:val="left" w:pos="1440" w:leader="none"/>
        </w:tabs>
        <w:spacing w:before="0" w:after="0"/>
        <w:ind w:hanging="0" w:left="502"/>
        <w:contextualSpacing/>
        <w:rPr>
          <w:rFonts w:ascii="Times New Roman" w:hAnsi="Times New Roman"/>
        </w:rPr>
      </w:pPr>
      <w:r>
        <w:rPr>
          <w:rFonts w:ascii="Times New Roman" w:hAnsi="Times New Roman"/>
          <w:color w:val="000000"/>
          <w:shd w:fill="FFFFFF" w:val="clear"/>
        </w:rPr>
        <w:t>2.3. Все документы, входящие в состав заявки на участие в электронном аукционе, должны иметь четко читаемый текст.</w:t>
      </w:r>
    </w:p>
    <w:p>
      <w:pPr>
        <w:pStyle w:val="ListParagraph"/>
        <w:tabs>
          <w:tab w:val="clear" w:pos="708"/>
          <w:tab w:val="left" w:pos="-2700" w:leader="none"/>
          <w:tab w:val="left" w:pos="-1800" w:leader="none"/>
          <w:tab w:val="left" w:pos="-360" w:leader="none"/>
          <w:tab w:val="left" w:pos="567" w:leader="none"/>
          <w:tab w:val="left" w:pos="720" w:leader="none"/>
          <w:tab w:val="left" w:pos="1440" w:leader="none"/>
        </w:tabs>
        <w:spacing w:before="0" w:after="0"/>
        <w:ind w:hanging="0" w:left="0"/>
        <w:contextualSpacing/>
        <w:rPr>
          <w:rFonts w:ascii="Times New Roman" w:hAnsi="Times New Roman"/>
        </w:rPr>
      </w:pPr>
      <w:r>
        <w:rPr>
          <w:rFonts w:ascii="Times New Roman" w:hAnsi="Times New Roman"/>
          <w:color w:val="000000"/>
          <w:shd w:fill="FFFFFF" w:val="clear"/>
        </w:rPr>
        <w:t xml:space="preserve">        </w:t>
      </w:r>
      <w:r>
        <w:rPr>
          <w:rFonts w:ascii="Times New Roman" w:hAnsi="Times New Roman"/>
          <w:color w:val="000000"/>
          <w:shd w:fill="FFFFFF" w:val="clear"/>
        </w:rPr>
        <w:t>2.4. При оформлении заявки участникам следует использовать общепринятые обозначения и наименования в соответствии с требованиями действующих нормативных документов. Сведения, содержащиеся в заявке на участие в электронном аукционе, должны быть достоверны и не должны допускать двусмысленных толкований.</w:t>
      </w:r>
    </w:p>
    <w:p>
      <w:pPr>
        <w:pStyle w:val="ListParagraph"/>
        <w:tabs>
          <w:tab w:val="clear" w:pos="708"/>
          <w:tab w:val="left" w:pos="-2700" w:leader="none"/>
          <w:tab w:val="left" w:pos="-1800" w:leader="none"/>
          <w:tab w:val="left" w:pos="-360" w:leader="none"/>
          <w:tab w:val="left" w:pos="142" w:leader="none"/>
          <w:tab w:val="left" w:pos="567" w:leader="none"/>
          <w:tab w:val="left" w:pos="851" w:leader="none"/>
          <w:tab w:val="left" w:pos="1440" w:leader="none"/>
        </w:tabs>
        <w:spacing w:before="0" w:after="0"/>
        <w:ind w:hanging="0" w:left="0"/>
        <w:contextualSpacing/>
        <w:rPr>
          <w:rFonts w:ascii="Times New Roman" w:hAnsi="Times New Roman"/>
        </w:rPr>
      </w:pPr>
      <w:r>
        <w:rPr>
          <w:rFonts w:ascii="Times New Roman" w:hAnsi="Times New Roman"/>
          <w:color w:val="000000"/>
          <w:shd w:fill="FFFFFF" w:val="clear"/>
        </w:rPr>
        <w:t xml:space="preserve">     </w:t>
      </w:r>
      <w:r>
        <w:rPr>
          <w:rFonts w:ascii="Times New Roman" w:hAnsi="Times New Roman"/>
          <w:color w:val="000000"/>
          <w:shd w:fill="FFFFFF" w:val="clear"/>
        </w:rPr>
        <w:t>2.5.Случаи использования при описании объекта закупки не установленных в соответствии с законодательством Российской Федерации о техническом регулировании, законодательством Российской Федерации о стандартизации показателей, требований, условных обозначений и терминологии обусловлены невозможностью в полной мере охватить все необходимые заказчику функциональные, технические, качественные, эксплуатационные характеристики объекта закупки.</w:t>
      </w:r>
    </w:p>
    <w:p>
      <w:pPr>
        <w:pStyle w:val="Normal"/>
        <w:tabs>
          <w:tab w:val="clear" w:pos="708"/>
          <w:tab w:val="left" w:pos="-2700" w:leader="none"/>
          <w:tab w:val="left" w:pos="-1800" w:leader="none"/>
          <w:tab w:val="left" w:pos="-360" w:leader="none"/>
          <w:tab w:val="left" w:pos="142" w:leader="none"/>
          <w:tab w:val="left" w:pos="567" w:leader="none"/>
          <w:tab w:val="left" w:pos="851" w:leader="none"/>
          <w:tab w:val="left" w:pos="1440" w:leader="none"/>
        </w:tabs>
        <w:spacing w:before="0" w:after="0"/>
        <w:contextualSpacing/>
        <w:rPr>
          <w:shd w:fill="FFFFFF" w:val="clear"/>
        </w:rPr>
      </w:pPr>
      <w:r>
        <w:rPr>
          <w:shd w:fill="FFFFFF" w:val="clear"/>
        </w:rPr>
      </w:r>
    </w:p>
    <w:sectPr>
      <w:type w:val="nextPage"/>
      <w:pgSz w:orient="landscape" w:w="16838" w:h="11906"/>
      <w:pgMar w:left="1134" w:right="2521" w:gutter="0" w:header="0" w:top="851" w:footer="0" w:bottom="56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Arial">
    <w:charset w:val="cc"/>
    <w:family w:val="roman"/>
    <w:pitch w:val="variable"/>
  </w:font>
  <w:font w:name="Cambria">
    <w:charset w:val="cc"/>
    <w:family w:val="roman"/>
    <w:pitch w:val="variable"/>
  </w:font>
  <w:font w:name="Tahoma">
    <w:charset w:val="cc"/>
    <w:family w:val="roman"/>
    <w:pitch w:val="variable"/>
  </w:font>
  <w:font w:name="Liberation Sans">
    <w:altName w:val="Arial"/>
    <w:charset w:val="cc"/>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432"/>
        </w:tabs>
        <w:ind w:left="432" w:hanging="432"/>
      </w:pPr>
      <w:rPr>
        <w:sz w:val="22"/>
        <w:b w:val="false"/>
        <w:szCs w:val="22"/>
        <w:rFonts w:ascii="Times New Roman" w:hAnsi="Times New Roman" w:cs="Times New Roman"/>
      </w:rPr>
    </w:lvl>
    <w:lvl w:ilvl="1">
      <w:start w:val="1"/>
      <w:pStyle w:val="Heading2"/>
      <w:numFmt w:val="decimal"/>
      <w:lvlText w:val="%1.%2."/>
      <w:lvlJc w:val="left"/>
      <w:pPr>
        <w:tabs>
          <w:tab w:val="num" w:pos="576"/>
        </w:tabs>
        <w:ind w:left="576" w:hanging="576"/>
      </w:pPr>
      <w:rPr>
        <w:rFonts w:cs="Times New Roman"/>
      </w:rPr>
    </w:lvl>
    <w:lvl w:ilvl="2">
      <w:start w:val="1"/>
      <w:pStyle w:val="Heading3"/>
      <w:numFmt w:val="decimal"/>
      <w:lvlText w:val="%1.%2.%3."/>
      <w:lvlJc w:val="left"/>
      <w:pPr>
        <w:tabs>
          <w:tab w:val="num" w:pos="170"/>
        </w:tabs>
        <w:ind w:left="720" w:hanging="720"/>
      </w:pPr>
      <w:rPr>
        <w:sz w:val="26"/>
        <w:i w:val="false"/>
        <w:b w:val="false"/>
        <w:szCs w:val="26"/>
        <w:iCs w:val="false"/>
        <w:bCs w:val="false"/>
        <w:rFonts w:ascii="Times New Roman" w:hAnsi="Times New Roman" w:cs="Times New Roman"/>
      </w:rPr>
    </w:lvl>
    <w:lvl w:ilvl="3">
      <w:start w:val="1"/>
      <w:numFmt w:val="decimal"/>
      <w:lvlText w:val="%4)"/>
      <w:lvlJc w:val="left"/>
      <w:pPr>
        <w:tabs>
          <w:tab w:val="num" w:pos="360"/>
        </w:tabs>
        <w:ind w:left="360" w:hanging="360"/>
      </w:pPr>
      <w:rPr>
        <w:sz w:val="28"/>
        <w:b w:val="false"/>
        <w:szCs w:val="28"/>
        <w:rFonts w:cs="Times New Roman"/>
      </w:rPr>
    </w:lvl>
    <w:lvl w:ilvl="4">
      <w:start w:val="1"/>
      <w:numFmt w:val="russianLower"/>
      <w:lvlText w:val="%5)"/>
      <w:lvlJc w:val="left"/>
      <w:pPr>
        <w:tabs>
          <w:tab w:val="num" w:pos="1800"/>
        </w:tabs>
        <w:ind w:left="1800" w:hanging="360"/>
      </w:pPr>
      <w:rPr>
        <w:sz w:val="26"/>
        <w:szCs w:val="26"/>
        <w:rFonts w:cs="Times New Roman"/>
      </w:rPr>
    </w:lvl>
    <w:lvl w:ilvl="5">
      <w:start w:val="1"/>
      <w:numFmt w:val="decimal"/>
      <w:lvlText w:val="%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9867d6"/>
    <w:pPr>
      <w:widowControl/>
      <w:suppressAutoHyphens w:val="true"/>
      <w:bidi w:val="0"/>
      <w:spacing w:before="0" w:after="60"/>
      <w:jc w:val="both"/>
    </w:pPr>
    <w:rPr>
      <w:rFonts w:ascii="Times New Roman" w:hAnsi="Times New Roman" w:eastAsia="Times New Roman" w:cs="Times New Roman"/>
      <w:color w:val="auto"/>
      <w:kern w:val="0"/>
      <w:sz w:val="24"/>
      <w:szCs w:val="24"/>
      <w:lang w:val="ru-RU" w:eastAsia="ru-RU" w:bidi="ar-SA"/>
    </w:rPr>
  </w:style>
  <w:style w:type="paragraph" w:styleId="Heading1" w:customStyle="1">
    <w:name w:val="Heading 1"/>
    <w:basedOn w:val="Normal"/>
    <w:next w:val="Normal"/>
    <w:link w:val="11"/>
    <w:uiPriority w:val="99"/>
    <w:qFormat/>
    <w:rsid w:val="009867d6"/>
    <w:pPr>
      <w:keepNext w:val="true"/>
      <w:numPr>
        <w:ilvl w:val="0"/>
        <w:numId w:val="1"/>
      </w:numPr>
      <w:spacing w:before="240" w:after="60"/>
      <w:jc w:val="center"/>
      <w:outlineLvl w:val="0"/>
    </w:pPr>
    <w:rPr>
      <w:b/>
      <w:bCs/>
      <w:kern w:val="2"/>
      <w:sz w:val="36"/>
      <w:szCs w:val="36"/>
    </w:rPr>
  </w:style>
  <w:style w:type="paragraph" w:styleId="Heading2" w:customStyle="1">
    <w:name w:val="Heading 2"/>
    <w:basedOn w:val="Normal"/>
    <w:next w:val="Normal"/>
    <w:link w:val="2"/>
    <w:uiPriority w:val="99"/>
    <w:qFormat/>
    <w:rsid w:val="009867d6"/>
    <w:pPr>
      <w:keepNext w:val="true"/>
      <w:numPr>
        <w:ilvl w:val="1"/>
        <w:numId w:val="1"/>
      </w:numPr>
      <w:jc w:val="center"/>
      <w:outlineLvl w:val="1"/>
    </w:pPr>
    <w:rPr>
      <w:b/>
      <w:bCs/>
      <w:sz w:val="30"/>
      <w:szCs w:val="30"/>
    </w:rPr>
  </w:style>
  <w:style w:type="paragraph" w:styleId="Heading3" w:customStyle="1">
    <w:name w:val="Heading 3"/>
    <w:basedOn w:val="Normal"/>
    <w:next w:val="Normal"/>
    <w:link w:val="3"/>
    <w:uiPriority w:val="99"/>
    <w:qFormat/>
    <w:rsid w:val="009867d6"/>
    <w:pPr>
      <w:keepNext w:val="true"/>
      <w:numPr>
        <w:ilvl w:val="2"/>
        <w:numId w:val="1"/>
      </w:numPr>
      <w:spacing w:before="240" w:after="60"/>
      <w:outlineLvl w:val="2"/>
    </w:pPr>
    <w:rPr>
      <w:rFonts w:ascii="Arial" w:hAnsi="Arial" w:cs="Arial"/>
      <w:b/>
      <w:bCs/>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9"/>
    <w:qFormat/>
    <w:rsid w:val="009867d6"/>
    <w:rPr>
      <w:rFonts w:ascii="Cambria" w:hAnsi="Cambria" w:eastAsia="" w:cs="" w:asciiTheme="majorHAnsi" w:cstheme="majorBidi" w:eastAsiaTheme="majorEastAsia" w:hAnsiTheme="majorHAnsi"/>
      <w:b/>
      <w:bCs/>
      <w:color w:themeColor="accent1" w:themeShade="bf" w:val="365F91"/>
      <w:sz w:val="28"/>
      <w:szCs w:val="28"/>
      <w:lang w:eastAsia="ru-RU"/>
    </w:rPr>
  </w:style>
  <w:style w:type="character" w:styleId="2" w:customStyle="1">
    <w:name w:val="Заголовок 2 Знак"/>
    <w:basedOn w:val="DefaultParagraphFont"/>
    <w:uiPriority w:val="99"/>
    <w:qFormat/>
    <w:rsid w:val="009867d6"/>
    <w:rPr>
      <w:rFonts w:ascii="Times New Roman" w:hAnsi="Times New Roman" w:eastAsia="Times New Roman" w:cs="Times New Roman"/>
      <w:b/>
      <w:bCs/>
      <w:sz w:val="30"/>
      <w:szCs w:val="30"/>
      <w:lang w:eastAsia="ru-RU"/>
    </w:rPr>
  </w:style>
  <w:style w:type="character" w:styleId="3" w:customStyle="1">
    <w:name w:val="Заголовок 3 Знак"/>
    <w:basedOn w:val="DefaultParagraphFont"/>
    <w:uiPriority w:val="99"/>
    <w:qFormat/>
    <w:rsid w:val="009867d6"/>
    <w:rPr>
      <w:rFonts w:ascii="Arial" w:hAnsi="Arial" w:eastAsia="Times New Roman" w:cs="Arial"/>
      <w:b/>
      <w:bCs/>
      <w:sz w:val="24"/>
      <w:szCs w:val="24"/>
      <w:lang w:eastAsia="ru-RU"/>
    </w:rPr>
  </w:style>
  <w:style w:type="character" w:styleId="11" w:customStyle="1">
    <w:name w:val="Заголовок 1 Знак1"/>
    <w:basedOn w:val="DefaultParagraphFont"/>
    <w:uiPriority w:val="99"/>
    <w:qFormat/>
    <w:locked/>
    <w:rsid w:val="009867d6"/>
    <w:rPr>
      <w:rFonts w:ascii="Times New Roman" w:hAnsi="Times New Roman" w:eastAsia="Times New Roman" w:cs="Times New Roman"/>
      <w:b/>
      <w:bCs/>
      <w:kern w:val="2"/>
      <w:sz w:val="36"/>
      <w:szCs w:val="36"/>
      <w:lang w:eastAsia="ru-RU"/>
    </w:rPr>
  </w:style>
  <w:style w:type="character" w:styleId="Hyperlink">
    <w:name w:val="Hyperlink"/>
    <w:basedOn w:val="DefaultParagraphFont"/>
    <w:uiPriority w:val="99"/>
    <w:rsid w:val="009867d6"/>
    <w:rPr>
      <w:rFonts w:cs="Times New Roman"/>
      <w:color w:val="0000FF"/>
      <w:u w:val="single"/>
    </w:rPr>
  </w:style>
  <w:style w:type="character" w:styleId="Emphasis">
    <w:name w:val="Emphasis"/>
    <w:basedOn w:val="DefaultParagraphFont"/>
    <w:uiPriority w:val="20"/>
    <w:qFormat/>
    <w:rsid w:val="009867d6"/>
    <w:rPr>
      <w:i/>
      <w:iCs/>
    </w:rPr>
  </w:style>
  <w:style w:type="character" w:styleId="Style11" w:customStyle="1">
    <w:name w:val="Абзац списка Знак"/>
    <w:link w:val="ListParagraph"/>
    <w:uiPriority w:val="34"/>
    <w:qFormat/>
    <w:locked/>
    <w:rsid w:val="009867d6"/>
    <w:rPr>
      <w:rFonts w:ascii="Times New Roman" w:hAnsi="Times New Roman" w:eastAsia="Times New Roman" w:cs="Times New Roman"/>
      <w:sz w:val="24"/>
      <w:szCs w:val="24"/>
    </w:rPr>
  </w:style>
  <w:style w:type="character" w:styleId="ConsPlusNormal" w:customStyle="1">
    <w:name w:val="ConsPlusNormal Знак"/>
    <w:link w:val="ConsPlusNormal1"/>
    <w:qFormat/>
    <w:locked/>
    <w:rsid w:val="009867d6"/>
    <w:rPr>
      <w:rFonts w:ascii="Arial" w:hAnsi="Arial" w:eastAsia="Times New Roman" w:cs="Arial"/>
      <w:sz w:val="20"/>
      <w:szCs w:val="20"/>
      <w:lang w:eastAsia="ru-RU"/>
    </w:rPr>
  </w:style>
  <w:style w:type="character" w:styleId="Annotationreference">
    <w:name w:val="annotation reference"/>
    <w:basedOn w:val="DefaultParagraphFont"/>
    <w:uiPriority w:val="99"/>
    <w:semiHidden/>
    <w:unhideWhenUsed/>
    <w:qFormat/>
    <w:rsid w:val="009867d6"/>
    <w:rPr>
      <w:sz w:val="16"/>
      <w:szCs w:val="16"/>
    </w:rPr>
  </w:style>
  <w:style w:type="character" w:styleId="Style12" w:customStyle="1">
    <w:name w:val="Текст примечания Знак"/>
    <w:basedOn w:val="DefaultParagraphFont"/>
    <w:link w:val="Annotationtext"/>
    <w:uiPriority w:val="99"/>
    <w:qFormat/>
    <w:rsid w:val="009867d6"/>
    <w:rPr>
      <w:rFonts w:ascii="Times New Roman" w:hAnsi="Times New Roman" w:eastAsia="Times New Roman" w:cs="Times New Roman"/>
      <w:sz w:val="20"/>
      <w:szCs w:val="20"/>
      <w:lang w:eastAsia="ru-RU"/>
    </w:rPr>
  </w:style>
  <w:style w:type="character" w:styleId="Style13" w:customStyle="1">
    <w:name w:val="Тема примечания Знак"/>
    <w:basedOn w:val="Style12"/>
    <w:link w:val="Annotationsubject"/>
    <w:uiPriority w:val="99"/>
    <w:semiHidden/>
    <w:qFormat/>
    <w:rsid w:val="009867d6"/>
    <w:rPr>
      <w:b/>
      <w:bCs/>
    </w:rPr>
  </w:style>
  <w:style w:type="character" w:styleId="Style14" w:customStyle="1">
    <w:name w:val="Текст выноски Знак"/>
    <w:basedOn w:val="DefaultParagraphFont"/>
    <w:link w:val="BalloonText"/>
    <w:uiPriority w:val="99"/>
    <w:semiHidden/>
    <w:qFormat/>
    <w:rsid w:val="009867d6"/>
    <w:rPr>
      <w:rFonts w:ascii="Tahoma" w:hAnsi="Tahoma" w:eastAsia="Times New Roman" w:cs="Tahoma"/>
      <w:sz w:val="16"/>
      <w:szCs w:val="16"/>
      <w:lang w:eastAsia="ru-RU"/>
    </w:rPr>
  </w:style>
  <w:style w:type="character" w:styleId="Apple-style-span" w:customStyle="1">
    <w:name w:val="apple-style-span"/>
    <w:basedOn w:val="DefaultParagraphFont"/>
    <w:qFormat/>
    <w:rsid w:val="00681582"/>
    <w:rPr/>
  </w:style>
  <w:style w:type="character" w:styleId="FollowedHyperlink">
    <w:name w:val="FollowedHyperlink"/>
    <w:basedOn w:val="DefaultParagraphFont"/>
    <w:uiPriority w:val="99"/>
    <w:semiHidden/>
    <w:unhideWhenUsed/>
    <w:rsid w:val="00ec5637"/>
    <w:rPr>
      <w:color w:themeColor="followedHyperlink" w:val="800080"/>
      <w:u w:val="single"/>
    </w:rPr>
  </w:style>
  <w:style w:type="character" w:styleId="Style15" w:customStyle="1">
    <w:name w:val="Символ сноски"/>
    <w:qFormat/>
    <w:rsid w:val="008b75ef"/>
    <w:rPr>
      <w:vertAlign w:val="superscript"/>
    </w:rPr>
  </w:style>
  <w:style w:type="character" w:styleId="FootnoteReference">
    <w:name w:val="Footnote Reference"/>
    <w:rPr>
      <w:vertAlign w:val="superscript"/>
    </w:rPr>
  </w:style>
  <w:style w:type="character" w:styleId="FootnoteCharacters" w:customStyle="1">
    <w:name w:val="Footnote Characters"/>
    <w:qFormat/>
    <w:rsid w:val="008b75ef"/>
    <w:rPr>
      <w:vertAlign w:val="superscript"/>
    </w:rPr>
  </w:style>
  <w:style w:type="character" w:styleId="Style16">
    <w:name w:val="Цветовое выделение для Текст"/>
    <w:qFormat/>
    <w:rPr/>
  </w:style>
  <w:style w:type="character" w:styleId="Style17">
    <w:name w:val="Цветовое выделение"/>
    <w:qFormat/>
    <w:rPr>
      <w:rFonts w:ascii="Times New Roman" w:hAnsi="Times New Roman"/>
      <w:b/>
      <w:color w:val="26282F"/>
      <w:sz w:val="24"/>
    </w:rPr>
  </w:style>
  <w:style w:type="character" w:styleId="Style18">
    <w:name w:val="Гипертекстовая ссылка"/>
    <w:basedOn w:val="Style17"/>
    <w:qFormat/>
    <w:rPr>
      <w:rFonts w:ascii="Times New Roman" w:hAnsi="Times New Roman"/>
      <w:b w:val="false"/>
      <w:color w:val="106BBE"/>
      <w:sz w:val="24"/>
    </w:rPr>
  </w:style>
  <w:style w:type="paragraph" w:styleId="Style19" w:customStyle="1">
    <w:name w:val="Заголовок"/>
    <w:basedOn w:val="Normal"/>
    <w:next w:val="BodyText"/>
    <w:qFormat/>
    <w:rsid w:val="008b75ef"/>
    <w:pPr>
      <w:keepNext w:val="true"/>
      <w:spacing w:before="240" w:after="120"/>
    </w:pPr>
    <w:rPr>
      <w:rFonts w:ascii="Liberation Sans" w:hAnsi="Liberation Sans" w:eastAsia="Microsoft YaHei" w:cs="Arial Unicode MS"/>
      <w:sz w:val="28"/>
      <w:szCs w:val="28"/>
    </w:rPr>
  </w:style>
  <w:style w:type="paragraph" w:styleId="BodyText">
    <w:name w:val="Body Text"/>
    <w:basedOn w:val="Normal"/>
    <w:rsid w:val="008b75ef"/>
    <w:pPr>
      <w:spacing w:lineRule="auto" w:line="276" w:before="0" w:after="140"/>
    </w:pPr>
    <w:rPr/>
  </w:style>
  <w:style w:type="paragraph" w:styleId="List">
    <w:name w:val="List"/>
    <w:basedOn w:val="BodyText"/>
    <w:rsid w:val="008b75ef"/>
    <w:pPr/>
    <w:rPr>
      <w:rFonts w:cs="Arial Unicode MS"/>
    </w:rPr>
  </w:style>
  <w:style w:type="paragraph" w:styleId="Caption" w:customStyle="1">
    <w:name w:val="Caption"/>
    <w:basedOn w:val="Normal"/>
    <w:qFormat/>
    <w:rsid w:val="008b75ef"/>
    <w:pPr>
      <w:suppressLineNumbers/>
      <w:spacing w:before="120" w:after="120"/>
    </w:pPr>
    <w:rPr>
      <w:rFonts w:cs="Arial Unicode MS"/>
      <w:i/>
      <w:iCs/>
    </w:rPr>
  </w:style>
  <w:style w:type="paragraph" w:styleId="Style20">
    <w:name w:val="Указатель"/>
    <w:basedOn w:val="Normal"/>
    <w:qFormat/>
    <w:pPr>
      <w:suppressLineNumbers/>
    </w:pPr>
    <w:rPr>
      <w:rFonts w:cs="Arial Unicode MS"/>
      <w:lang w:val="zxx" w:eastAsia="zxx" w:bidi="zxx"/>
    </w:rPr>
  </w:style>
  <w:style w:type="paragraph" w:styleId="Indexheading">
    <w:name w:val="index heading"/>
    <w:basedOn w:val="Normal"/>
    <w:qFormat/>
    <w:rsid w:val="008b75ef"/>
    <w:pPr>
      <w:suppressLineNumbers/>
    </w:pPr>
    <w:rPr>
      <w:rFonts w:cs="Arial Unicode MS"/>
    </w:rPr>
  </w:style>
  <w:style w:type="paragraph" w:styleId="ConsPlusNormal1" w:customStyle="1">
    <w:name w:val="ConsPlusNormal"/>
    <w:link w:val="ConsPlusNormal"/>
    <w:qFormat/>
    <w:rsid w:val="009867d6"/>
    <w:pPr>
      <w:widowControl w:val="false"/>
      <w:suppressAutoHyphens w:val="true"/>
      <w:bidi w:val="0"/>
      <w:spacing w:before="0" w:after="0"/>
      <w:ind w:firstLine="720"/>
      <w:jc w:val="left"/>
    </w:pPr>
    <w:rPr>
      <w:rFonts w:ascii="Arial" w:hAnsi="Arial" w:eastAsia="Times New Roman" w:cs="Arial"/>
      <w:color w:val="auto"/>
      <w:kern w:val="0"/>
      <w:sz w:val="20"/>
      <w:szCs w:val="20"/>
      <w:lang w:val="ru-RU" w:eastAsia="ru-RU" w:bidi="ar-SA"/>
    </w:rPr>
  </w:style>
  <w:style w:type="paragraph" w:styleId="ListParagraph">
    <w:name w:val="List Paragraph"/>
    <w:basedOn w:val="Normal"/>
    <w:link w:val="Style11"/>
    <w:uiPriority w:val="34"/>
    <w:qFormat/>
    <w:rsid w:val="009867d6"/>
    <w:pPr>
      <w:spacing w:before="0" w:after="60"/>
      <w:ind w:hanging="0" w:left="720"/>
      <w:contextualSpacing/>
    </w:pPr>
    <w:rPr/>
  </w:style>
  <w:style w:type="paragraph" w:styleId="Annotationtext">
    <w:name w:val="annotation text"/>
    <w:basedOn w:val="Normal"/>
    <w:link w:val="Style12"/>
    <w:uiPriority w:val="99"/>
    <w:unhideWhenUsed/>
    <w:qFormat/>
    <w:rsid w:val="009867d6"/>
    <w:pPr/>
    <w:rPr>
      <w:sz w:val="20"/>
      <w:szCs w:val="20"/>
    </w:rPr>
  </w:style>
  <w:style w:type="paragraph" w:styleId="Annotationsubject">
    <w:name w:val="annotation subject"/>
    <w:basedOn w:val="Annotationtext"/>
    <w:next w:val="Annotationtext"/>
    <w:link w:val="Style13"/>
    <w:uiPriority w:val="99"/>
    <w:semiHidden/>
    <w:unhideWhenUsed/>
    <w:qFormat/>
    <w:rsid w:val="009867d6"/>
    <w:pPr/>
    <w:rPr>
      <w:b/>
      <w:bCs/>
    </w:rPr>
  </w:style>
  <w:style w:type="paragraph" w:styleId="BalloonText">
    <w:name w:val="Balloon Text"/>
    <w:basedOn w:val="Normal"/>
    <w:link w:val="Style14"/>
    <w:uiPriority w:val="99"/>
    <w:semiHidden/>
    <w:unhideWhenUsed/>
    <w:qFormat/>
    <w:rsid w:val="009867d6"/>
    <w:pPr>
      <w:spacing w:before="0" w:after="0"/>
    </w:pPr>
    <w:rPr>
      <w:rFonts w:ascii="Tahoma" w:hAnsi="Tahoma" w:cs="Tahoma"/>
      <w:sz w:val="16"/>
      <w:szCs w:val="16"/>
    </w:rPr>
  </w:style>
  <w:style w:type="paragraph" w:styleId="Style21" w:customStyle="1">
    <w:name w:val="Содержимое таблицы"/>
    <w:basedOn w:val="Normal"/>
    <w:qFormat/>
    <w:rsid w:val="008b75ef"/>
    <w:pPr>
      <w:widowControl w:val="false"/>
      <w:suppressLineNumbers/>
    </w:pPr>
    <w:rPr/>
  </w:style>
  <w:style w:type="paragraph" w:styleId="Style22" w:customStyle="1">
    <w:name w:val="Заголовок таблицы"/>
    <w:basedOn w:val="Style21"/>
    <w:qFormat/>
    <w:rsid w:val="008b75ef"/>
    <w:pPr>
      <w:jc w:val="center"/>
    </w:pPr>
    <w:rPr>
      <w:b/>
      <w:bCs/>
    </w:rPr>
  </w:style>
  <w:style w:type="paragraph" w:styleId="FootnoteText" w:customStyle="1">
    <w:name w:val="Footnote Text"/>
    <w:basedOn w:val="Normal"/>
    <w:rsid w:val="008b75ef"/>
    <w:pPr>
      <w:suppressLineNumbers/>
      <w:ind w:hanging="340" w:left="340"/>
    </w:pPr>
    <w:rPr>
      <w:sz w:val="20"/>
      <w:szCs w:val="20"/>
    </w:rPr>
  </w:style>
  <w:style w:type="paragraph" w:styleId="Style23">
    <w:name w:val="Текст (справка)"/>
    <w:basedOn w:val="Normal"/>
    <w:next w:val="Normal"/>
    <w:qFormat/>
    <w:pPr>
      <w:ind w:hanging="0" w:left="170" w:right="170"/>
      <w:jc w:val="left"/>
    </w:pPr>
    <w:rPr/>
  </w:style>
  <w:style w:type="paragraph" w:styleId="Style24">
    <w:name w:val="Комментарий"/>
    <w:basedOn w:val="Style23"/>
    <w:next w:val="Normal"/>
    <w:qFormat/>
    <w:pPr>
      <w:spacing w:before="75" w:after="0"/>
      <w:ind w:hanging="0" w:left="170" w:right="170"/>
    </w:pPr>
    <w:rPr>
      <w:color w:val="353842"/>
    </w:rPr>
  </w:style>
  <w:style w:type="paragraph" w:styleId="Style25">
    <w:name w:val="Содержимое врезки"/>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 w:type="table" w:styleId="af6">
    <w:name w:val="Table Grid"/>
    <w:basedOn w:val="a1"/>
    <w:uiPriority w:val="59"/>
    <w:rsid w:val="00ec0f8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ogin.consultant.ru/link/?req=doc&amp;base=LAW&amp;n=388926&amp;dst=2205&amp;field=134&amp;date=28.12.2021" TargetMode="External"/><Relationship Id="rId3" Type="http://schemas.openxmlformats.org/officeDocument/2006/relationships/hyperlink" Target="https://login.consultant.ru/link/?req=doc&amp;base=LAW&amp;n=388926&amp;dst=2211&amp;field=134&amp;date=28.12.2021" TargetMode="External"/><Relationship Id="rId4" Type="http://schemas.openxmlformats.org/officeDocument/2006/relationships/hyperlink" Target="https://login.consultant.ru/link/?req=doc&amp;base=LAW&amp;n=388926&amp;dst=100336&amp;field=134&amp;date=28.12.2021" TargetMode="External"/><Relationship Id="rId5" Type="http://schemas.openxmlformats.org/officeDocument/2006/relationships/hyperlink" Target="https://login.consultant.ru/link/?req=doc&amp;base=LAW&amp;n=388926&amp;dst=2216&amp;field=134&amp;date=28.12.2021" TargetMode="External"/><Relationship Id="rId6" Type="http://schemas.openxmlformats.org/officeDocument/2006/relationships/hyperlink" Target="https://login.consultant.ru/link/?req=doc&amp;base=LAW&amp;n=388926&amp;dst=2217&amp;field=134&amp;date=28.12.2021" TargetMode="External"/><Relationship Id="rId7" Type="http://schemas.openxmlformats.org/officeDocument/2006/relationships/hyperlink" Target="https://login.consultant.ru/link/?req=doc&amp;base=LAW&amp;n=388926&amp;dst=100338&amp;field=134&amp;date=28.12.2021" TargetMode="External"/><Relationship Id="rId8" Type="http://schemas.openxmlformats.org/officeDocument/2006/relationships/hyperlink" Target="https://login.consultant.ru/link/?req=doc&amp;base=LAW&amp;n=388926&amp;dst=100340&amp;field=134&amp;date=28.12.2021" TargetMode="External"/><Relationship Id="rId9" Type="http://schemas.openxmlformats.org/officeDocument/2006/relationships/hyperlink" Target="https://login.consultant.ru/link/?req=doc&amp;base=LAW&amp;n=388926&amp;dst=296&amp;field=134&amp;date=28.12.2021" TargetMode="External"/><Relationship Id="rId10" Type="http://schemas.openxmlformats.org/officeDocument/2006/relationships/hyperlink" Target="https://login.consultant.ru/link/?req=doc&amp;base=LAW&amp;n=388926&amp;dst=419&amp;field=134&amp;date=28.12.2021" TargetMode="External"/><Relationship Id="rId11" Type="http://schemas.openxmlformats.org/officeDocument/2006/relationships/hyperlink" Target="https://login.consultant.ru/link/?req=doc&amp;base=LAW&amp;n=388926&amp;dst=100338&amp;field=134&amp;date=28.12.2021" TargetMode="External"/><Relationship Id="rId12" Type="http://schemas.openxmlformats.org/officeDocument/2006/relationships/hyperlink" Target="https://login.consultant.ru/link/?req=doc&amp;base=LAW&amp;n=388926&amp;dst=100340&amp;field=134&amp;date=28.12.2021" TargetMode="External"/><Relationship Id="rId13" Type="http://schemas.openxmlformats.org/officeDocument/2006/relationships/hyperlink" Target="https://login.consultant.ru/link/?req=doc&amp;base=LAW&amp;n=388926&amp;dst=296&amp;field=134&amp;date=28.12.2021" TargetMode="External"/><Relationship Id="rId14" Type="http://schemas.openxmlformats.org/officeDocument/2006/relationships/hyperlink" Target="https://login.consultant.ru/link/?req=doc&amp;base=LAW&amp;n=388926&amp;dst=419&amp;field=134&amp;date=28.12.2021" TargetMode="External"/><Relationship Id="rId15" Type="http://schemas.openxmlformats.org/officeDocument/2006/relationships/hyperlink" Target="https://login.consultant.ru/link/?req=doc&amp;base=LAW&amp;n=388926&amp;dst=2234&amp;field=134&amp;date=29.12.2021"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7194</TotalTime>
  <Application>LibreOffice/7.6.2.1$Windows_X86_64 LibreOffice_project/56f7684011345957bbf33a7ee678afaf4d2ba333</Application>
  <AppVersion>15.0000</AppVersion>
  <Pages>6</Pages>
  <Words>1673</Words>
  <Characters>11739</Characters>
  <CharactersWithSpaces>13373</CharactersWithSpaces>
  <Paragraphs>72</Paragraphs>
  <Company>КонсультантПлюс Версия 4022.00.21</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2022-11-21T09:58:00Z</dcterms:created>
  <dc:creator>guks_11</dc:creator>
  <dc:description/>
  <dc:language>ru-RU</dc:language>
  <cp:lastModifiedBy/>
  <cp:lastPrinted>2026-01-13T12:02:16Z</cp:lastPrinted>
  <dcterms:modified xsi:type="dcterms:W3CDTF">2026-09-22T09:13:04Z</dcterms:modified>
  <cp:revision>283</cp:revision>
  <dc:subject/>
  <dc:title>Постановление Правительства РФ от 29.12.2021 N 2571(ред. от 31.10.2022)"О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dc:title>
</cp:coreProperties>
</file>

<file path=docProps/custom.xml><?xml version="1.0" encoding="utf-8"?>
<Properties xmlns="http://schemas.openxmlformats.org/officeDocument/2006/custom-properties" xmlns:vt="http://schemas.openxmlformats.org/officeDocument/2006/docPropsVTypes"/>
</file>