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Liberation Serif" w:hAnsi="Liberation Serif" w:cs="Liberation Serif"/>
          <w:b/>
          <w:szCs w:val="28"/>
        </w:rPr>
      </w:pPr>
      <w:r>
        <w:rPr>
          <w:rFonts w:ascii="Liberation Serif" w:hAnsi="Liberation Serif" w:eastAsia="Liberation Serif" w:cs="Liberation Serif"/>
          <w:b/>
          <w:szCs w:val="28"/>
        </w:rPr>
        <w:t xml:space="preserve">ИЗВЕЩЕНИЕ</w:t>
      </w:r>
      <w:r>
        <w:rPr>
          <w:rFonts w:ascii="Liberation Serif" w:hAnsi="Liberation Serif" w:cs="Liberation Serif"/>
          <w:b/>
          <w:szCs w:val="28"/>
        </w:rPr>
      </w:r>
    </w:p>
    <w:p>
      <w:pPr>
        <w:jc w:val="center"/>
        <w:spacing w:line="240" w:lineRule="auto"/>
        <w:rPr>
          <w:rFonts w:ascii="Liberation Serif" w:hAnsi="Liberation Serif" w:cs="Liberation Serif"/>
          <w:b/>
          <w:sz w:val="26"/>
          <w:szCs w:val="26"/>
        </w:rPr>
      </w:pPr>
      <w:r>
        <w:rPr>
          <w:rFonts w:ascii="Liberation Serif" w:hAnsi="Liberation Serif" w:eastAsia="Liberation Serif" w:cs="Liberation Serif"/>
          <w:b/>
          <w:sz w:val="26"/>
          <w:szCs w:val="26"/>
        </w:rPr>
        <w:t xml:space="preserve">о проведении закупки</w:t>
      </w:r>
      <w:r>
        <w:rPr>
          <w:rFonts w:ascii="Liberation Serif" w:hAnsi="Liberation Serif" w:cs="Liberation Serif"/>
          <w:b/>
          <w:sz w:val="26"/>
          <w:szCs w:val="26"/>
        </w:rPr>
      </w:r>
    </w:p>
    <w:p>
      <w:pPr>
        <w:jc w:val="center"/>
        <w:spacing w:line="240" w:lineRule="auto"/>
        <w:rPr>
          <w:rFonts w:ascii="Liberation Serif" w:hAnsi="Liberation Serif" w:cs="Liberation Serif"/>
          <w:b/>
          <w:sz w:val="26"/>
          <w:szCs w:val="26"/>
        </w:rPr>
      </w:pPr>
      <w:r>
        <w:rPr>
          <w:rFonts w:ascii="Liberation Serif" w:hAnsi="Liberation Serif" w:eastAsia="Liberation Serif" w:cs="Liberation Serif"/>
          <w:b/>
          <w:sz w:val="26"/>
          <w:szCs w:val="26"/>
        </w:rPr>
        <w:t xml:space="preserve">на право заключения договора</w:t>
      </w:r>
      <w:r>
        <w:rPr>
          <w:rFonts w:ascii="Liberation Serif" w:hAnsi="Liberation Serif" w:cs="Liberation Serif"/>
          <w:b/>
          <w:sz w:val="26"/>
          <w:szCs w:val="26"/>
        </w:rPr>
      </w:r>
    </w:p>
    <w:p>
      <w:pPr>
        <w:jc w:val="center"/>
        <w:spacing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30"/>
        <w:gridCol w:w="3419"/>
        <w:gridCol w:w="3432"/>
      </w:tblGrid>
      <w:tr>
        <w:tblPrEx/>
        <w:trPr/>
        <w:tc>
          <w:tcPr>
            <w:shd w:val="clear" w:color="auto" w:fill="auto"/>
            <w:tcW w:w="3473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№ 226220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shd w:val="clear" w:color="auto" w:fill="auto"/>
            <w:tcW w:w="347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shd w:val="clear" w:color="auto" w:fill="auto"/>
            <w:tcW w:w="3474" w:type="dxa"/>
            <w:vAlign w:val="center"/>
            <w:textDirection w:val="lrTb"/>
            <w:noWrap w:val="false"/>
          </w:tcPr>
          <w:p>
            <w:pPr>
              <w:jc w:val="right"/>
              <w:spacing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  <w:highlight w:val="white"/>
              </w:rPr>
              <w:t xml:space="preserve">«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  <w:highlight w:val="white"/>
              </w:rPr>
              <w:t xml:space="preserve">4</w:t>
            </w:r>
            <w:bookmarkStart w:id="0" w:name="_GoBack"/>
            <w:r>
              <w:rPr>
                <w:rFonts w:ascii="Liberation Serif" w:hAnsi="Liberation Serif" w:eastAsia="Liberation Serif" w:cs="Liberation Serif"/>
              </w:rPr>
            </w:r>
            <w:bookmarkEnd w:id="0"/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  <w:highlight w:val="white"/>
              </w:rPr>
              <w:t xml:space="preserve">» сентября 2026 г.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jc w:val="center"/>
        <w:spacing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lang w:val="en-US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Способ закупки: </w:t>
      </w:r>
      <w:r>
        <w:rPr>
          <w:rFonts w:ascii="Liberation Serif" w:hAnsi="Liberation Serif" w:eastAsia="Liberation Serif" w:cs="Liberation Serif"/>
          <w:b/>
        </w:rPr>
        <w:t xml:space="preserve">Открытые конкурентные переговоры.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  <w:b/>
        </w:rPr>
        <w:outlineLvl w:val="0"/>
      </w:pPr>
      <w:r>
        <w:rPr>
          <w:rFonts w:ascii="Liberation Serif" w:hAnsi="Liberation Serif" w:eastAsia="Liberation Serif" w:cs="Liberation Serif"/>
          <w:b/>
          <w:u w:val="single"/>
        </w:rPr>
        <w:t xml:space="preserve">Совместная закупка, один неделимый лот.</w:t>
      </w:r>
      <w:r>
        <w:rPr>
          <w:rFonts w:ascii="Liberation Serif" w:hAnsi="Liberation Serif" w:cs="Liberation Serif"/>
          <w:b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</w:t>
      </w:r>
      <w:r>
        <w:rPr>
          <w:rFonts w:ascii="Liberation Serif" w:hAnsi="Liberation Serif" w:eastAsia="Liberation Serif" w:cs="Liberation Serif"/>
        </w:rPr>
        <w:t xml:space="preserve">цедура также не является публичным конкурсом и не регулируется статьями 1057–1065 части второй Гражданского кодекса Российской Федерации. Таким образом, данная процедура не накладывает на Заказчиков соответствующего объема гражданско-правовых обязательств.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1" w:name="_Toc422209950"/>
      <w:r>
        <w:rPr>
          <w:rFonts w:ascii="Liberation Serif" w:hAnsi="Liberation Serif" w:eastAsia="Liberation Serif" w:cs="Liberation Serif"/>
        </w:rPr>
      </w:r>
      <w:bookmarkStart w:id="2" w:name="_Toc422226770"/>
      <w:r>
        <w:rPr>
          <w:rFonts w:ascii="Liberation Serif" w:hAnsi="Liberation Serif" w:eastAsia="Liberation Serif" w:cs="Liberation Serif"/>
        </w:rPr>
      </w:r>
      <w:bookmarkStart w:id="3" w:name="_Toc422244122"/>
      <w:r>
        <w:rPr>
          <w:rFonts w:ascii="Liberation Serif" w:hAnsi="Liberation Serif" w:eastAsia="Liberation Serif" w:cs="Liberation Serif"/>
        </w:rPr>
        <w:t xml:space="preserve">Положение о порядке проведения регламентированных закупок товаров, работ, услуг для нужд </w:t>
      </w:r>
      <w:r>
        <w:rPr>
          <w:rFonts w:ascii="Liberation Serif" w:hAnsi="Liberation Serif" w:eastAsia="Liberation Serif" w:cs="Liberation Serif"/>
          <w:b/>
        </w:rPr>
        <w:t xml:space="preserve">Заказчиков, указанных в пункте 5 Извещения</w:t>
      </w:r>
      <w:r>
        <w:rPr>
          <w:rFonts w:ascii="Liberation Serif" w:hAnsi="Liberation Serif" w:eastAsia="Liberation Serif" w:cs="Liberation Serif"/>
        </w:rPr>
        <w:t xml:space="preserve">, утвержденное решением Совета директоров (далее - Положение о закупках).</w:t>
      </w:r>
      <w:bookmarkEnd w:id="1"/>
      <w:r>
        <w:rPr>
          <w:rFonts w:ascii="Liberation Serif" w:hAnsi="Liberation Serif" w:eastAsia="Liberation Serif" w:cs="Liberation Serif"/>
        </w:rPr>
      </w:r>
      <w:bookmarkEnd w:id="2"/>
      <w:r>
        <w:rPr>
          <w:rFonts w:ascii="Liberation Serif" w:hAnsi="Liberation Serif" w:eastAsia="Liberation Serif" w:cs="Liberation Serif"/>
        </w:rPr>
      </w:r>
      <w:bookmarkEnd w:id="3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color w:val="auto"/>
          <w:sz w:val="24"/>
          <w:szCs w:val="24"/>
        </w:rPr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b/>
          <w:bCs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Информационное обеспечение проведения закупки: Интернет-сайт: </w:t>
      </w:r>
      <w:r>
        <w:rPr>
          <w:rFonts w:ascii="Liberation Serif" w:hAnsi="Liberation Serif" w:eastAsia="Liberation Serif" w:cs="Liberation Serif"/>
          <w:b/>
        </w:rPr>
        <w:t xml:space="preserve">www.zakupki.gov.ru,</w:t>
      </w:r>
      <w:r>
        <w:rPr>
          <w:rFonts w:ascii="Liberation Serif" w:hAnsi="Liberation Serif" w:eastAsia="Liberation Serif" w:cs="Liberation Serif"/>
          <w:color w:val="0070c0"/>
        </w:rPr>
        <w:t xml:space="preserve"> 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Электронная торговая площадка: </w:t>
      </w:r>
      <w:r>
        <w:rPr>
          <w:rFonts w:ascii="Liberation Serif" w:hAnsi="Liberation Serif" w:eastAsia="Liberation Serif" w:cs="Liberation Serif"/>
          <w:b/>
        </w:rPr>
        <w:t xml:space="preserve">www.tektorg.ru, </w:t>
      </w:r>
      <w:r>
        <w:rPr>
          <w:rFonts w:ascii="Liberation Serif" w:hAnsi="Liberation Serif" w:eastAsia="Liberation Serif" w:cs="Liberation Serif"/>
        </w:rPr>
        <w:t xml:space="preserve">сайт организатора закупки </w:t>
      </w:r>
      <w:r>
        <w:rPr>
          <w:rFonts w:ascii="Liberation Serif" w:hAnsi="Liberation Serif" w:eastAsia="Liberation Serif" w:cs="Liberation Serif"/>
          <w:b/>
        </w:rPr>
        <w:t xml:space="preserve">www.interrao-zakupki.ru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cs="Liberation Serif"/>
          <w:b/>
          <w:bCs/>
        </w:rPr>
      </w:r>
    </w:p>
    <w:p>
      <w:pPr>
        <w:pStyle w:val="1045"/>
        <w:rPr>
          <w:rStyle w:val="1043"/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Style w:val="1043"/>
          <w:rFonts w:ascii="Liberation Serif" w:hAnsi="Liberation Serif" w:cs="Liberation Serif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Отмена закупки: </w:t>
      </w:r>
      <w:r>
        <w:rPr>
          <w:rFonts w:ascii="Liberation Serif" w:hAnsi="Liberation Serif" w:eastAsia="Liberation Serif" w:cs="Liberation Serif"/>
          <w:color w:val="000000"/>
        </w:rPr>
        <w:t xml:space="preserve">В любое время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 По истечении срока отмены конкурентной закупки и до заключения договора организатор закупки/заказчик вправе</w:t>
      </w:r>
      <w:r>
        <w:rPr>
          <w:rFonts w:ascii="Liberation Serif" w:hAnsi="Liberation Serif" w:eastAsia="Liberation Serif" w:cs="Liberation Serif"/>
          <w:szCs w:val="28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tabs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Наименование Заказчика: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numPr>
          <w:ilvl w:val="0"/>
          <w:numId w:val="15"/>
        </w:numPr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eastAsia="Liberation Serif" w:cs="Liberation Serif"/>
          <w:b/>
          <w:sz w:val="24"/>
        </w:rPr>
        <w:t xml:space="preserve">ООО «</w:t>
      </w:r>
      <w:r>
        <w:rPr>
          <w:rFonts w:ascii="Liberation Serif" w:hAnsi="Liberation Serif" w:eastAsia="Liberation Serif" w:cs="Liberation Serif"/>
          <w:b/>
          <w:sz w:val="24"/>
        </w:rPr>
        <w:t xml:space="preserve">БашРТС</w:t>
      </w:r>
      <w:r>
        <w:rPr>
          <w:rFonts w:ascii="Liberation Serif" w:hAnsi="Liberation Serif" w:eastAsia="Liberation Serif" w:cs="Liberation Serif"/>
          <w:b/>
          <w:sz w:val="24"/>
        </w:rPr>
        <w:t xml:space="preserve">»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Место нахождения: 450112, РБ, г. Уфа, ул. Ульяновых, д. 59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Почтовый адрес: 450059, г. Уфа, ул. Р. Зорге, д.3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4"/>
        </w:rPr>
        <w:t xml:space="preserve">Адрес электронной п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очты: </w:t>
      </w:r>
      <w:hyperlink r:id="rId16" w:tooltip="http://bashrts@bgkrb.ru" w:history="1">
        <w:r>
          <w:rPr>
            <w:rFonts w:ascii="Liberation Serif" w:hAnsi="Liberation Serif" w:eastAsia="Liberation Serif" w:cs="Liberation Serif"/>
            <w:sz w:val="24"/>
            <w:szCs w:val="24"/>
          </w:rPr>
          <w:t xml:space="preserve">bashrts@bgkrb.ru</w:t>
        </w:r>
        <w:r>
          <w:rPr>
            <w:rFonts w:ascii="Liberation Serif" w:hAnsi="Liberation Serif" w:cs="Liberation Serif"/>
            <w:sz w:val="24"/>
            <w:szCs w:val="24"/>
            <w:highlight w:val="none"/>
            <w14:ligatures w14:val="none"/>
          </w:rPr>
        </w:r>
      </w:hyperlink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Контактный телефон: +7 (347) 269-23-59, 260-86-96</w:t>
      </w: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eastAsia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highlight w:val="none"/>
        </w:rPr>
      </w:r>
      <w:r>
        <w:rPr>
          <w:rFonts w:ascii="Liberation Serif" w:hAnsi="Liberation Serif" w:eastAsia="Liberation Serif" w:cs="Liberation Serif"/>
          <w:b/>
          <w:bCs/>
          <w:highlight w:val="none"/>
        </w:rPr>
      </w:r>
    </w:p>
    <w:p>
      <w:pPr>
        <w:pStyle w:val="1032"/>
        <w:numPr>
          <w:ilvl w:val="0"/>
          <w:numId w:val="15"/>
        </w:numPr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АО "ТомскРТС"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14:ligatures w14:val="none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Место нахождения: 634050, г. Томск, переулок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Нахановича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4 А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  <w14:ligatures w14:val="none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Почтовый адрес: 634050, г. Томск, переулок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Нахановича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4 А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  <w14:ligatures w14:val="none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Адрес электронной п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очты: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office@tomskrts.ru 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Контактный телефон: 8-3822-469469, факс 8-3822-469722</w:t>
      </w: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</w:p>
    <w:p>
      <w:pPr>
        <w:pStyle w:val="1032"/>
        <w:numPr>
          <w:ilvl w:val="0"/>
          <w:numId w:val="15"/>
        </w:numPr>
        <w:spacing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АО «</w:t>
      </w:r>
      <w:r>
        <w:rPr>
          <w:rFonts w:ascii="Liberation Serif" w:hAnsi="Liberation Serif" w:eastAsia="Liberation Serif" w:cs="Liberation Serif"/>
          <w:b/>
          <w:bCs/>
          <w:sz w:val="24"/>
        </w:rPr>
        <w:t xml:space="preserve">ОмскРТС</w:t>
      </w:r>
      <w:r>
        <w:rPr>
          <w:rFonts w:ascii="Liberation Serif" w:hAnsi="Liberation Serif" w:eastAsia="Liberation Serif" w:cs="Liberation Serif"/>
          <w:b/>
          <w:bCs/>
          <w:sz w:val="24"/>
        </w:rPr>
        <w:t xml:space="preserve">»</w:t>
      </w:r>
      <w:r>
        <w:rPr>
          <w:rFonts w:ascii="Liberation Serif" w:hAnsi="Liberation Serif" w:cs="Liberation Serif"/>
          <w:b/>
          <w:bCs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</w:rPr>
        <w:t xml:space="preserve">Место нахождения: г. Омск, ул. Партизанская, д. 10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</w:rPr>
        <w:t xml:space="preserve">Почтовый адрес: г. Омск, ул. Партизанская, д. 10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</w:rPr>
        <w:t xml:space="preserve">Адрес электронной почты: tgk11@tgk11.com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Контактный телефон: +7 (383) 289-27-50</w:t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  <w:highlight w:val="none"/>
        </w:rPr>
      </w:r>
      <w:r>
        <w:rPr>
          <w:rFonts w:ascii="Liberation Serif" w:hAnsi="Liberation Serif" w:eastAsia="Liberation Serif" w:cs="Liberation Serif"/>
          <w:sz w:val="24"/>
          <w:highlight w:val="none"/>
        </w:rPr>
      </w:r>
    </w:p>
    <w:p>
      <w:pPr>
        <w:pStyle w:val="1032"/>
        <w:numPr>
          <w:ilvl w:val="0"/>
          <w:numId w:val="15"/>
        </w:numPr>
        <w:spacing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ООО "БГК"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highlight w:val="none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Место нахождения: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450059, г. Уфа, ул. Р. Зорге, д.3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Почтовый адрес: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450059, г. Уфа, ул. Р. Зорге, д.3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Адрес электронной почты: </w:t>
      </w:r>
      <w:r>
        <w:rPr>
          <w:rFonts w:ascii="Liberation Serif" w:hAnsi="Liberation Serif" w:eastAsia="Liberation Serif" w:cs="Liberation Serif"/>
          <w:sz w:val="24"/>
          <w:szCs w:val="24"/>
        </w:rPr>
      </w:r>
      <w:hyperlink r:id="rId17" w:tooltip="mailto:office@bgkrb.ru" w:history="1">
        <w:r>
          <w:rPr>
            <w:rFonts w:ascii="Liberation Serif" w:hAnsi="Liberation Serif" w:eastAsia="Liberation Serif" w:cs="Liberation Serif"/>
            <w:sz w:val="24"/>
            <w:szCs w:val="24"/>
          </w:rPr>
          <w:t xml:space="preserve">office@bgkrb.ru</w:t>
        </w:r>
      </w:hyperlink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  <w14:ligatures w14:val="none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Контактный телефон: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+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7 (347) 222-86-25</w:t>
      </w:r>
      <w:r>
        <w:rPr>
          <w:rFonts w:ascii="Liberation Serif" w:hAnsi="Liberation Serif" w:eastAsia="Liberation Serif" w:cs="Liberation Serif"/>
          <w:sz w:val="24"/>
          <w:szCs w:val="24"/>
          <w14:ligatures w14:val="none"/>
        </w:rPr>
      </w:r>
      <w:r>
        <w:rPr>
          <w:rFonts w:ascii="Liberation Serif" w:hAnsi="Liberation Serif" w:eastAsia="Liberation Serif" w:cs="Liberation Serif"/>
          <w:sz w:val="24"/>
          <w:szCs w:val="24"/>
          <w14:ligatures w14:val="none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</w:p>
    <w:p>
      <w:pPr>
        <w:pStyle w:val="1032"/>
        <w:numPr>
          <w:ilvl w:val="0"/>
          <w:numId w:val="15"/>
        </w:numPr>
        <w:spacing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АО ТГК-11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Место нахождения: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644037, Омская область, г. Омск, ул. Партизанская, д. 10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Почтовый адрес: 644037, Омская область, г. Омск, ул. Партизанская, д. 10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Адрес электронной п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очты: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tgk11@tgk11.com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Контактный телефон: (383) 289-27-50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 w:firstLine="0"/>
        <w:spacing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p>
      <w:pPr>
        <w:pStyle w:val="1032"/>
        <w:numPr>
          <w:ilvl w:val="0"/>
          <w:numId w:val="15"/>
        </w:numPr>
        <w:spacing w:line="240" w:lineRule="auto"/>
        <w:tabs>
          <w:tab w:val="left" w:pos="1701" w:leader="none"/>
        </w:tabs>
        <w:rPr>
          <w:rFonts w:ascii="Liberation Serif" w:hAnsi="Liberation Serif" w:cs="Liberation Serif"/>
          <w:b/>
          <w:b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АО "Томская генерация"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Место нахождения: 634041, г. Томск, пр. Кирова,36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Почтовый адрес: 634041, г. Томск, пр. Кирова,36 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Адрес электронной почты: </w:t>
      </w:r>
      <w:hyperlink r:id="rId18" w:tooltip="mailto:tomgen@interrao.ru" w:history="1">
        <w:r>
          <w:rPr>
            <w:rFonts w:ascii="Liberation Serif" w:hAnsi="Liberation Serif" w:eastAsia="Liberation Serif" w:cs="Liberation Serif"/>
            <w:sz w:val="24"/>
            <w:szCs w:val="24"/>
          </w:rPr>
          <w:t xml:space="preserve">tomgen@interrao.ru</w:t>
        </w:r>
      </w:hyperlink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bookmarkStart w:id="39" w:name="_Toc524680499"/>
      <w:r>
        <w:rPr>
          <w:rFonts w:ascii="Liberation Serif" w:hAnsi="Liberation Serif" w:eastAsia="Liberation Serif" w:cs="Liberation Serif"/>
          <w:sz w:val="24"/>
          <w:szCs w:val="24"/>
        </w:rPr>
      </w:r>
      <w:bookmarkStart w:id="40" w:name="_Toc524680697"/>
      <w:r>
        <w:rPr>
          <w:rFonts w:ascii="Liberation Serif" w:hAnsi="Liberation Serif" w:eastAsia="Liberation Serif" w:cs="Liberation Serif"/>
          <w:sz w:val="24"/>
          <w:szCs w:val="24"/>
        </w:rPr>
        <w:t xml:space="preserve">Контактный телеф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он: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+7 (3822) 55-46-45</w:t>
      </w:r>
      <w:bookmarkEnd w:id="39"/>
      <w:r>
        <w:rPr>
          <w:rFonts w:ascii="Liberation Serif" w:hAnsi="Liberation Serif" w:eastAsia="Liberation Serif" w:cs="Liberation Serif"/>
          <w:sz w:val="24"/>
          <w:szCs w:val="24"/>
        </w:rPr>
      </w:r>
      <w:bookmarkEnd w:id="40"/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numPr>
          <w:ilvl w:val="0"/>
          <w:numId w:val="15"/>
        </w:numPr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b/>
          <w:sz w:val="24"/>
        </w:rPr>
        <w:t xml:space="preserve">АО «Интер РАО – </w:t>
      </w:r>
      <w:r>
        <w:rPr>
          <w:rFonts w:ascii="Liberation Serif" w:hAnsi="Liberation Serif" w:eastAsia="Liberation Serif" w:cs="Liberation Serif"/>
          <w:b/>
          <w:sz w:val="24"/>
        </w:rPr>
        <w:t xml:space="preserve">Электрогенерация</w:t>
      </w:r>
      <w:r>
        <w:rPr>
          <w:rFonts w:ascii="Liberation Serif" w:hAnsi="Liberation Serif" w:eastAsia="Liberation Serif" w:cs="Liberation Serif"/>
          <w:b/>
          <w:sz w:val="24"/>
        </w:rPr>
        <w:t xml:space="preserve">»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Место нахождения: 119435, Россия, г. Москва, ул. Большая </w:t>
      </w:r>
      <w:r>
        <w:rPr>
          <w:rFonts w:ascii="Liberation Serif" w:hAnsi="Liberation Serif" w:eastAsia="Liberation Serif" w:cs="Liberation Serif"/>
          <w:sz w:val="24"/>
        </w:rPr>
        <w:t xml:space="preserve">Пироговская</w:t>
      </w:r>
      <w:r>
        <w:rPr>
          <w:rFonts w:ascii="Liberation Serif" w:hAnsi="Liberation Serif" w:eastAsia="Liberation Serif" w:cs="Liberation Serif"/>
          <w:sz w:val="24"/>
        </w:rPr>
        <w:t xml:space="preserve">, д.27, стр.1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Почтовый адрес: 119435, Россия, г. Москва, ул. Большая </w:t>
      </w:r>
      <w:r>
        <w:rPr>
          <w:rFonts w:ascii="Liberation Serif" w:hAnsi="Liberation Serif" w:eastAsia="Liberation Serif" w:cs="Liberation Serif"/>
          <w:sz w:val="24"/>
        </w:rPr>
        <w:t xml:space="preserve">Пироговская</w:t>
      </w:r>
      <w:r>
        <w:rPr>
          <w:rFonts w:ascii="Liberation Serif" w:hAnsi="Liberation Serif" w:eastAsia="Liberation Serif" w:cs="Liberation Serif"/>
          <w:sz w:val="24"/>
        </w:rPr>
        <w:t xml:space="preserve">, д.27, стр.1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Адрес электронной почты: UEG.office@interrao.ru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Контактный телефон: +7 (495) 664-76-80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1287"/>
        <w:spacing w:before="0" w:line="240" w:lineRule="auto"/>
        <w:tabs>
          <w:tab w:val="left" w:pos="170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Наименование Организатора закупки: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eastAsia="Liberation Serif" w:cs="Liberation Serif"/>
          <w:b/>
          <w:sz w:val="24"/>
        </w:rPr>
        <w:t xml:space="preserve">ООО «Интер РАО – Центр управления закупками»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Место нахождения:119435, Россия, г. Москва, ул. Большая Пироговская, д. 27, стр. 3.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Почтовый адрес: 119435, Россия, г. Москва, ул. Большая Пироговская, д. 27, стр. 3.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Контактное лицо: </w:t>
      </w:r>
      <w:bookmarkStart w:id="4" w:name="_Toc524680699"/>
      <w:r>
        <w:rPr>
          <w:rFonts w:ascii="Liberation Serif" w:hAnsi="Liberation Serif" w:eastAsia="Liberation Serif" w:cs="Liberation Serif"/>
        </w:rPr>
      </w:r>
      <w:bookmarkStart w:id="5" w:name="_Toc524680501"/>
      <w:r>
        <w:rPr>
          <w:rFonts w:ascii="Liberation Serif" w:hAnsi="Liberation Serif" w:eastAsia="Liberation Serif" w:cs="Liberation Serif"/>
          <w:sz w:val="24"/>
        </w:rPr>
        <w:t xml:space="preserve">Кожушнян Наталья Валерьевна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Контактный телефон: +7 (495) 664 8840 доб. 3154</w:t>
      </w:r>
      <w:bookmarkEnd w:id="4"/>
      <w:r>
        <w:rPr>
          <w:rFonts w:ascii="Liberation Serif" w:hAnsi="Liberation Serif" w:eastAsia="Liberation Serif" w:cs="Liberation Serif"/>
        </w:rPr>
      </w:r>
      <w:bookmarkEnd w:id="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Адрес электронной почты: kozhushnyan_nv@interrao.ru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Предмет закупки: право заключения договора. 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12"/>
        </w:numPr>
        <w:ind w:left="567" w:hanging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Краткое описание предмета закупки: в соответствии с разделом 6 «Техническая часть» Закупочной документации.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i/>
          <w:color w:val="548dd4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Предмет договора:</w:t>
      </w:r>
      <w:r>
        <w:rPr>
          <w:rFonts w:ascii="Liberation Serif" w:hAnsi="Liberation Serif" w:cs="Liberation Serif"/>
          <w:i/>
          <w:color w:val="548dd4"/>
        </w:rPr>
      </w:r>
    </w:p>
    <w:p>
      <w:pPr>
        <w:pStyle w:val="1045"/>
        <w:ind w:left="567"/>
        <w:spacing w:before="60" w:after="60"/>
        <w:rPr>
          <w:rFonts w:ascii="Liberation Serif" w:hAnsi="Liberation Serif" w:cs="Liberation Serif"/>
          <w:color w:val="548dd4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  <w:b/>
          <w:bCs/>
        </w:rPr>
        <w:t xml:space="preserve">Поставка труб большого диаметра</w:t>
      </w:r>
      <w:r>
        <w:rPr>
          <w:rFonts w:ascii="Liberation Serif" w:hAnsi="Liberation Serif" w:eastAsia="Liberation Serif" w:cs="Liberation Serif"/>
          <w:b/>
          <w:bCs/>
        </w:rPr>
        <w:t xml:space="preserve"> </w:t>
      </w:r>
      <w:r>
        <w:rPr>
          <w:rFonts w:ascii="Liberation Serif" w:hAnsi="Liberation Serif" w:eastAsia="Liberation Serif" w:cs="Liberation Serif"/>
          <w:b/>
          <w:bCs/>
        </w:rPr>
        <w:t xml:space="preserve">для нужд </w:t>
      </w:r>
      <w:bookmarkStart w:id="6" w:name="undefined"/>
      <w:r>
        <w:rPr>
          <w:rFonts w:ascii="Liberation Serif" w:hAnsi="Liberation Serif" w:eastAsia="Liberation Serif" w:cs="Liberation Serif"/>
          <w:b/>
          <w:bCs/>
        </w:rPr>
        <w:t xml:space="preserve">ООО «</w:t>
      </w:r>
      <w:r>
        <w:rPr>
          <w:rFonts w:ascii="Liberation Serif" w:hAnsi="Liberation Serif" w:eastAsia="Liberation Serif" w:cs="Liberation Serif"/>
          <w:b/>
          <w:bCs/>
        </w:rPr>
        <w:t xml:space="preserve">БашРТС</w:t>
      </w:r>
      <w:r>
        <w:rPr>
          <w:rFonts w:ascii="Liberation Serif" w:hAnsi="Liberation Serif" w:eastAsia="Liberation Serif" w:cs="Liberation Serif"/>
          <w:b/>
          <w:bCs/>
        </w:rPr>
        <w:t xml:space="preserve">», </w:t>
      </w:r>
      <w:r>
        <w:rPr>
          <w:rFonts w:ascii="Liberation Serif" w:hAnsi="Liberation Serif" w:eastAsia="Liberation Serif" w:cs="Liberation Serif"/>
          <w:b/>
          <w:bCs/>
        </w:rPr>
        <w:t xml:space="preserve">АО "ТомскРТС", </w:t>
      </w:r>
      <w:r>
        <w:rPr>
          <w:rFonts w:ascii="Liberation Serif" w:hAnsi="Liberation Serif" w:eastAsia="Liberation Serif" w:cs="Liberation Serif"/>
          <w:b/>
          <w:bCs/>
        </w:rPr>
        <w:t xml:space="preserve">АО «Омск РТС», </w:t>
      </w: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eastAsia="Liberation Serif" w:cs="Liberation Serif"/>
          <w:b/>
          <w:bCs/>
        </w:rPr>
        <w:t xml:space="preserve">ООО "БГК"</w:t>
      </w:r>
      <w:r/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eastAsia="Liberation Serif" w:cs="Liberation Serif"/>
          <w:b/>
          <w:bCs/>
        </w:rPr>
        <w:t xml:space="preserve">, </w:t>
      </w:r>
      <w:r>
        <w:rPr>
          <w:rFonts w:ascii="Liberation Serif" w:hAnsi="Liberation Serif" w:eastAsia="Liberation Serif" w:cs="Liberation Serif"/>
          <w:b/>
          <w:bCs/>
        </w:rPr>
        <w:t xml:space="preserve">АО ТГК-11</w:t>
      </w:r>
      <w:r>
        <w:rPr>
          <w:rFonts w:ascii="Liberation Serif" w:hAnsi="Liberation Serif" w:eastAsia="Liberation Serif" w:cs="Liberation Serif"/>
          <w:b/>
          <w:bCs/>
        </w:rPr>
        <w:t xml:space="preserve">, </w:t>
      </w:r>
      <w:r>
        <w:rPr>
          <w:rFonts w:ascii="Liberation Serif" w:hAnsi="Liberation Serif" w:eastAsia="Liberation Serif" w:cs="Liberation Serif"/>
          <w:b/>
          <w:bCs/>
        </w:rPr>
        <w:t xml:space="preserve">АО "Томская генерация"</w:t>
      </w:r>
      <w:r>
        <w:rPr>
          <w:rFonts w:ascii="Liberation Serif" w:hAnsi="Liberation Serif" w:eastAsia="Liberation Serif" w:cs="Liberation Serif"/>
          <w:b/>
          <w:bCs/>
        </w:rPr>
        <w:t xml:space="preserve">, </w:t>
      </w:r>
      <w:r>
        <w:rPr>
          <w:rFonts w:ascii="Liberation Serif" w:hAnsi="Liberation Serif" w:eastAsia="Liberation Serif" w:cs="Liberation Serif"/>
          <w:b/>
          <w:bCs/>
        </w:rPr>
        <w:t xml:space="preserve">филиала «</w:t>
      </w:r>
      <w:r>
        <w:rPr>
          <w:rFonts w:ascii="Liberation Serif" w:hAnsi="Liberation Serif" w:eastAsia="Liberation Serif" w:cs="Liberation Serif"/>
          <w:b/>
          <w:bCs/>
        </w:rPr>
        <w:t xml:space="preserve">Гусиноозёрская</w:t>
      </w:r>
      <w:r>
        <w:rPr>
          <w:rFonts w:ascii="Liberation Serif" w:hAnsi="Liberation Serif" w:eastAsia="Liberation Serif" w:cs="Liberation Serif"/>
          <w:b/>
          <w:bCs/>
        </w:rPr>
        <w:t xml:space="preserve"> ГРЭС» АО «Интер РАО – </w:t>
      </w:r>
      <w:r>
        <w:rPr>
          <w:rFonts w:ascii="Liberation Serif" w:hAnsi="Liberation Serif" w:eastAsia="Liberation Serif" w:cs="Liberation Serif"/>
          <w:b/>
          <w:bCs/>
        </w:rPr>
        <w:t xml:space="preserve">Электрогенерация</w:t>
      </w:r>
      <w:r>
        <w:rPr>
          <w:rFonts w:ascii="Liberation Serif" w:hAnsi="Liberation Serif" w:eastAsia="Liberation Serif" w:cs="Liberation Serif"/>
          <w:b/>
          <w:bCs/>
        </w:rPr>
        <w:t xml:space="preserve">» 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color w:val="548dd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Объем поставляемых товаров: в соответствии с разделом 6 «Техническая часть» Закупочной документации.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567" w:hanging="567"/>
        <w:spacing w:before="0" w:line="240" w:lineRule="auto"/>
        <w:tabs>
          <w:tab w:val="left" w:pos="85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ab/>
        <w:t xml:space="preserve">Подробное описание и требования к закупаемому товару, а также условия договора содержатся в Закупочной документации, которая является неотъемлемой частью Извещения о проведении закупки.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 w:hanging="567"/>
        <w:spacing w:before="0" w:line="240" w:lineRule="auto"/>
        <w:tabs>
          <w:tab w:val="left" w:pos="85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Сроки поставки товара, выполнения работ, оказания услуг: в соответствии с разделом 6 «Техническая часть» Закупочной документации.</w:t>
      </w:r>
      <w:r>
        <w:rPr>
          <w:rStyle w:val="1043"/>
          <w:rFonts w:ascii="Liberation Serif" w:hAnsi="Liberation Serif" w:cs="Liberation Serif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Style w:val="1043"/>
          <w:rFonts w:ascii="Liberation Serif" w:hAnsi="Liberation Serif" w:cs="Liberation Serif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Место поставки товара: в соответствии с разделом 6 «Техническая часть» Закупочной документации.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Сведения о начальной (максимальной) цене договора (лота):</w:t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rPr>
          <w:rFonts w:ascii="Liberation Serif" w:hAnsi="Liberation Serif" w:cs="Liberation Serif"/>
        </w:rPr>
      </w:pPr>
      <w:r>
        <w:rPr>
          <w:rStyle w:val="1043"/>
          <w:rFonts w:ascii="Liberation Serif" w:hAnsi="Liberation Serif" w:eastAsia="Liberation Serif" w:cs="Liberation Serif"/>
          <w:b/>
          <w:color w:val="auto"/>
          <w:highlight w:val="yellow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  <w:vertAlign w:val="baseline"/>
        </w:rPr>
        <w:t xml:space="preserve">142 932 310,12</w:t>
      </w:r>
      <w:r>
        <w:rPr>
          <w:rStyle w:val="1043"/>
          <w:rFonts w:ascii="Liberation Serif" w:hAnsi="Liberation Serif" w:eastAsia="Liberation Serif" w:cs="Liberation Serif"/>
          <w:b/>
          <w:bCs/>
          <w:color w:val="auto"/>
          <w:sz w:val="24"/>
          <w:szCs w:val="24"/>
          <w:highlight w:val="yellow"/>
          <w:vertAlign w:val="baseline"/>
        </w:rPr>
        <w:t xml:space="preserve"> </w:t>
      </w:r>
      <w:r>
        <w:rPr>
          <w:rFonts w:ascii="Liberation Serif" w:hAnsi="Liberation Serif" w:eastAsia="Liberation Serif" w:cs="Liberation Serif"/>
          <w:b/>
          <w:sz w:val="26"/>
          <w:szCs w:val="26"/>
          <w:highlight w:val="yellow"/>
        </w:rPr>
        <w:t xml:space="preserve">руб. без НДС</w:t>
      </w:r>
      <w:r>
        <w:rPr>
          <w:rFonts w:ascii="Liberation Serif" w:hAnsi="Liberation Serif" w:eastAsia="Liberation Serif" w:cs="Liberation Serif"/>
          <w:b/>
          <w:sz w:val="26"/>
          <w:szCs w:val="26"/>
        </w:rPr>
        <w:t xml:space="preserve">, в т.ч. по заказчикам</w:t>
      </w:r>
      <w:r>
        <w:rPr>
          <w:rFonts w:ascii="Liberation Serif" w:hAnsi="Liberation Serif" w:eastAsia="Liberation Serif" w:cs="Liberation Serif"/>
          <w:b/>
        </w:rPr>
        <w:t xml:space="preserve">: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ООО «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БашРТС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 -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29 006 120,76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АО "ТомскРТС"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-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25 961 700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АО "Омск РТС"  - 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41 747 890,40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b w:val="0"/>
          <w:bCs w:val="0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ООО "БГК"</w:t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-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1 287 063,75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  <w:highlight w:val="none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АО ТГК-11 -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8 741 480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b w:val="0"/>
          <w:bCs w:val="0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АО "Томская генерация"</w:t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 -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1 662 800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yellow"/>
        </w:rPr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  <w:highlight w:val="none"/>
        </w:rPr>
      </w:r>
    </w:p>
    <w:p>
      <w:pPr>
        <w:pStyle w:val="1045"/>
        <w:numPr>
          <w:ilvl w:val="0"/>
          <w:numId w:val="15"/>
        </w:numPr>
        <w:contextualSpacing w:val="0"/>
        <w:ind w:left="993" w:right="-141"/>
        <w:jc w:val="both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Гусиноозерская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ГРЭС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4"/>
          <w:szCs w:val="24"/>
        </w:rPr>
        <w:t xml:space="preserve">АО</w:t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«Интер РАО –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Электрогенерация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 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yellow"/>
        </w:rPr>
        <w:t xml:space="preserve">34 525 255,21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руб. без НДС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color w:val="548dd4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Обеспечение исполнения обязательств, связанных с подачей заявки на участие в закупке:</w:t>
      </w:r>
      <w:r>
        <w:rPr>
          <w:rFonts w:ascii="Liberation Serif" w:hAnsi="Liberation Serif" w:cs="Liberation Serif"/>
          <w:color w:val="548dd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не требуется.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Требования, предъявляемые к участникам закупки: в соответствии с требованиями, установленными в Закупочной документации.</w:t>
      </w:r>
      <w:r>
        <w:rPr>
          <w:rStyle w:val="1043"/>
          <w:rFonts w:ascii="Liberation Serif" w:hAnsi="Liberation Serif" w:cs="Liberation Serif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Style w:val="1043"/>
          <w:rFonts w:ascii="Liberation Serif" w:hAnsi="Liberation Serif" w:cs="Liberation Serif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i/>
          <w:color w:val="548dd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Требования, предъявляемые к поставляемым товарам, выполняемым работам, оказываемым 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услугам: </w:t>
      </w:r>
      <w:r>
        <w:rPr>
          <w:rFonts w:ascii="Liberation Serif" w:hAnsi="Liberation Serif" w:eastAsia="Liberation Serif" w:cs="Liberation Serif"/>
        </w:rPr>
        <w:t xml:space="preserve">в соответствии с разделом 6 «Техническая часть» Закупочной документации.</w:t>
      </w:r>
      <w:r>
        <w:rPr>
          <w:rFonts w:ascii="Liberation Serif" w:hAnsi="Liberation Serif" w:cs="Liberation Serif"/>
          <w:i/>
          <w:color w:val="548dd4"/>
        </w:rPr>
      </w:r>
    </w:p>
    <w:p>
      <w:pPr>
        <w:pStyle w:val="1045"/>
        <w:rPr>
          <w:rFonts w:ascii="Liberation Serif" w:hAnsi="Liberation Serif" w:cs="Liberation Serif"/>
          <w:i/>
          <w:color w:val="548dd4"/>
        </w:rPr>
      </w:pPr>
      <w:r>
        <w:rPr>
          <w:rFonts w:ascii="Liberation Serif" w:hAnsi="Liberation Serif" w:eastAsia="Liberation Serif" w:cs="Liberation Serif"/>
          <w:i/>
          <w:color w:val="548dd4"/>
        </w:rPr>
      </w:r>
      <w:r>
        <w:rPr>
          <w:rFonts w:ascii="Liberation Serif" w:hAnsi="Liberation Serif" w:cs="Liberation Serif"/>
          <w:i/>
          <w:color w:val="548dd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Возможность проведения переторжки: </w:t>
      </w:r>
      <w:r>
        <w:rPr>
          <w:rFonts w:ascii="Liberation Serif" w:hAnsi="Liberation Serif" w:eastAsia="Liberation Serif" w:cs="Liberation Serif"/>
          <w:b/>
          <w:u w:val="single"/>
        </w:rPr>
        <w:t xml:space="preserve">возможно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bookmarkStart w:id="7" w:name="_Toc170127762"/>
      <w:r>
        <w:rPr>
          <w:rFonts w:ascii="Liberation Serif" w:hAnsi="Liberation Serif" w:eastAsia="Liberation Serif" w:cs="Liberation Serif"/>
        </w:rPr>
      </w:r>
      <w:bookmarkStart w:id="8" w:name="_Ref170128607"/>
      <w:r>
        <w:rPr>
          <w:rFonts w:ascii="Liberation Serif" w:hAnsi="Liberation Serif" w:eastAsia="Liberation Serif" w:cs="Liberation Serif"/>
        </w:rPr>
      </w:r>
      <w:bookmarkStart w:id="9" w:name="_Ref170128990"/>
      <w:r>
        <w:rPr>
          <w:rFonts w:ascii="Liberation Serif" w:hAnsi="Liberation Serif" w:eastAsia="Liberation Serif" w:cs="Liberation Serif"/>
        </w:rPr>
      </w:r>
      <w:bookmarkStart w:id="10" w:name="_Toc524680342"/>
      <w:r>
        <w:rPr>
          <w:rFonts w:ascii="Liberation Serif" w:hAnsi="Liberation Serif" w:eastAsia="Liberation Serif" w:cs="Liberation Serif"/>
        </w:rPr>
      </w:r>
      <w:bookmarkStart w:id="11" w:name="_Toc524680538"/>
      <w:r>
        <w:rPr>
          <w:rFonts w:ascii="Liberation Serif" w:hAnsi="Liberation Serif" w:eastAsia="Liberation Serif" w:cs="Liberation Serif"/>
        </w:rPr>
      </w:r>
      <w:bookmarkStart w:id="12" w:name="_Toc524680736"/>
      <w:r>
        <w:rPr>
          <w:rFonts w:ascii="Liberation Serif" w:hAnsi="Liberation Serif" w:eastAsia="Liberation Serif" w:cs="Liberation Serif"/>
        </w:rPr>
      </w:r>
      <w:bookmarkStart w:id="13" w:name="_Ref177634192"/>
      <w:r>
        <w:rPr>
          <w:rFonts w:ascii="Liberation Serif" w:hAnsi="Liberation Serif" w:eastAsia="Liberation Serif" w:cs="Liberation Serif"/>
        </w:rPr>
      </w:r>
      <w:bookmarkStart w:id="14" w:name="_Ref177655291"/>
      <w:r>
        <w:rPr>
          <w:rFonts w:ascii="Liberation Serif" w:hAnsi="Liberation Serif" w:eastAsia="Liberation Serif" w:cs="Liberation Serif"/>
        </w:rPr>
      </w:r>
      <w:bookmarkStart w:id="15" w:name="_Toc184154972"/>
      <w:r>
        <w:rPr>
          <w:rFonts w:ascii="Liberation Serif" w:hAnsi="Liberation Serif" w:eastAsia="Liberation Serif" w:cs="Liberation Serif"/>
        </w:rPr>
      </w:r>
      <w:bookmarkStart w:id="16" w:name="_Ref188456627"/>
      <w:r>
        <w:rPr>
          <w:rFonts w:ascii="Liberation Serif" w:hAnsi="Liberation Serif" w:eastAsia="Liberation Serif" w:cs="Liberation Serif"/>
          <w:b/>
          <w:u w:val="single"/>
        </w:rPr>
        <w:t xml:space="preserve">Сведения о предоставлении </w:t>
      </w:r>
      <w:bookmarkEnd w:id="7"/>
      <w:r>
        <w:rPr>
          <w:rFonts w:ascii="Liberation Serif" w:hAnsi="Liberation Serif" w:eastAsia="Liberation Serif" w:cs="Liberation Serif"/>
        </w:rPr>
      </w:r>
      <w:bookmarkEnd w:id="8"/>
      <w:r>
        <w:rPr>
          <w:rFonts w:ascii="Liberation Serif" w:hAnsi="Liberation Serif" w:eastAsia="Liberation Serif" w:cs="Liberation Serif"/>
        </w:rPr>
      </w:r>
      <w:bookmarkEnd w:id="9"/>
      <w:r>
        <w:rPr>
          <w:rFonts w:ascii="Liberation Serif" w:hAnsi="Liberation Serif" w:eastAsia="Liberation Serif" w:cs="Liberation Serif"/>
        </w:rPr>
      </w:r>
      <w:bookmarkEnd w:id="10"/>
      <w:r>
        <w:rPr>
          <w:rFonts w:ascii="Liberation Serif" w:hAnsi="Liberation Serif" w:eastAsia="Liberation Serif" w:cs="Liberation Serif"/>
        </w:rPr>
      </w:r>
      <w:bookmarkEnd w:id="11"/>
      <w:r>
        <w:rPr>
          <w:rFonts w:ascii="Liberation Serif" w:hAnsi="Liberation Serif" w:eastAsia="Liberation Serif" w:cs="Liberation Serif"/>
        </w:rPr>
      </w:r>
      <w:bookmarkEnd w:id="12"/>
      <w:r>
        <w:rPr>
          <w:rFonts w:ascii="Liberation Serif" w:hAnsi="Liberation Serif" w:eastAsia="Liberation Serif" w:cs="Liberation Serif"/>
        </w:rPr>
      </w:r>
      <w:bookmarkEnd w:id="13"/>
      <w:r>
        <w:rPr>
          <w:rFonts w:ascii="Liberation Serif" w:hAnsi="Liberation Serif" w:eastAsia="Liberation Serif" w:cs="Liberation Serif"/>
        </w:rPr>
      </w:r>
      <w:bookmarkEnd w:id="14"/>
      <w:r>
        <w:rPr>
          <w:rFonts w:ascii="Liberation Serif" w:hAnsi="Liberation Serif" w:eastAsia="Liberation Serif" w:cs="Liberation Serif"/>
        </w:rPr>
      </w:r>
      <w:bookmarkEnd w:id="15"/>
      <w:r>
        <w:rPr>
          <w:rFonts w:ascii="Liberation Serif" w:hAnsi="Liberation Serif" w:eastAsia="Liberation Serif" w:cs="Liberation Serif"/>
          <w:b/>
          <w:u w:val="single"/>
        </w:rPr>
        <w:t xml:space="preserve">национального режима:</w:t>
      </w:r>
      <w:r>
        <w:rPr>
          <w:rFonts w:ascii="Liberation Serif" w:hAnsi="Liberation Serif" w:eastAsia="Liberation Serif" w:cs="Liberation Serif"/>
        </w:rPr>
        <w:t xml:space="preserve"> предос</w:t>
      </w:r>
      <w:r>
        <w:rPr>
          <w:rFonts w:ascii="Liberation Serif" w:hAnsi="Liberation Serif" w:eastAsia="Liberation Serif" w:cs="Liberation Serif"/>
        </w:rPr>
        <w:t xml:space="preserve">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в соответствии с Постановлением Правительства Российской Федерации от 23.12.2024 № 1875.</w:t>
      </w:r>
      <w:bookmarkEnd w:id="16"/>
      <w:r>
        <w:rPr>
          <w:rFonts w:ascii="Liberation Serif" w:hAnsi="Liberation Serif" w:eastAsia="Liberation Serif" w:cs="Liberation Serif"/>
        </w:rPr>
        <w:t xml:space="preserve"> </w:t>
      </w:r>
      <w:bookmarkStart w:id="17" w:name="_Hlk188472094"/>
      <w:r>
        <w:rPr>
          <w:rFonts w:ascii="Liberation Serif" w:hAnsi="Liberation Serif" w:eastAsia="Liberation Serif" w:cs="Liberation Serif"/>
        </w:rPr>
        <w:t xml:space="preserve">Перечень кодов ОКПД 2 для целей определения порядка предоставления национального режима содержится в файле «</w:t>
      </w:r>
      <w:r>
        <w:rPr>
          <w:rFonts w:ascii="Liberation Serif" w:hAnsi="Liberation Serif" w:eastAsia="Liberation Serif" w:cs="Liberation Serif"/>
          <w:b/>
        </w:rPr>
        <w:t xml:space="preserve">Коды ОКПД2 по позициям</w:t>
      </w:r>
      <w:r>
        <w:rPr>
          <w:rFonts w:ascii="Liberation Serif" w:hAnsi="Liberation Serif" w:eastAsia="Liberation Serif" w:cs="Liberation Serif"/>
        </w:rPr>
        <w:t xml:space="preserve">» являющимся неотъемлемой частью настоящего Извещения.</w:t>
      </w:r>
      <w:bookmarkEnd w:id="17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rPr>
          <w:rStyle w:val="1043"/>
          <w:rFonts w:ascii="Liberation Serif" w:hAnsi="Liberation Serif" w:cs="Liberation Serif"/>
          <w:color w:val="auto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auto"/>
          <w:sz w:val="24"/>
          <w:szCs w:val="24"/>
        </w:rPr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Срок, место и порядок предоставления Закупочной документации:</w:t>
      </w:r>
      <w:r>
        <w:rPr>
          <w:rFonts w:ascii="Liberation Serif" w:hAnsi="Liberation Serif" w:eastAsia="Liberation Serif" w:cs="Liberation Serif"/>
        </w:rPr>
      </w:r>
    </w:p>
    <w:p>
      <w:pPr>
        <w:pStyle w:val="1032"/>
        <w:ind w:left="567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Закупочная документация находится в открытом доступе на электронной торговой площадке и на сайте, указанные в пункте 3 Извещения, начиная с даты размещения настоящего Извещения.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before="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</w:rPr>
      </w:r>
      <w:bookmarkStart w:id="18" w:name="_Ref316300967"/>
      <w:r>
        <w:rPr>
          <w:rFonts w:ascii="Liberation Serif" w:hAnsi="Liberation Serif" w:eastAsia="Liberation Serif" w:cs="Liberation Serif"/>
          <w:sz w:val="24"/>
        </w:rPr>
        <w:t xml:space="preserve">Закупочная документация предоставляется лицу через функционал электронной торговой площадки.</w:t>
      </w:r>
      <w:bookmarkEnd w:id="18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Плата за предоставление Закупочной документации не взимается.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Закупочная документация предоставляется в течение срока, определенного регламентами работы электронной торговой площадки.</w:t>
      </w:r>
      <w:r>
        <w:rPr>
          <w:rFonts w:ascii="Liberation Serif" w:hAnsi="Liberation Serif" w:cs="Liberation Serif"/>
          <w:sz w:val="24"/>
        </w:rPr>
      </w:r>
    </w:p>
    <w:p>
      <w:pPr>
        <w:pStyle w:val="1032"/>
        <w:ind w:left="567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bookmarkStart w:id="19" w:name="_Hlk146803851"/>
      <w:r>
        <w:rPr>
          <w:rFonts w:ascii="Liberation Serif" w:hAnsi="Liberation Serif" w:eastAsia="Liberation Serif" w:cs="Liberation Serif"/>
        </w:rPr>
        <w:t xml:space="preserve">Дата начала предоставления разъяснений Закупочной документации: с даты публикации Извещения.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  <w:color w:val="548dd4"/>
        </w:rPr>
      </w:pPr>
      <w:r>
        <w:rPr>
          <w:rFonts w:ascii="Liberation Serif" w:hAnsi="Liberation Serif" w:eastAsia="Liberation Serif" w:cs="Liberation Serif"/>
          <w:iCs/>
        </w:rPr>
        <w:t xml:space="preserve">Дата окончания срока предоставления разъяснений Закупочной документации:</w:t>
      </w:r>
      <w:r>
        <w:rPr>
          <w:rFonts w:ascii="Liberation Serif" w:hAnsi="Liberation Serif" w:eastAsia="Liberation Serif" w:cs="Liberation Serif"/>
          <w:i/>
          <w:color w:val="548dd4"/>
        </w:rPr>
        <w:t xml:space="preserve"> </w:t>
      </w:r>
      <w:r>
        <w:rPr>
          <w:rFonts w:ascii="Liberation Serif" w:hAnsi="Liberation Serif" w:eastAsia="Liberation Serif" w:cs="Liberation Serif"/>
          <w:bCs/>
          <w:iCs/>
        </w:rPr>
        <w:t xml:space="preserve">за 3 рабочих дня до окончания срока подачи предложений.</w:t>
      </w:r>
      <w:r>
        <w:rPr>
          <w:rFonts w:ascii="Liberation Serif" w:hAnsi="Liberation Serif" w:cs="Liberation Serif"/>
          <w:color w:val="548dd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  <w:bCs/>
          <w:iCs/>
        </w:rPr>
      </w:pPr>
      <w:r>
        <w:rPr>
          <w:rFonts w:ascii="Liberation Serif" w:hAnsi="Liberation Serif" w:eastAsia="Liberation Serif" w:cs="Liberation Serif"/>
          <w:bCs/>
          <w:iCs/>
        </w:rPr>
        <w:t xml:space="preserve"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  <w:bookmarkEnd w:id="19"/>
      <w:r/>
      <w:r>
        <w:rPr>
          <w:rFonts w:ascii="Liberation Serif" w:hAnsi="Liberation Serif" w:cs="Liberation Serif"/>
          <w:bCs/>
          <w:iCs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  <w:bCs/>
          <w:iCs/>
        </w:rPr>
      </w:pPr>
      <w:r>
        <w:rPr>
          <w:rFonts w:ascii="Liberation Serif" w:hAnsi="Liberation Serif" w:eastAsia="Liberation Serif" w:cs="Liberation Serif"/>
          <w:bCs/>
          <w:iCs/>
        </w:rPr>
      </w:r>
      <w:r>
        <w:rPr>
          <w:rFonts w:ascii="Liberation Serif" w:hAnsi="Liberation Serif" w:cs="Liberation Serif"/>
          <w:bCs/>
          <w:iCs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Внесение изменений в Закупочную документацию: </w:t>
      </w:r>
      <w:r>
        <w:rPr>
          <w:rStyle w:val="1043"/>
          <w:rFonts w:ascii="Liberation Serif" w:hAnsi="Liberation Serif" w:eastAsia="Liberation Serif" w:cs="Liberation Serif"/>
          <w:sz w:val="24"/>
        </w:rPr>
        <w:t xml:space="preserve">в соответствии с 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требованиями, установленными в Закупочной</w:t>
      </w:r>
      <w:r>
        <w:rPr>
          <w:rStyle w:val="1043"/>
          <w:rFonts w:ascii="Liberation Serif" w:hAnsi="Liberation Serif" w:eastAsia="Liberation Serif" w:cs="Liberation Serif"/>
          <w:sz w:val="24"/>
        </w:rPr>
        <w:t xml:space="preserve"> документации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color w:val="auto"/>
          <w:sz w:val="24"/>
          <w:szCs w:val="24"/>
        </w:rPr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Место подачи и срок окончания подачи заявок на участие в закупке: заявки на участие в закупке должны быть поданы 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до 12:00 (по московскому времени) «12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» октября 2026 года</w:t>
      </w:r>
      <w:r>
        <w:rPr>
          <w:rFonts w:ascii="Liberation Serif" w:hAnsi="Liberation Serif" w:eastAsia="Liberation Serif" w:cs="Liberation Serif"/>
        </w:rPr>
        <w:t xml:space="preserve"> через соответствующий функционал электронной торговой площадки, указанный в пункте 3 настоящего Извещения.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bookmarkStart w:id="20" w:name="_Hlk146803949"/>
      <w:r>
        <w:rPr>
          <w:rFonts w:ascii="Liberation Serif" w:hAnsi="Liberation Serif" w:eastAsia="Liberation Serif" w:cs="Liberation Serif"/>
        </w:rPr>
        <w:t xml:space="preserve">Возможность проведения уторговывания: невозможно.</w:t>
      </w:r>
      <w:bookmarkEnd w:id="2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Организатор закупки проведет процедуру вскрытия конвертов: 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«12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» октября 2026 года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Дата рассмотрения предложений участников закупки и подведения итогов закупки: 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до «03</w:t>
      </w:r>
      <w:r>
        <w:rPr>
          <w:rFonts w:ascii="Liberation Serif" w:hAnsi="Liberation Serif" w:eastAsia="Liberation Serif" w:cs="Liberation Serif"/>
          <w:b/>
          <w:highlight w:val="yellow"/>
        </w:rPr>
        <w:t xml:space="preserve">» декабря 2026 года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Style w:val="1005"/>
          <w:rFonts w:ascii="Liberation Serif" w:hAnsi="Liberation Serif" w:eastAsia="Liberation Serif" w:cs="Liberation Serif"/>
        </w:rPr>
        <w:footnoteReference w:id="3"/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Критерии оценки и сопоставления заявок на участие в закупке: в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 соответствии с Разделом 8 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Закупочной документации «Руководство по экспертной оценке».</w:t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Порядок оценки и сопоставления заявок на участие в закупке: в</w:t>
      </w: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 соответствии с Разделом 8 Закупочной документации «Руководство по экспертной оценке».</w:t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Возможность проведения переговоров: </w:t>
      </w:r>
      <w:r>
        <w:rPr>
          <w:rFonts w:ascii="Liberation Serif" w:hAnsi="Liberation Serif" w:eastAsia="Liberation Serif" w:cs="Liberation Serif"/>
          <w:b/>
          <w:u w:val="single"/>
        </w:rPr>
        <w:t xml:space="preserve">возможн</w:t>
      </w:r>
      <w:r>
        <w:rPr>
          <w:rFonts w:ascii="Liberation Serif" w:hAnsi="Liberation Serif" w:eastAsia="Liberation Serif" w:cs="Liberation Serif"/>
          <w:u w:val="single"/>
        </w:rPr>
        <w:t xml:space="preserve">о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Подписание протокола о результатах закупки</w:t>
      </w:r>
      <w:r>
        <w:rPr>
          <w:rStyle w:val="1043"/>
          <w:rFonts w:ascii="Liberation Serif" w:hAnsi="Liberation Serif" w:eastAsia="Liberation Serif" w:cs="Liberation Serif"/>
          <w:color w:val="auto"/>
          <w:sz w:val="24"/>
          <w:szCs w:val="24"/>
          <w:lang w:eastAsia="en-US"/>
        </w:rPr>
        <w:t xml:space="preserve">: не установлено.</w:t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Style w:val="1043"/>
          <w:rFonts w:ascii="Liberation Serif" w:hAnsi="Liberation Serif" w:cs="Liberation Serif"/>
          <w:sz w:val="24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</w:rPr>
        <w:t xml:space="preserve">Дата заключения договора: Договор по результатам закупки между Заказчиком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>
        <w:rPr>
          <w:rStyle w:val="1005"/>
          <w:rFonts w:ascii="Liberation Serif" w:hAnsi="Liberation Serif" w:eastAsia="Liberation Serif" w:cs="Liberation Serif"/>
          <w:color w:val="000000"/>
          <w:szCs w:val="26"/>
        </w:rPr>
        <w:footnoteReference w:id="4"/>
      </w:r>
      <w:r>
        <w:rPr>
          <w:rStyle w:val="1043"/>
          <w:rFonts w:ascii="Liberation Serif" w:hAnsi="Liberation Serif" w:cs="Liberation Serif"/>
          <w:sz w:val="24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sz w:val="24"/>
        </w:rPr>
        <w:outlineLvl w:val="0"/>
      </w:pPr>
      <w:r>
        <w:rPr>
          <w:rFonts w:ascii="Liberation Serif" w:hAnsi="Liberation Serif" w:eastAsia="Liberation Serif" w:cs="Liberation Serif"/>
          <w:sz w:val="24"/>
        </w:rPr>
      </w:r>
      <w:r>
        <w:rPr>
          <w:rStyle w:val="1043"/>
          <w:rFonts w:ascii="Liberation Serif" w:hAnsi="Liberation Serif" w:cs="Liberation Serif"/>
          <w:sz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Обеспечение исполнения договора и/или возврата аванса и/или гарантийных обязательств: не установлено.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Style w:val="1043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Fonts w:ascii="Liberation Serif" w:hAnsi="Liberation Serif" w:eastAsia="Liberation Serif" w:cs="Liberation Serif"/>
          <w:color w:val="auto"/>
          <w:sz w:val="24"/>
          <w:szCs w:val="24"/>
        </w:rPr>
      </w:r>
      <w:r>
        <w:rPr>
          <w:rStyle w:val="1043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Валюта закупки: </w:t>
      </w:r>
      <w:r>
        <w:rPr>
          <w:rFonts w:ascii="Liberation Serif" w:hAnsi="Liberation Serif" w:eastAsia="Liberation Serif" w:cs="Liberation Serif"/>
        </w:rPr>
        <w:t xml:space="preserve">рубли РФ.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Возможность представления заявки, где ценовое предложение выражено в отличной от указан</w:t>
      </w:r>
      <w:r>
        <w:rPr>
          <w:rFonts w:ascii="Liberation Serif" w:hAnsi="Liberation Serif" w:eastAsia="Liberation Serif" w:cs="Liberation Serif"/>
        </w:rPr>
        <w:t xml:space="preserve">ной выше, в том числе иностранной, валюте (Доллар США, ЕВРО, Английский фунт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 не допускается.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Возможность привлечения субподрядчика/соисполнителя: </w:t>
      </w:r>
      <w:r>
        <w:rPr>
          <w:rFonts w:ascii="Liberation Serif" w:hAnsi="Liberation Serif" w:eastAsia="Liberation Serif" w:cs="Liberation Serif"/>
        </w:rPr>
        <w:t xml:space="preserve">допускается.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 w:hanging="567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43"/>
          <w:rFonts w:ascii="Liberation Serif" w:hAnsi="Liberation Serif" w:eastAsia="Liberation Serif" w:cs="Liberation Serif"/>
          <w:sz w:val="24"/>
          <w:szCs w:val="24"/>
        </w:rPr>
        <w:t xml:space="preserve">Возможность подачи альтернативных предложений: </w:t>
      </w:r>
      <w:r>
        <w:rPr>
          <w:rFonts w:ascii="Liberation Serif" w:hAnsi="Liberation Serif" w:eastAsia="Liberation Serif" w:cs="Liberation Serif"/>
        </w:rPr>
        <w:t xml:space="preserve">допускается.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Подробные условия закупки, а также условия заключения договора по результатам закупки содержатся в Закупочной документации, которая является неотъемлемой частью Извещения о проведении закупки. 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В случае если участник закупочной процед</w:t>
      </w:r>
      <w:r>
        <w:rPr>
          <w:rFonts w:ascii="Liberation Serif" w:hAnsi="Liberation Serif" w:eastAsia="Liberation Serif" w:cs="Liberation Serif"/>
        </w:rPr>
        <w:t xml:space="preserve">уры является Аккредитованным поставщиков в соответствии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19" w:tooltip="http://www.interrao-zakupki.ru/" w:history="1">
        <w:r>
          <w:rPr>
            <w:rStyle w:val="1004"/>
            <w:rFonts w:ascii="Liberation Serif" w:hAnsi="Liberation Serif" w:eastAsia="Liberation Serif" w:cs="Liberation Serif"/>
          </w:rPr>
          <w:t xml:space="preserve">http://www.interrao-zakupki.ru/</w:t>
        </w:r>
      </w:hyperlink>
      <w:r>
        <w:rPr>
          <w:rFonts w:ascii="Liberation Serif" w:hAnsi="Liberation Serif" w:eastAsia="Liberation Serif" w:cs="Liberation Serif"/>
        </w:rPr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на участие в закупке не требуется (До</w:t>
      </w:r>
      <w:r>
        <w:rPr>
          <w:rFonts w:ascii="Liberation Serif" w:hAnsi="Liberation Serif" w:eastAsia="Liberation Serif" w:cs="Liberation Serif"/>
        </w:rPr>
        <w:t xml:space="preserve">кументы, не требующие повторного предоставления, отмечены в пункте 5.2.1 Закупочной документации, как «Не требуется предоставлять, если участник закупки является Аккредитованным поставщиком в Группе «Интер РАО») с учетом требований Закупочной документации.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567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numPr>
          <w:ilvl w:val="1"/>
          <w:numId w:val="8"/>
        </w:numPr>
        <w:contextualSpacing w:val="0"/>
        <w:ind w:left="567" w:hanging="567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Способ формирования начальной максимальной цены (НМЦ):</w:t>
      </w:r>
      <w:r>
        <w:rPr>
          <w:rFonts w:ascii="Liberation Serif" w:hAnsi="Liberation Serif" w:eastAsia="Liberation Serif" w:cs="Liberation Serif"/>
          <w:b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Рекомендованная маркетинговая цена (РМЦ), ТКП </w:t>
      </w:r>
      <w:r>
        <w:rPr>
          <w:rFonts w:ascii="Liberation Serif" w:hAnsi="Liberation Serif" w:eastAsia="Liberation Serif" w:cs="Liberation Serif"/>
        </w:rPr>
        <w:t xml:space="preserve">производителя/исполнителя с минимальной ценой, полученное по результатам адресных запросов.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5"/>
        <w:contextualSpacing w:val="0"/>
        <w:ind w:left="709" w:hanging="709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284" w:right="707" w:bottom="426" w:left="1134" w:header="680" w:footer="6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pPr>
        <w:spacing w:line="240" w:lineRule="auto"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Helios">
    <w:panose1 w:val="020B0604020202020204"/>
  </w:font>
  <w:font w:name="HeliosCond">
    <w:panose1 w:val="020B06040202020202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pPr>
        <w:spacing w:line="240" w:lineRule="auto"/>
      </w:pPr>
      <w:r/>
      <w:r/>
    </w:p>
  </w:footnote>
  <w:footnote w:id="3">
    <w:p>
      <w:pPr>
        <w:pStyle w:val="1014"/>
      </w:pPr>
      <w:r>
        <w:rPr>
          <w:rStyle w:val="1005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  <w:r/>
    </w:p>
  </w:footnote>
  <w:footnote w:id="4">
    <w:p>
      <w:pPr>
        <w:pStyle w:val="1014"/>
      </w:pPr>
      <w:r>
        <w:rPr>
          <w:rStyle w:val="1005"/>
        </w:rPr>
        <w:footnoteRef/>
      </w:r>
      <w:r>
        <w:t xml:space="preserve"> Под датой размещения итогового протокола подразумевается дата размещения протокола выбора победителя. 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jc w:val="center"/>
            <w:spacing w:line="240" w:lineRule="auto"/>
            <w:tabs>
              <w:tab w:val="left" w:pos="907" w:leader="none"/>
              <w:tab w:val="left" w:pos="8931" w:leader="none"/>
            </w:tabs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9525" b="9525"/>
                    <wp:docPr id="1" name="Рисунок 1" descr="C:\Documents and Settings\khomyakov_sv\My Documents\My Pictures\Горизонтальный JPG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3" descr="C:\Documents and Settings\khomyakov_sv\My Documents\My Pictures\Горизонтальный JPG.jpg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</w:tr>
    <w:tr>
      <w:tblPrEx/>
      <w:trPr>
        <w:trHeight w:val="707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ind w:left="1168" w:right="1167"/>
            <w:jc w:val="center"/>
            <w:spacing w:line="240" w:lineRule="auto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jc w:val="center"/>
            <w:spacing w:line="240" w:lineRule="auto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ind w:left="1168" w:right="1167"/>
            <w:jc w:val="center"/>
            <w:spacing w:line="240" w:lineRule="auto"/>
            <w:tabs>
              <w:tab w:val="left" w:pos="8931" w:leader="none"/>
            </w:tabs>
            <w:rPr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www.interrao-zakupki.ru</w:t>
          </w:r>
          <w:r>
            <w:rPr>
              <w:sz w:val="18"/>
              <w:szCs w:val="18"/>
            </w:rPr>
          </w:r>
        </w:p>
      </w:tc>
    </w:tr>
  </w:tbl>
  <w:p>
    <w:pPr>
      <w:pStyle w:val="100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39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840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1026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pStyle w:val="1028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1030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pStyle w:val="843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pStyle w:val="844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pStyle w:val="845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pStyle w:val="846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pStyle w:val="847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hint="default"/>
      </w:r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83" w:hanging="360"/>
        <w:tabs>
          <w:tab w:val="num" w:pos="1583" w:leader="none"/>
        </w:tabs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95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7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9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1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3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5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7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93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  <w:highlight w:val="white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5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702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422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142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862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82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302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022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742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462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70" w:hanging="360"/>
        <w:tabs>
          <w:tab w:val="num" w:pos="1070" w:leader="none"/>
        </w:tabs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90" w:hanging="360"/>
        <w:tabs>
          <w:tab w:val="num" w:pos="179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10" w:hanging="180"/>
        <w:tabs>
          <w:tab w:val="num" w:pos="251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30" w:hanging="360"/>
        <w:tabs>
          <w:tab w:val="num" w:pos="323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50" w:hanging="360"/>
        <w:tabs>
          <w:tab w:val="num" w:pos="395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70" w:hanging="180"/>
        <w:tabs>
          <w:tab w:val="num" w:pos="467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90" w:hanging="360"/>
        <w:tabs>
          <w:tab w:val="num" w:pos="539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10" w:hanging="360"/>
        <w:tabs>
          <w:tab w:val="num" w:pos="611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30" w:hanging="180"/>
        <w:tabs>
          <w:tab w:val="num" w:pos="683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854" w:hanging="360"/>
      </w:pPr>
      <w:rPr>
        <w:rFonts w:hint="default" w:ascii="Symbol" w:hAnsi="Symbol"/>
        <w:b w:val="0"/>
        <w:i w:val="0"/>
        <w:color w:val="auto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22"/>
      <w:numFmt w:val="decimal"/>
      <w:isLgl w:val="false"/>
      <w:suff w:val="tab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multiLevelType w:val="hybridMultilevel"/>
    <w:lvl w:ilvl="0">
      <w:start w:val="16"/>
      <w:numFmt w:val="decimal"/>
      <w:isLgl w:val="false"/>
      <w:suff w:val="tab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2">
      <w:start w:val="1"/>
      <w:numFmt w:val="decimal"/>
      <w:pStyle w:val="841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3">
      <w:start w:val="1"/>
      <w:numFmt w:val="decimal"/>
      <w:pStyle w:val="842"/>
      <w:isLgl w:val="false"/>
      <w:suff w:val="tab"/>
      <w:lvlText w:val="%1.%2.%3.%4"/>
      <w:lvlJc w:val="left"/>
      <w:pPr>
        <w:ind w:left="1701" w:hanging="1134"/>
        <w:tabs>
          <w:tab w:val="num" w:pos="1701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352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072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92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12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2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952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672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2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12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5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21"/>
  </w:num>
  <w:num w:numId="8">
    <w:abstractNumId w:val="7"/>
  </w:num>
  <w:num w:numId="9">
    <w:abstractNumId w:val="9"/>
  </w:num>
  <w:num w:numId="10">
    <w:abstractNumId w:val="15"/>
  </w:num>
  <w:num w:numId="11">
    <w:abstractNumId w:val="11"/>
  </w:num>
  <w:num w:numId="12">
    <w:abstractNumId w:val="5"/>
  </w:num>
  <w:num w:numId="13">
    <w:abstractNumId w:val="17"/>
  </w:num>
  <w:num w:numId="14">
    <w:abstractNumId w:val="18"/>
  </w:num>
  <w:num w:numId="15">
    <w:abstractNumId w:val="2"/>
  </w:num>
  <w:num w:numId="16">
    <w:abstractNumId w:val="1"/>
  </w:num>
  <w:num w:numId="17">
    <w:abstractNumId w:val="16"/>
  </w:num>
  <w:num w:numId="18">
    <w:abstractNumId w:val="10"/>
  </w:num>
  <w:num w:numId="19">
    <w:abstractNumId w:val="14"/>
  </w:num>
  <w:num w:numId="20">
    <w:abstractNumId w:val="12"/>
  </w:num>
  <w:num w:numId="21">
    <w:abstractNumId w:val="20"/>
  </w:num>
  <w:num w:numId="22">
    <w:abstractNumId w:val="8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848"/>
    <w:link w:val="83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848"/>
    <w:link w:val="840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848"/>
    <w:link w:val="841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848"/>
    <w:link w:val="84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848"/>
    <w:link w:val="84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848"/>
    <w:link w:val="84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848"/>
    <w:link w:val="84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848"/>
    <w:link w:val="84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848"/>
    <w:link w:val="84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8">
    <w:name w:val="Subtitle Char"/>
    <w:basedOn w:val="848"/>
    <w:link w:val="862"/>
    <w:uiPriority w:val="11"/>
    <w:rPr>
      <w:sz w:val="24"/>
      <w:szCs w:val="24"/>
    </w:rPr>
  </w:style>
  <w:style w:type="character" w:styleId="40">
    <w:name w:val="Quote Char"/>
    <w:link w:val="864"/>
    <w:uiPriority w:val="29"/>
    <w:rPr>
      <w:i/>
    </w:rPr>
  </w:style>
  <w:style w:type="character" w:styleId="42">
    <w:name w:val="Intense Quote Char"/>
    <w:link w:val="866"/>
    <w:uiPriority w:val="30"/>
    <w:rPr>
      <w:i/>
    </w:rPr>
  </w:style>
  <w:style w:type="character" w:styleId="46">
    <w:name w:val="Footer Char"/>
    <w:basedOn w:val="848"/>
    <w:link w:val="1003"/>
    <w:uiPriority w:val="99"/>
  </w:style>
  <w:style w:type="character" w:styleId="48">
    <w:name w:val="Caption Char"/>
    <w:basedOn w:val="848"/>
    <w:link w:val="1016"/>
    <w:uiPriority w:val="35"/>
    <w:rPr>
      <w:b/>
      <w:bCs/>
      <w:color w:val="4f81bd" w:themeColor="accent1"/>
      <w:sz w:val="18"/>
      <w:szCs w:val="18"/>
    </w:rPr>
  </w:style>
  <w:style w:type="character" w:styleId="177">
    <w:name w:val="Footnote Text Char"/>
    <w:link w:val="1014"/>
    <w:uiPriority w:val="99"/>
    <w:rPr>
      <w:sz w:val="18"/>
    </w:rPr>
  </w:style>
  <w:style w:type="character" w:styleId="180">
    <w:name w:val="Endnote Text Char"/>
    <w:link w:val="997"/>
    <w:uiPriority w:val="99"/>
    <w:rPr>
      <w:sz w:val="20"/>
    </w:rPr>
  </w:style>
  <w:style w:type="paragraph" w:styleId="838" w:default="1">
    <w:name w:val="Normal"/>
    <w:qFormat/>
    <w:pPr>
      <w:ind w:firstLine="567"/>
      <w:jc w:val="both"/>
      <w:spacing w:line="360" w:lineRule="auto"/>
    </w:pPr>
    <w:rPr>
      <w:sz w:val="28"/>
    </w:rPr>
  </w:style>
  <w:style w:type="paragraph" w:styleId="839">
    <w:name w:val="Heading 1"/>
    <w:basedOn w:val="838"/>
    <w:next w:val="838"/>
    <w:link w:val="851"/>
    <w:qFormat/>
    <w:pPr>
      <w:numPr>
        <w:ilvl w:val="0"/>
        <w:numId w:val="4"/>
      </w:numPr>
      <w:jc w:val="left"/>
      <w:keepLines/>
      <w:keepNext/>
      <w:pageBreakBefore/>
      <w:spacing w:before="480" w:after="240" w:line="240" w:lineRule="auto"/>
      <w:outlineLvl w:val="0"/>
    </w:pPr>
    <w:rPr>
      <w:rFonts w:ascii="Arial" w:hAnsi="Arial"/>
      <w:b/>
      <w:sz w:val="40"/>
    </w:rPr>
  </w:style>
  <w:style w:type="paragraph" w:styleId="840">
    <w:name w:val="Heading 2"/>
    <w:basedOn w:val="838"/>
    <w:next w:val="838"/>
    <w:link w:val="852"/>
    <w:qFormat/>
    <w:pPr>
      <w:numPr>
        <w:ilvl w:val="1"/>
        <w:numId w:val="4"/>
      </w:numPr>
      <w:jc w:val="left"/>
      <w:keepNext/>
      <w:spacing w:before="360" w:after="120" w:line="240" w:lineRule="auto"/>
      <w:outlineLvl w:val="1"/>
    </w:pPr>
    <w:rPr>
      <w:b/>
      <w:sz w:val="32"/>
    </w:rPr>
  </w:style>
  <w:style w:type="paragraph" w:styleId="841">
    <w:name w:val="Heading 3"/>
    <w:basedOn w:val="838"/>
    <w:next w:val="838"/>
    <w:link w:val="853"/>
    <w:qFormat/>
    <w:pPr>
      <w:numPr>
        <w:ilvl w:val="2"/>
        <w:numId w:val="2"/>
      </w:numPr>
      <w:jc w:val="left"/>
      <w:keepNext/>
      <w:spacing w:before="120" w:after="120" w:line="240" w:lineRule="auto"/>
      <w:outlineLvl w:val="2"/>
    </w:pPr>
    <w:rPr>
      <w:b/>
    </w:rPr>
  </w:style>
  <w:style w:type="paragraph" w:styleId="842">
    <w:name w:val="Heading 4"/>
    <w:basedOn w:val="838"/>
    <w:next w:val="838"/>
    <w:link w:val="854"/>
    <w:qFormat/>
    <w:pPr>
      <w:numPr>
        <w:ilvl w:val="3"/>
        <w:numId w:val="2"/>
      </w:numPr>
      <w:ind w:left="1134"/>
      <w:keepNext/>
      <w:spacing w:before="240" w:after="120" w:line="240" w:lineRule="auto"/>
      <w:tabs>
        <w:tab w:val="num" w:pos="1134" w:leader="none"/>
        <w:tab w:val="clear" w:pos="1701" w:leader="none"/>
      </w:tabs>
      <w:outlineLvl w:val="3"/>
    </w:pPr>
    <w:rPr>
      <w:b/>
      <w:i/>
    </w:rPr>
  </w:style>
  <w:style w:type="paragraph" w:styleId="843">
    <w:name w:val="Heading 5"/>
    <w:basedOn w:val="838"/>
    <w:next w:val="838"/>
    <w:link w:val="855"/>
    <w:qFormat/>
    <w:pPr>
      <w:numPr>
        <w:ilvl w:val="4"/>
        <w:numId w:val="3"/>
      </w:numPr>
      <w:ind w:left="1080" w:hanging="1080"/>
      <w:keepNext/>
      <w:spacing w:before="60"/>
      <w:tabs>
        <w:tab w:val="clear" w:pos="1008" w:leader="none"/>
        <w:tab w:val="num" w:pos="1080" w:leader="none"/>
      </w:tabs>
      <w:outlineLvl w:val="4"/>
    </w:pPr>
    <w:rPr>
      <w:b/>
      <w:sz w:val="26"/>
    </w:rPr>
  </w:style>
  <w:style w:type="paragraph" w:styleId="844">
    <w:name w:val="Heading 6"/>
    <w:basedOn w:val="838"/>
    <w:next w:val="838"/>
    <w:link w:val="856"/>
    <w:qFormat/>
    <w:pPr>
      <w:numPr>
        <w:ilvl w:val="5"/>
        <w:numId w:val="3"/>
      </w:numPr>
      <w:ind w:left="1080" w:hanging="1080"/>
      <w:spacing w:before="240" w:after="60"/>
      <w:widowControl w:val="off"/>
      <w:tabs>
        <w:tab w:val="num" w:pos="1080" w:leader="none"/>
        <w:tab w:val="clear" w:pos="1152" w:leader="none"/>
      </w:tabs>
      <w:outlineLvl w:val="5"/>
    </w:pPr>
    <w:rPr>
      <w:b/>
      <w:sz w:val="22"/>
    </w:rPr>
  </w:style>
  <w:style w:type="paragraph" w:styleId="845">
    <w:name w:val="Heading 7"/>
    <w:basedOn w:val="838"/>
    <w:next w:val="838"/>
    <w:link w:val="857"/>
    <w:qFormat/>
    <w:pPr>
      <w:numPr>
        <w:ilvl w:val="6"/>
        <w:numId w:val="3"/>
      </w:numPr>
      <w:ind w:left="1440" w:hanging="1440"/>
      <w:spacing w:before="240" w:after="60"/>
      <w:widowControl w:val="off"/>
      <w:tabs>
        <w:tab w:val="clear" w:pos="1296" w:leader="none"/>
        <w:tab w:val="num" w:pos="1440" w:leader="none"/>
      </w:tabs>
      <w:outlineLvl w:val="6"/>
    </w:pPr>
    <w:rPr>
      <w:sz w:val="26"/>
    </w:rPr>
  </w:style>
  <w:style w:type="paragraph" w:styleId="846">
    <w:name w:val="Heading 8"/>
    <w:basedOn w:val="838"/>
    <w:next w:val="838"/>
    <w:link w:val="858"/>
    <w:qFormat/>
    <w:pPr>
      <w:numPr>
        <w:ilvl w:val="7"/>
        <w:numId w:val="3"/>
      </w:numPr>
      <w:spacing w:before="240" w:after="60"/>
      <w:widowControl w:val="off"/>
      <w:outlineLvl w:val="7"/>
    </w:pPr>
    <w:rPr>
      <w:i/>
      <w:sz w:val="26"/>
    </w:rPr>
  </w:style>
  <w:style w:type="paragraph" w:styleId="847">
    <w:name w:val="Heading 9"/>
    <w:basedOn w:val="838"/>
    <w:next w:val="838"/>
    <w:link w:val="859"/>
    <w:qFormat/>
    <w:pPr>
      <w:numPr>
        <w:ilvl w:val="8"/>
        <w:numId w:val="3"/>
      </w:numPr>
      <w:ind w:left="1800" w:hanging="1800"/>
      <w:spacing w:before="240" w:after="60"/>
      <w:widowControl w:val="off"/>
      <w:tabs>
        <w:tab w:val="clear" w:pos="1584" w:leader="none"/>
        <w:tab w:val="num" w:pos="1800" w:leader="none"/>
      </w:tabs>
      <w:outlineLvl w:val="8"/>
    </w:pPr>
    <w:rPr>
      <w:rFonts w:ascii="Arial" w:hAnsi="Arial"/>
      <w:sz w:val="22"/>
    </w:rPr>
  </w:style>
  <w:style w:type="character" w:styleId="848" w:default="1">
    <w:name w:val="Default Paragraph Font"/>
    <w:uiPriority w:val="1"/>
    <w:semiHidden/>
    <w:unhideWhenUsed/>
  </w:style>
  <w:style w:type="table" w:styleId="8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0" w:default="1">
    <w:name w:val="No List"/>
    <w:uiPriority w:val="99"/>
    <w:semiHidden/>
    <w:unhideWhenUsed/>
  </w:style>
  <w:style w:type="character" w:styleId="851" w:customStyle="1">
    <w:name w:val="Заголовок 1 Знак"/>
    <w:basedOn w:val="848"/>
    <w:link w:val="839"/>
    <w:uiPriority w:val="9"/>
    <w:rPr>
      <w:rFonts w:ascii="Arial" w:hAnsi="Arial" w:eastAsia="Arial" w:cs="Arial"/>
      <w:sz w:val="40"/>
      <w:szCs w:val="40"/>
    </w:rPr>
  </w:style>
  <w:style w:type="character" w:styleId="852" w:customStyle="1">
    <w:name w:val="Заголовок 2 Знак"/>
    <w:basedOn w:val="848"/>
    <w:link w:val="840"/>
    <w:uiPriority w:val="9"/>
    <w:rPr>
      <w:rFonts w:ascii="Arial" w:hAnsi="Arial" w:eastAsia="Arial" w:cs="Arial"/>
      <w:sz w:val="34"/>
    </w:rPr>
  </w:style>
  <w:style w:type="character" w:styleId="853" w:customStyle="1">
    <w:name w:val="Заголовок 3 Знак"/>
    <w:basedOn w:val="848"/>
    <w:link w:val="841"/>
    <w:uiPriority w:val="9"/>
    <w:rPr>
      <w:rFonts w:ascii="Arial" w:hAnsi="Arial" w:eastAsia="Arial" w:cs="Arial"/>
      <w:sz w:val="30"/>
      <w:szCs w:val="30"/>
    </w:rPr>
  </w:style>
  <w:style w:type="character" w:styleId="854" w:customStyle="1">
    <w:name w:val="Заголовок 4 Знак"/>
    <w:basedOn w:val="848"/>
    <w:link w:val="842"/>
    <w:uiPriority w:val="9"/>
    <w:rPr>
      <w:rFonts w:ascii="Arial" w:hAnsi="Arial" w:eastAsia="Arial" w:cs="Arial"/>
      <w:b/>
      <w:bCs/>
      <w:sz w:val="26"/>
      <w:szCs w:val="26"/>
    </w:rPr>
  </w:style>
  <w:style w:type="character" w:styleId="855" w:customStyle="1">
    <w:name w:val="Заголовок 5 Знак"/>
    <w:basedOn w:val="848"/>
    <w:link w:val="843"/>
    <w:uiPriority w:val="9"/>
    <w:rPr>
      <w:rFonts w:ascii="Arial" w:hAnsi="Arial" w:eastAsia="Arial" w:cs="Arial"/>
      <w:b/>
      <w:bCs/>
      <w:sz w:val="24"/>
      <w:szCs w:val="24"/>
    </w:rPr>
  </w:style>
  <w:style w:type="character" w:styleId="856" w:customStyle="1">
    <w:name w:val="Заголовок 6 Знак"/>
    <w:basedOn w:val="848"/>
    <w:link w:val="844"/>
    <w:uiPriority w:val="9"/>
    <w:rPr>
      <w:rFonts w:ascii="Arial" w:hAnsi="Arial" w:eastAsia="Arial" w:cs="Arial"/>
      <w:b/>
      <w:bCs/>
      <w:sz w:val="22"/>
      <w:szCs w:val="22"/>
    </w:rPr>
  </w:style>
  <w:style w:type="character" w:styleId="857" w:customStyle="1">
    <w:name w:val="Заголовок 7 Знак"/>
    <w:basedOn w:val="848"/>
    <w:link w:val="84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58" w:customStyle="1">
    <w:name w:val="Заголовок 8 Знак"/>
    <w:basedOn w:val="848"/>
    <w:link w:val="846"/>
    <w:uiPriority w:val="9"/>
    <w:rPr>
      <w:rFonts w:ascii="Arial" w:hAnsi="Arial" w:eastAsia="Arial" w:cs="Arial"/>
      <w:i/>
      <w:iCs/>
      <w:sz w:val="22"/>
      <w:szCs w:val="22"/>
    </w:rPr>
  </w:style>
  <w:style w:type="character" w:styleId="859" w:customStyle="1">
    <w:name w:val="Заголовок 9 Знак"/>
    <w:basedOn w:val="848"/>
    <w:link w:val="847"/>
    <w:uiPriority w:val="9"/>
    <w:rPr>
      <w:rFonts w:ascii="Arial" w:hAnsi="Arial" w:eastAsia="Arial" w:cs="Arial"/>
      <w:i/>
      <w:iCs/>
      <w:sz w:val="21"/>
      <w:szCs w:val="21"/>
    </w:rPr>
  </w:style>
  <w:style w:type="paragraph" w:styleId="860">
    <w:name w:val="No Spacing"/>
    <w:uiPriority w:val="1"/>
    <w:qFormat/>
  </w:style>
  <w:style w:type="character" w:styleId="861" w:customStyle="1">
    <w:name w:val="Title Char"/>
    <w:basedOn w:val="848"/>
    <w:uiPriority w:val="10"/>
    <w:rPr>
      <w:sz w:val="48"/>
      <w:szCs w:val="48"/>
    </w:rPr>
  </w:style>
  <w:style w:type="paragraph" w:styleId="862">
    <w:name w:val="Subtitle"/>
    <w:basedOn w:val="838"/>
    <w:next w:val="838"/>
    <w:link w:val="863"/>
    <w:uiPriority w:val="11"/>
    <w:qFormat/>
    <w:pPr>
      <w:spacing w:before="200" w:after="200"/>
    </w:pPr>
    <w:rPr>
      <w:sz w:val="24"/>
      <w:szCs w:val="24"/>
    </w:rPr>
  </w:style>
  <w:style w:type="character" w:styleId="863" w:customStyle="1">
    <w:name w:val="Подзаголовок Знак"/>
    <w:basedOn w:val="848"/>
    <w:link w:val="862"/>
    <w:uiPriority w:val="11"/>
    <w:rPr>
      <w:sz w:val="24"/>
      <w:szCs w:val="24"/>
    </w:rPr>
  </w:style>
  <w:style w:type="paragraph" w:styleId="864">
    <w:name w:val="Quote"/>
    <w:basedOn w:val="838"/>
    <w:next w:val="838"/>
    <w:link w:val="865"/>
    <w:uiPriority w:val="29"/>
    <w:qFormat/>
    <w:pPr>
      <w:ind w:left="720" w:right="720"/>
    </w:pPr>
    <w:rPr>
      <w:i/>
    </w:rPr>
  </w:style>
  <w:style w:type="character" w:styleId="865" w:customStyle="1">
    <w:name w:val="Цитата 2 Знак"/>
    <w:link w:val="864"/>
    <w:uiPriority w:val="29"/>
    <w:rPr>
      <w:i/>
    </w:rPr>
  </w:style>
  <w:style w:type="paragraph" w:styleId="866">
    <w:name w:val="Intense Quote"/>
    <w:basedOn w:val="838"/>
    <w:next w:val="838"/>
    <w:link w:val="86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7" w:customStyle="1">
    <w:name w:val="Выделенная цитата Знак"/>
    <w:link w:val="866"/>
    <w:uiPriority w:val="30"/>
    <w:rPr>
      <w:i/>
    </w:rPr>
  </w:style>
  <w:style w:type="character" w:styleId="868" w:customStyle="1">
    <w:name w:val="Header Char"/>
    <w:basedOn w:val="848"/>
    <w:uiPriority w:val="99"/>
  </w:style>
  <w:style w:type="character" w:styleId="869" w:customStyle="1">
    <w:name w:val="Нижний колонтитул Знак"/>
    <w:basedOn w:val="848"/>
    <w:link w:val="1003"/>
    <w:uiPriority w:val="99"/>
  </w:style>
  <w:style w:type="character" w:styleId="870" w:customStyle="1">
    <w:name w:val="Название объекта Знак"/>
    <w:basedOn w:val="848"/>
    <w:link w:val="1016"/>
    <w:uiPriority w:val="35"/>
    <w:rPr>
      <w:b/>
      <w:bCs/>
      <w:color w:val="4f81bd" w:themeColor="accent1"/>
      <w:sz w:val="18"/>
      <w:szCs w:val="18"/>
    </w:rPr>
  </w:style>
  <w:style w:type="table" w:styleId="871" w:customStyle="1">
    <w:name w:val="Table Grid Light"/>
    <w:basedOn w:val="84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72">
    <w:name w:val="Plain Table 1"/>
    <w:basedOn w:val="84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3">
    <w:name w:val="Plain Table 2"/>
    <w:basedOn w:val="84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4">
    <w:name w:val="Plain Table 3"/>
    <w:basedOn w:val="84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>
    <w:name w:val="Plain Table 4"/>
    <w:basedOn w:val="84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Plain Table 5"/>
    <w:basedOn w:val="84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>
    <w:name w:val="Grid Table 1 Light"/>
    <w:basedOn w:val="84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Grid Table 2"/>
    <w:basedOn w:val="84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3"/>
    <w:basedOn w:val="84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4"/>
    <w:basedOn w:val="84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9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9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9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9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9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9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>
    <w:name w:val="Grid Table 5 Dark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>
    <w:name w:val="Grid Table 6 Colorful"/>
    <w:basedOn w:val="84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9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9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9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9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>
    <w:name w:val="Grid Table 7 Colorful"/>
    <w:basedOn w:val="84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Grid Table 7 Colorful - Accent 1"/>
    <w:basedOn w:val="849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Grid Table 7 Colorful - Accent 2"/>
    <w:basedOn w:val="849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Grid Table 7 Colorful - Accent 3"/>
    <w:basedOn w:val="849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Grid Table 7 Colorful - Accent 4"/>
    <w:basedOn w:val="849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Grid Table 7 Colorful - Accent 5"/>
    <w:basedOn w:val="849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Grid Table 7 Colorful - Accent 6"/>
    <w:basedOn w:val="849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6">
    <w:name w:val="List Table 1 Light"/>
    <w:basedOn w:val="84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9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9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9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9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9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9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List Table 2"/>
    <w:basedOn w:val="84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9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9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9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9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9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9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>
    <w:name w:val="List Table 3"/>
    <w:basedOn w:val="84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9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9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9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9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>
    <w:name w:val="List Table 4"/>
    <w:basedOn w:val="84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9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9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9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9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9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9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List Table 5 Dark"/>
    <w:basedOn w:val="84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9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9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9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9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9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9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1">
    <w:name w:val="List Table 6 Colorful"/>
    <w:basedOn w:val="84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9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9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9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9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9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9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>
    <w:name w:val="List Table 7 Colorful"/>
    <w:basedOn w:val="84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69" w:customStyle="1">
    <w:name w:val="List Table 7 Colorful - Accent 1"/>
    <w:basedOn w:val="849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0" w:customStyle="1">
    <w:name w:val="List Table 7 Colorful - Accent 2"/>
    <w:basedOn w:val="849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1" w:customStyle="1">
    <w:name w:val="List Table 7 Colorful - Accent 3"/>
    <w:basedOn w:val="849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2" w:customStyle="1">
    <w:name w:val="List Table 7 Colorful - Accent 4"/>
    <w:basedOn w:val="849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3" w:customStyle="1">
    <w:name w:val="List Table 7 Colorful - Accent 5"/>
    <w:basedOn w:val="849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4" w:customStyle="1">
    <w:name w:val="List Table 7 Colorful - Accent 6"/>
    <w:basedOn w:val="849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5" w:customStyle="1">
    <w:name w:val="Lined - Accent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9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9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9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9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9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9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9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96" w:customStyle="1">
    <w:name w:val="Текст сноски Знак"/>
    <w:link w:val="1014"/>
    <w:uiPriority w:val="99"/>
    <w:rPr>
      <w:sz w:val="18"/>
    </w:rPr>
  </w:style>
  <w:style w:type="paragraph" w:styleId="997">
    <w:name w:val="endnote text"/>
    <w:basedOn w:val="838"/>
    <w:link w:val="998"/>
    <w:uiPriority w:val="99"/>
    <w:semiHidden/>
    <w:unhideWhenUsed/>
    <w:pPr>
      <w:spacing w:line="240" w:lineRule="auto"/>
    </w:pPr>
    <w:rPr>
      <w:sz w:val="20"/>
    </w:rPr>
  </w:style>
  <w:style w:type="character" w:styleId="998" w:customStyle="1">
    <w:name w:val="Текст концевой сноски Знак"/>
    <w:link w:val="997"/>
    <w:uiPriority w:val="99"/>
    <w:rPr>
      <w:sz w:val="20"/>
    </w:rPr>
  </w:style>
  <w:style w:type="character" w:styleId="999">
    <w:name w:val="endnote reference"/>
    <w:basedOn w:val="848"/>
    <w:uiPriority w:val="99"/>
    <w:semiHidden/>
    <w:unhideWhenUsed/>
    <w:rPr>
      <w:vertAlign w:val="superscript"/>
    </w:rPr>
  </w:style>
  <w:style w:type="paragraph" w:styleId="1000">
    <w:name w:val="TOC Heading"/>
    <w:uiPriority w:val="39"/>
    <w:unhideWhenUsed/>
  </w:style>
  <w:style w:type="paragraph" w:styleId="1001">
    <w:name w:val="table of figures"/>
    <w:basedOn w:val="838"/>
    <w:next w:val="838"/>
    <w:uiPriority w:val="99"/>
    <w:unhideWhenUsed/>
  </w:style>
  <w:style w:type="paragraph" w:styleId="1002">
    <w:name w:val="Header"/>
    <w:basedOn w:val="838"/>
    <w:link w:val="1046"/>
    <w:uiPriority w:val="99"/>
    <w:pPr>
      <w:ind w:firstLine="0"/>
      <w:jc w:val="center"/>
      <w:spacing w:line="240" w:lineRule="auto"/>
      <w:tabs>
        <w:tab w:val="center" w:pos="4153" w:leader="none"/>
        <w:tab w:val="right" w:pos="8306" w:leader="none"/>
      </w:tabs>
      <w:pBdr>
        <w:bottom w:val="single" w:color="000000" w:sz="4" w:space="1"/>
      </w:pBdr>
    </w:pPr>
    <w:rPr>
      <w:i/>
      <w:sz w:val="20"/>
    </w:rPr>
  </w:style>
  <w:style w:type="paragraph" w:styleId="1003">
    <w:name w:val="Footer"/>
    <w:basedOn w:val="838"/>
    <w:link w:val="869"/>
    <w:pPr>
      <w:ind w:firstLine="0"/>
      <w:spacing w:line="240" w:lineRule="auto"/>
      <w:tabs>
        <w:tab w:val="center" w:pos="4253" w:leader="none"/>
        <w:tab w:val="right" w:pos="9356" w:leader="none"/>
      </w:tabs>
    </w:pPr>
    <w:rPr>
      <w:sz w:val="20"/>
    </w:rPr>
  </w:style>
  <w:style w:type="character" w:styleId="1004">
    <w:name w:val="Hyperlink"/>
    <w:rPr>
      <w:color w:val="0000ff"/>
      <w:u w:val="single"/>
    </w:rPr>
  </w:style>
  <w:style w:type="character" w:styleId="1005">
    <w:name w:val="footnote reference"/>
    <w:semiHidden/>
    <w:rPr>
      <w:vertAlign w:val="superscript"/>
    </w:rPr>
  </w:style>
  <w:style w:type="character" w:styleId="1006">
    <w:name w:val="page number"/>
    <w:rPr>
      <w:rFonts w:ascii="Times New Roman" w:hAnsi="Times New Roman"/>
      <w:sz w:val="20"/>
    </w:rPr>
  </w:style>
  <w:style w:type="paragraph" w:styleId="1007">
    <w:name w:val="toc 1"/>
    <w:basedOn w:val="838"/>
    <w:next w:val="838"/>
    <w:semiHidden/>
    <w:pPr>
      <w:ind w:left="539" w:right="1134" w:hanging="539"/>
      <w:jc w:val="left"/>
      <w:spacing w:before="240" w:after="120" w:line="240" w:lineRule="auto"/>
      <w:tabs>
        <w:tab w:val="left" w:pos="540" w:leader="none"/>
        <w:tab w:val="right" w:pos="10195" w:leader="dot"/>
      </w:tabs>
    </w:pPr>
    <w:rPr>
      <w:b/>
      <w:bCs/>
      <w:caps/>
      <w:szCs w:val="28"/>
    </w:rPr>
  </w:style>
  <w:style w:type="paragraph" w:styleId="1008">
    <w:name w:val="toc 2"/>
    <w:basedOn w:val="838"/>
    <w:next w:val="838"/>
    <w:semiHidden/>
    <w:pPr>
      <w:ind w:left="1134" w:right="1134" w:hanging="594"/>
      <w:jc w:val="left"/>
      <w:spacing w:before="120" w:after="120" w:line="240" w:lineRule="auto"/>
      <w:tabs>
        <w:tab w:val="left" w:pos="1080" w:leader="none"/>
        <w:tab w:val="right" w:pos="10195" w:leader="dot"/>
      </w:tabs>
    </w:pPr>
    <w:rPr>
      <w:b/>
      <w:sz w:val="24"/>
      <w:szCs w:val="24"/>
    </w:rPr>
  </w:style>
  <w:style w:type="paragraph" w:styleId="1009">
    <w:name w:val="toc 3"/>
    <w:basedOn w:val="838"/>
    <w:next w:val="838"/>
    <w:semiHidden/>
    <w:pPr>
      <w:ind w:left="1979" w:right="1134" w:hanging="902"/>
      <w:jc w:val="left"/>
      <w:spacing w:after="120" w:line="240" w:lineRule="auto"/>
      <w:tabs>
        <w:tab w:val="left" w:pos="1980" w:leader="none"/>
        <w:tab w:val="right" w:pos="10195" w:leader="dot"/>
      </w:tabs>
    </w:pPr>
    <w:rPr>
      <w:iCs/>
      <w:sz w:val="24"/>
      <w:szCs w:val="24"/>
    </w:rPr>
  </w:style>
  <w:style w:type="paragraph" w:styleId="1010">
    <w:name w:val="toc 4"/>
    <w:basedOn w:val="838"/>
    <w:next w:val="838"/>
    <w:semiHidden/>
    <w:pPr>
      <w:ind w:left="2268" w:right="1134" w:hanging="567"/>
      <w:jc w:val="left"/>
      <w:spacing w:after="60" w:line="240" w:lineRule="auto"/>
      <w:tabs>
        <w:tab w:val="left" w:pos="2268" w:leader="none"/>
        <w:tab w:val="right" w:pos="10195" w:leader="dot"/>
      </w:tabs>
    </w:pPr>
    <w:rPr>
      <w:sz w:val="24"/>
      <w:szCs w:val="24"/>
    </w:rPr>
  </w:style>
  <w:style w:type="character" w:styleId="1011">
    <w:name w:val="FollowedHyperlink"/>
    <w:rPr>
      <w:color w:val="800080"/>
      <w:u w:val="single"/>
    </w:rPr>
  </w:style>
  <w:style w:type="paragraph" w:styleId="1012">
    <w:name w:val="Document Map"/>
    <w:basedOn w:val="838"/>
    <w:semiHidden/>
    <w:pPr>
      <w:shd w:val="clear" w:color="auto" w:fill="000080"/>
    </w:pPr>
    <w:rPr>
      <w:rFonts w:ascii="Tahoma" w:hAnsi="Tahoma"/>
      <w:sz w:val="20"/>
    </w:rPr>
  </w:style>
  <w:style w:type="paragraph" w:styleId="1013" w:customStyle="1">
    <w:name w:val="Таблица шапка"/>
    <w:basedOn w:val="838"/>
    <w:pPr>
      <w:ind w:left="57" w:right="57" w:firstLine="0"/>
      <w:jc w:val="left"/>
      <w:keepNext/>
      <w:spacing w:before="40" w:after="40" w:line="240" w:lineRule="auto"/>
    </w:pPr>
    <w:rPr>
      <w:sz w:val="22"/>
    </w:rPr>
  </w:style>
  <w:style w:type="paragraph" w:styleId="1014">
    <w:name w:val="footnote text"/>
    <w:basedOn w:val="838"/>
    <w:link w:val="996"/>
    <w:semiHidden/>
    <w:pPr>
      <w:spacing w:line="240" w:lineRule="auto"/>
    </w:pPr>
    <w:rPr>
      <w:sz w:val="20"/>
    </w:rPr>
  </w:style>
  <w:style w:type="paragraph" w:styleId="1015" w:customStyle="1">
    <w:name w:val="Таблица текст"/>
    <w:basedOn w:val="838"/>
    <w:pPr>
      <w:ind w:left="57" w:right="57" w:firstLine="0"/>
      <w:jc w:val="left"/>
      <w:spacing w:before="40" w:after="40" w:line="240" w:lineRule="auto"/>
    </w:pPr>
    <w:rPr>
      <w:sz w:val="24"/>
    </w:rPr>
  </w:style>
  <w:style w:type="paragraph" w:styleId="1016">
    <w:name w:val="Caption"/>
    <w:basedOn w:val="838"/>
    <w:next w:val="838"/>
    <w:link w:val="870"/>
    <w:qFormat/>
    <w:pPr>
      <w:ind w:firstLine="0"/>
      <w:pageBreakBefore/>
      <w:spacing w:before="120" w:after="120" w:line="240" w:lineRule="auto"/>
    </w:pPr>
    <w:rPr>
      <w:bCs/>
      <w:i/>
      <w:sz w:val="24"/>
    </w:rPr>
  </w:style>
  <w:style w:type="paragraph" w:styleId="1017">
    <w:name w:val="toc 5"/>
    <w:basedOn w:val="838"/>
    <w:next w:val="838"/>
    <w:semiHidden/>
    <w:pPr>
      <w:ind w:left="1120"/>
      <w:jc w:val="left"/>
    </w:pPr>
    <w:rPr>
      <w:sz w:val="18"/>
      <w:szCs w:val="18"/>
    </w:rPr>
  </w:style>
  <w:style w:type="paragraph" w:styleId="1018">
    <w:name w:val="toc 6"/>
    <w:basedOn w:val="838"/>
    <w:next w:val="838"/>
    <w:semiHidden/>
    <w:pPr>
      <w:ind w:left="1400"/>
      <w:jc w:val="left"/>
    </w:pPr>
    <w:rPr>
      <w:sz w:val="18"/>
      <w:szCs w:val="18"/>
    </w:rPr>
  </w:style>
  <w:style w:type="paragraph" w:styleId="1019">
    <w:name w:val="toc 7"/>
    <w:basedOn w:val="838"/>
    <w:next w:val="838"/>
    <w:semiHidden/>
    <w:pPr>
      <w:ind w:left="1680"/>
      <w:jc w:val="left"/>
    </w:pPr>
    <w:rPr>
      <w:sz w:val="18"/>
      <w:szCs w:val="18"/>
    </w:rPr>
  </w:style>
  <w:style w:type="paragraph" w:styleId="1020">
    <w:name w:val="toc 8"/>
    <w:basedOn w:val="838"/>
    <w:next w:val="838"/>
    <w:semiHidden/>
    <w:pPr>
      <w:ind w:left="1960"/>
      <w:jc w:val="left"/>
    </w:pPr>
    <w:rPr>
      <w:sz w:val="18"/>
      <w:szCs w:val="18"/>
    </w:rPr>
  </w:style>
  <w:style w:type="paragraph" w:styleId="1021">
    <w:name w:val="toc 9"/>
    <w:basedOn w:val="838"/>
    <w:next w:val="838"/>
    <w:semiHidden/>
    <w:pPr>
      <w:ind w:left="2240"/>
      <w:jc w:val="left"/>
    </w:pPr>
    <w:rPr>
      <w:sz w:val="18"/>
      <w:szCs w:val="18"/>
    </w:rPr>
  </w:style>
  <w:style w:type="paragraph" w:styleId="1022" w:customStyle="1">
    <w:name w:val="Служебный"/>
    <w:basedOn w:val="1023"/>
  </w:style>
  <w:style w:type="paragraph" w:styleId="1023" w:customStyle="1">
    <w:name w:val="Главы"/>
    <w:basedOn w:val="1024"/>
    <w:next w:val="838"/>
    <w:pPr>
      <w:ind w:right="0"/>
      <w:jc w:val="center"/>
      <w:spacing w:before="1440" w:after="720" w:line="360" w:lineRule="auto"/>
      <w:pBdr>
        <w:bottom w:val="none" w:color="000000" w:sz="0" w:space="0"/>
      </w:pBdr>
    </w:pPr>
    <w:rPr>
      <w:spacing w:val="40"/>
      <w:sz w:val="44"/>
      <w:szCs w:val="44"/>
    </w:rPr>
  </w:style>
  <w:style w:type="paragraph" w:styleId="1024" w:customStyle="1">
    <w:name w:val="Структура"/>
    <w:basedOn w:val="838"/>
    <w:pPr>
      <w:ind w:right="2835" w:firstLine="0"/>
      <w:jc w:val="left"/>
      <w:pageBreakBefore/>
      <w:spacing w:before="480" w:after="240" w:line="240" w:lineRule="auto"/>
      <w:tabs>
        <w:tab w:val="left" w:pos="851" w:leader="none"/>
      </w:tabs>
      <w:pBdr>
        <w:bottom w:val="single" w:color="000000" w:sz="24" w:space="1"/>
      </w:pBdr>
      <w:outlineLvl w:val="0"/>
    </w:pPr>
    <w:rPr>
      <w:rFonts w:ascii="Arial" w:hAnsi="Arial" w:cs="Arial"/>
      <w:b/>
      <w:caps/>
      <w:sz w:val="36"/>
      <w:szCs w:val="36"/>
    </w:rPr>
  </w:style>
  <w:style w:type="paragraph" w:styleId="1025" w:customStyle="1">
    <w:name w:val="маркированный"/>
    <w:basedOn w:val="838"/>
    <w:semiHidden/>
    <w:pPr>
      <w:ind w:firstLine="0"/>
    </w:pPr>
  </w:style>
  <w:style w:type="paragraph" w:styleId="1026" w:customStyle="1">
    <w:name w:val="Пункт"/>
    <w:basedOn w:val="838"/>
    <w:pPr>
      <w:numPr>
        <w:ilvl w:val="2"/>
        <w:numId w:val="4"/>
      </w:numPr>
    </w:pPr>
  </w:style>
  <w:style w:type="character" w:styleId="1027" w:customStyle="1">
    <w:name w:val="Пункт Знак"/>
    <w:rPr>
      <w:sz w:val="28"/>
      <w:lang w:val="ru-RU" w:eastAsia="ru-RU" w:bidi="ar-SA"/>
    </w:rPr>
  </w:style>
  <w:style w:type="paragraph" w:styleId="1028" w:customStyle="1">
    <w:name w:val="Подпункт"/>
    <w:basedOn w:val="838"/>
    <w:pPr>
      <w:numPr>
        <w:ilvl w:val="3"/>
        <w:numId w:val="4"/>
      </w:numPr>
    </w:pPr>
  </w:style>
  <w:style w:type="character" w:styleId="1029" w:customStyle="1">
    <w:name w:val="комментарий"/>
    <w:rPr>
      <w:b/>
      <w:i/>
      <w:shd w:val="clear" w:color="auto" w:fill="ffff99"/>
    </w:rPr>
  </w:style>
  <w:style w:type="paragraph" w:styleId="1030" w:customStyle="1">
    <w:name w:val="Пункт-2"/>
    <w:basedOn w:val="1026"/>
    <w:pPr>
      <w:keepNext/>
      <w:outlineLvl w:val="2"/>
    </w:pPr>
    <w:rPr>
      <w:b/>
    </w:rPr>
  </w:style>
  <w:style w:type="paragraph" w:styleId="1031" w:customStyle="1">
    <w:name w:val="Подподпункт"/>
    <w:basedOn w:val="838"/>
    <w:pPr>
      <w:ind w:left="1701" w:hanging="567"/>
      <w:tabs>
        <w:tab w:val="num" w:pos="1701" w:leader="none"/>
      </w:tabs>
    </w:pPr>
  </w:style>
  <w:style w:type="paragraph" w:styleId="1032">
    <w:name w:val="List Number"/>
    <w:basedOn w:val="838"/>
    <w:pPr>
      <w:ind w:firstLine="0"/>
      <w:spacing w:before="60"/>
    </w:pPr>
    <w:rPr>
      <w:szCs w:val="24"/>
    </w:rPr>
  </w:style>
  <w:style w:type="paragraph" w:styleId="1033" w:customStyle="1">
    <w:name w:val="Текст таблицы"/>
    <w:basedOn w:val="838"/>
    <w:semiHidden/>
    <w:pPr>
      <w:ind w:left="57" w:right="57" w:firstLine="0"/>
      <w:jc w:val="left"/>
      <w:spacing w:before="40" w:after="40" w:line="240" w:lineRule="auto"/>
    </w:pPr>
    <w:rPr>
      <w:sz w:val="24"/>
      <w:szCs w:val="24"/>
    </w:rPr>
  </w:style>
  <w:style w:type="paragraph" w:styleId="1034" w:customStyle="1">
    <w:name w:val="Пункт б/н"/>
    <w:basedOn w:val="838"/>
    <w:pPr>
      <w:tabs>
        <w:tab w:val="left" w:pos="1134" w:leader="none"/>
      </w:tabs>
    </w:pPr>
  </w:style>
  <w:style w:type="paragraph" w:styleId="1035">
    <w:name w:val="List Bullet"/>
    <w:basedOn w:val="838"/>
    <w:pPr>
      <w:ind w:firstLine="0"/>
    </w:pPr>
  </w:style>
  <w:style w:type="paragraph" w:styleId="1036">
    <w:name w:val="Body Text"/>
    <w:basedOn w:val="838"/>
    <w:pPr>
      <w:ind w:firstLine="0"/>
      <w:jc w:val="left"/>
      <w:spacing w:line="240" w:lineRule="auto"/>
      <w:tabs>
        <w:tab w:val="right" w:pos="9360" w:leader="none"/>
      </w:tabs>
    </w:pPr>
    <w:rPr>
      <w:szCs w:val="24"/>
    </w:rPr>
  </w:style>
  <w:style w:type="paragraph" w:styleId="1037">
    <w:name w:val="Balloon Text"/>
    <w:basedOn w:val="838"/>
    <w:semiHidden/>
    <w:rPr>
      <w:rFonts w:ascii="Tahoma" w:hAnsi="Tahoma" w:cs="Tahoma"/>
      <w:sz w:val="16"/>
      <w:szCs w:val="16"/>
    </w:rPr>
  </w:style>
  <w:style w:type="paragraph" w:styleId="1038">
    <w:name w:val="annotation text"/>
    <w:basedOn w:val="838"/>
    <w:semiHidden/>
    <w:rPr>
      <w:sz w:val="20"/>
    </w:rPr>
  </w:style>
  <w:style w:type="paragraph" w:styleId="1039">
    <w:name w:val="annotation subject"/>
    <w:basedOn w:val="1038"/>
    <w:next w:val="1038"/>
    <w:semiHidden/>
    <w:rPr>
      <w:b/>
      <w:bCs/>
    </w:rPr>
  </w:style>
  <w:style w:type="paragraph" w:styleId="1040" w:customStyle="1">
    <w:name w:val="Знак"/>
    <w:basedOn w:val="838"/>
    <w:pPr>
      <w:ind w:left="432" w:hanging="432"/>
      <w:spacing w:before="120" w:after="160" w:line="240" w:lineRule="auto"/>
      <w:tabs>
        <w:tab w:val="num" w:pos="432" w:leader="none"/>
      </w:tabs>
    </w:pPr>
    <w:rPr>
      <w:b/>
      <w:caps/>
      <w:sz w:val="32"/>
      <w:szCs w:val="32"/>
      <w:lang w:val="en-US" w:eastAsia="en-US"/>
    </w:rPr>
  </w:style>
  <w:style w:type="paragraph" w:styleId="1041">
    <w:name w:val="Title"/>
    <w:basedOn w:val="838"/>
    <w:link w:val="1042"/>
    <w:qFormat/>
    <w:pPr>
      <w:ind w:firstLine="0"/>
      <w:jc w:val="center"/>
      <w:spacing w:line="240" w:lineRule="auto"/>
    </w:pPr>
    <w:rPr>
      <w:i/>
      <w:iCs/>
      <w:sz w:val="24"/>
      <w:szCs w:val="24"/>
    </w:rPr>
  </w:style>
  <w:style w:type="character" w:styleId="1042" w:customStyle="1">
    <w:name w:val="Заголовок Знак"/>
    <w:link w:val="1041"/>
    <w:rPr>
      <w:i/>
      <w:iCs/>
      <w:sz w:val="24"/>
      <w:szCs w:val="24"/>
    </w:rPr>
  </w:style>
  <w:style w:type="character" w:styleId="1043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table" w:styleId="1044">
    <w:name w:val="Table Grid"/>
    <w:basedOn w:val="84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45">
    <w:name w:val="List Paragraph"/>
    <w:basedOn w:val="838"/>
    <w:link w:val="1050"/>
    <w:uiPriority w:val="34"/>
    <w:qFormat/>
    <w:pPr>
      <w:contextualSpacing/>
      <w:ind w:left="720" w:firstLine="0"/>
      <w:jc w:val="left"/>
      <w:spacing w:line="240" w:lineRule="auto"/>
      <w:widowControl w:val="off"/>
    </w:pPr>
    <w:rPr>
      <w:sz w:val="24"/>
      <w:szCs w:val="24"/>
    </w:rPr>
  </w:style>
  <w:style w:type="character" w:styleId="1046" w:customStyle="1">
    <w:name w:val="Верхний колонтитул Знак"/>
    <w:link w:val="1002"/>
    <w:uiPriority w:val="99"/>
    <w:rPr>
      <w:i/>
    </w:rPr>
  </w:style>
  <w:style w:type="paragraph" w:styleId="1047" w:customStyle="1">
    <w:name w:val="Style12"/>
    <w:basedOn w:val="838"/>
    <w:pPr>
      <w:ind w:firstLine="691"/>
      <w:spacing w:line="317" w:lineRule="exact"/>
      <w:widowControl w:val="off"/>
    </w:pPr>
    <w:rPr>
      <w:sz w:val="24"/>
      <w:szCs w:val="24"/>
    </w:rPr>
  </w:style>
  <w:style w:type="character" w:styleId="1048" w:customStyle="1">
    <w:name w:val="Font Style131"/>
    <w:rPr>
      <w:rFonts w:ascii="Times New Roman" w:hAnsi="Times New Roman" w:cs="Times New Roman"/>
      <w:i/>
      <w:iCs/>
      <w:color w:val="000000"/>
      <w:sz w:val="26"/>
      <w:szCs w:val="26"/>
    </w:rPr>
  </w:style>
  <w:style w:type="paragraph" w:styleId="1049" w:customStyle="1">
    <w:name w:val="a1"/>
    <w:basedOn w:val="838"/>
    <w:pPr>
      <w:spacing w:line="240" w:lineRule="auto"/>
    </w:pPr>
    <w:rPr>
      <w:rFonts w:eastAsia="Calibri"/>
      <w:szCs w:val="28"/>
    </w:rPr>
  </w:style>
  <w:style w:type="character" w:styleId="1050" w:customStyle="1">
    <w:name w:val="Абзац списка Знак"/>
    <w:link w:val="1045"/>
    <w:uiPriority w:val="34"/>
    <w:qFormat/>
    <w:rPr>
      <w:sz w:val="24"/>
      <w:szCs w:val="24"/>
    </w:rPr>
  </w:style>
  <w:style w:type="character" w:styleId="1051">
    <w:name w:val="Unresolved Mention"/>
    <w:basedOn w:val="848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://bashrts@bgkrb.ru" TargetMode="External"/><Relationship Id="rId17" Type="http://schemas.openxmlformats.org/officeDocument/2006/relationships/hyperlink" Target="mailto:office@bgkrb.ru" TargetMode="External"/><Relationship Id="rId18" Type="http://schemas.openxmlformats.org/officeDocument/2006/relationships/hyperlink" Target="mailto:tomgen@interrao.ru" TargetMode="External"/><Relationship Id="rId19" Type="http://schemas.openxmlformats.org/officeDocument/2006/relationships/hyperlink" Target="http://www.interrao-zakupki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A7B35-6C97-4080-A0B7-4E269E700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ООО "ИНТЕР РАО ЕЭС ФИНАНС"</Company>
  <DocSecurity>0</DocSecurity>
  <HyperlinksChanged>false</HyperlinksChanged>
  <LinksUpToDate>false</LinksUpToDate>
  <Manager>ОАО РАО "ЕЭС России"</Manager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kozhushnyan_nv</cp:lastModifiedBy>
  <cp:revision>48</cp:revision>
  <dcterms:created xsi:type="dcterms:W3CDTF">2015-06-03T11:24:00Z</dcterms:created>
  <dcterms:modified xsi:type="dcterms:W3CDTF">2026-09-24T10:55:50Z</dcterms:modified>
</cp:coreProperties>
</file>