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ind w:left="567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284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Договор поставки 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hd w:val="clear" w:color="auto" w:fill="ffffff"/>
        <w:spacing w:after="0" w:line="240" w:lineRule="auto"/>
        <w:ind w:firstLine="284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г. Томск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ab/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ab/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ab/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ab/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ab/>
        <w:t xml:space="preserve">            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ab/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Акционерное общество «</w:t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ТомскРТС</w:t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» (АО «</w:t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ТомскРТС</w:t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»)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,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именуемое в дальнейшем «Покупатель», в лице___________________________, действующего на основании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___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_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_______________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 с одной стороны,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_____________________________________________________________________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___________________________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_____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_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hd w:val="clear" w:color="auto" w:fill="ffffff"/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полное наименование Поставщика (сокращенное наименование 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Поставщика)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 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                                                      именуемое в дальнейшем «Поставщик», в лице ___________________, действующего на основании ____________, с другой стороны, совместно именуемые «Стороны»,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по результатам проведенной регламентированной процедуры закупки способом ____________________ (протокол заседания Закупочной комиссии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______________ № ___________от «_____»________20___г.</w:t>
      </w:r>
      <w:bookmarkStart w:id="0" w:name="_Hlk114667546"/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/ по результатам упрощенной процедуры закупки (конкурентная карта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АО «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ТомскРТС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»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№____ от «__»_______20__ г.)</w:t>
      </w:r>
      <w:bookmarkEnd w:id="0"/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)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заключили настоящий Договор поставки о нижеследующем: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spacing w:after="0" w:line="240" w:lineRule="auto"/>
        <w:ind w:firstLine="284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3"/>
          <w:ilvl w:val="0"/>
        </w:numPr>
        <w:shd w:val="clear" w:color="auto" w:fill="ffffff"/>
        <w:spacing w:after="0" w:line="240" w:lineRule="auto"/>
        <w:ind w:left="0" w:firstLine="284"/>
        <w:jc w:val="center"/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Предмет Договора</w:t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r>
    </w:p>
    <w:p>
      <w:pPr>
        <w:widowControl w:val="off"/>
        <w:numPr>
          <w:numId w:val="3"/>
          <w:ilvl w:val="1"/>
        </w:numPr>
        <w:shd w:val="clear" w:color="auto" w:fill="ffffff"/>
        <w:tabs>
          <w:tab w:val="left" w:pos="54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В соответствии с Договором Поставщик обязуется передать Покупателю ______________________ (далее - Товар) со всей необходимой документацией в порядке и на условиях, предусмотренных настоящим Договором и Приложениями к нему.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3"/>
          <w:ilvl w:val="1"/>
        </w:numPr>
        <w:shd w:val="clear" w:color="auto" w:fill="ffffff"/>
        <w:tabs>
          <w:tab w:val="left" w:pos="54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pPr>
      <w:bookmarkStart w:id="1" w:name="_Hlk114667585"/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Товар на дату его поставки Покупателю должен быть новым и не использованным ранее, должен соответствовать требованиям законодательства, действующ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его на территории Российской Федерации, установленным ГОСТ и экологическим требованиям, предусмотренным ТУ, стандартам, иметь паспорта, сертификаты качества (включая сертификат ГОСТ Р), соответствия промышленной безопасности, протоколы заводских испытаний </w:t>
      </w:r>
      <w:r>
        <w:rPr>
          <w:rFonts w:ascii="Liberation Serif" w:hAnsi="Liberation Serif" w:eastAsia="Times New Roman" w:cs="Liberation Serif"/>
          <w:bCs/>
          <w:i/>
          <w:sz w:val="21"/>
          <w:szCs w:val="21"/>
          <w:lang w:eastAsia="ru-RU"/>
        </w:rPr>
        <w:t xml:space="preserve">(если применимо).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  Поставщик обязан обеспечить получение всех разрешений, заключений и освидетельствований, выдаваемых компетентными органами государственной власти Российской Федерации и местного самоуправления, в отношении Товара.</w:t>
      </w:r>
      <w:bookmarkEnd w:id="1"/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r>
    </w:p>
    <w:p>
      <w:pPr>
        <w:widowControl w:val="off"/>
        <w:numPr>
          <w:numId w:val="3"/>
          <w:ilvl w:val="1"/>
        </w:numPr>
        <w:shd w:val="clear" w:color="auto" w:fill="ffffff"/>
        <w:tabs>
          <w:tab w:val="left" w:pos="54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Поставщик гарантирует, что Товар на дату его поставки Покупателю не заложен, не находится под арестом и не обременен иным образом правами третьих лиц.  Е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сли какие-либо указанные в настоящем пункте гарантии впоследствии оказываются неточными или неверными, Поставщик обязуется возместить Покупателю любые убытки, понесенные Покупателем непосредственно в связи с тем, что Покупатель полагался на такие гарантии.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r>
    </w:p>
    <w:p>
      <w:pPr>
        <w:widowControl w:val="off"/>
        <w:numPr>
          <w:numId w:val="3"/>
          <w:ilvl w:val="1"/>
        </w:numPr>
        <w:shd w:val="clear" w:color="auto" w:fill="ffffff"/>
        <w:tabs>
          <w:tab w:val="left" w:pos="54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Объем обязательств Поставщика включает в себя, без ограничения приведенным перечнем: 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r>
    </w:p>
    <w:p>
      <w:pPr>
        <w:widowControl w:val="off"/>
        <w:numPr>
          <w:numId w:val="14"/>
          <w:ilvl w:val="0"/>
        </w:numPr>
        <w:shd w:val="clear" w:color="auto" w:fill="ffffff"/>
        <w:tabs>
          <w:tab w:val="left" w:pos="54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 поставку Товара, включая запасные части к нему </w:t>
      </w:r>
      <w:r>
        <w:rPr>
          <w:rFonts w:ascii="Liberation Serif" w:hAnsi="Liberation Serif" w:eastAsia="Times New Roman" w:cs="Liberation Serif"/>
          <w:bCs/>
          <w:i/>
          <w:sz w:val="21"/>
          <w:szCs w:val="21"/>
          <w:lang w:eastAsia="ru-RU"/>
        </w:rPr>
        <w:t xml:space="preserve">(если применимо)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r>
    </w:p>
    <w:p>
      <w:pPr>
        <w:widowControl w:val="off"/>
        <w:numPr>
          <w:numId w:val="14"/>
          <w:ilvl w:val="0"/>
        </w:numPr>
        <w:shd w:val="clear" w:color="auto" w:fill="ffffff"/>
        <w:tabs>
          <w:tab w:val="left" w:pos="54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доставк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у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 Товара до склада Покупателя, включая его разгрузку, погрузку, хранение и сертификацию (</w:t>
      </w:r>
      <w:r>
        <w:rPr>
          <w:rFonts w:ascii="Liberation Serif" w:hAnsi="Liberation Serif" w:eastAsia="Times New Roman" w:cs="Liberation Serif"/>
          <w:bCs/>
          <w:i/>
          <w:sz w:val="21"/>
          <w:szCs w:val="21"/>
          <w:lang w:eastAsia="ru-RU"/>
        </w:rPr>
        <w:t xml:space="preserve">если иные условия не согласованы Сторонами)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r>
    </w:p>
    <w:p>
      <w:pPr>
        <w:widowControl w:val="off"/>
        <w:numPr>
          <w:numId w:val="14"/>
          <w:ilvl w:val="0"/>
        </w:numPr>
        <w:shd w:val="clear" w:color="auto" w:fill="ffffff"/>
        <w:tabs>
          <w:tab w:val="left" w:pos="54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получение от уполномоченных органов государственной власти и местного самоуправления и организаций специальных разрешений на поставку и транспортировку Товара;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r>
    </w:p>
    <w:p>
      <w:pPr>
        <w:widowControl w:val="off"/>
        <w:numPr>
          <w:numId w:val="14"/>
          <w:ilvl w:val="0"/>
        </w:numPr>
        <w:shd w:val="clear" w:color="auto" w:fill="ffffff"/>
        <w:tabs>
          <w:tab w:val="left" w:pos="54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разработк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у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 и предоставление всей необходимой эксплуатационной документации для Товара; 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r>
    </w:p>
    <w:p>
      <w:pPr>
        <w:widowControl w:val="off"/>
        <w:numPr>
          <w:numId w:val="14"/>
          <w:ilvl w:val="0"/>
        </w:numPr>
        <w:shd w:val="clear" w:color="auto" w:fill="ffffff"/>
        <w:tabs>
          <w:tab w:val="left" w:pos="54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инструктаж персонала Покупателя </w:t>
      </w:r>
      <w:r>
        <w:rPr>
          <w:rFonts w:ascii="Liberation Serif" w:hAnsi="Liberation Serif" w:eastAsia="Times New Roman" w:cs="Liberation Serif"/>
          <w:bCs/>
          <w:i/>
          <w:sz w:val="21"/>
          <w:szCs w:val="21"/>
          <w:lang w:eastAsia="ru-RU"/>
        </w:rPr>
        <w:t xml:space="preserve">(если необходимо)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r>
    </w:p>
    <w:p>
      <w:pPr>
        <w:widowControl w:val="off"/>
        <w:numPr>
          <w:numId w:val="3"/>
          <w:ilvl w:val="1"/>
        </w:numPr>
        <w:shd w:val="clear" w:color="auto" w:fill="ffffff"/>
        <w:tabs>
          <w:tab w:val="left" w:pos="54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Покупатель обязуется принять и оплатить Товар на условиях настоящего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3"/>
          <w:ilvl w:val="1"/>
        </w:numPr>
        <w:shd w:val="clear" w:color="auto" w:fill="ffffff"/>
        <w:tabs>
          <w:tab w:val="left" w:pos="54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Конкретные условия поставки, сроки поставки, ассортимент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количество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 стоимость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авляемого Товара определяется в Приложении № 1 (Спецификация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(-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ции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 поставку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_________________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к настоящему Договору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(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далее – Спецификация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(-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ции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(Приложение №1 к настоящему Договору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tabs>
          <w:tab w:val="left" w:pos="54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3"/>
          <w:ilvl w:val="0"/>
        </w:numPr>
        <w:shd w:val="clear" w:color="auto" w:fill="ffffff"/>
        <w:spacing w:after="0" w:line="240" w:lineRule="auto"/>
        <w:ind w:left="0" w:firstLine="284"/>
        <w:jc w:val="center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Независимые/ 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Банковские гарантии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b/>
          <w:i/>
          <w:sz w:val="21"/>
          <w:szCs w:val="21"/>
          <w:lang w:eastAsia="ru-RU"/>
        </w:rPr>
        <w:t xml:space="preserve">(если применимо)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. Обеспечение исполнения договора</w:t>
      </w:r>
      <w:r>
        <w:rPr>
          <w:rFonts w:ascii="Liberation Serif" w:hAnsi="Liberation Serif" w:eastAsia="Times New Roman" w:cs="Liberation Serif"/>
          <w:b/>
          <w:i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2.1. Предоставление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независимых/банковских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гарантий/обеспечения исполнения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оговора </w:t>
      </w:r>
      <w:bookmarkStart w:id="2" w:name="_Hlk114651860"/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не предусматривается настоящим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оговором.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bookmarkEnd w:id="2"/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3"/>
          <w:ilvl w:val="0"/>
        </w:numPr>
        <w:shd w:val="clear" w:color="auto" w:fill="ffffff"/>
        <w:spacing w:after="0" w:line="240" w:lineRule="auto"/>
        <w:ind w:left="0" w:firstLine="284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Сумма Договора и порядок оплаты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widowControl w:val="off"/>
        <w:numPr>
          <w:numId w:val="3"/>
          <w:ilvl w:val="1"/>
        </w:numPr>
        <w:shd w:val="clear" w:color="auto" w:fill="ffffff"/>
        <w:tabs>
          <w:tab w:val="num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Сумма Договора составляет _______________ (__________________), в том числе НДС __%, в размере _____________ (________________) </w:t>
      </w:r>
      <w:r>
        <w:rPr>
          <w:rFonts w:ascii="Liberation Serif" w:hAnsi="Liberation Serif" w:eastAsia="Times New Roman" w:cs="Liberation Serif"/>
          <w:b/>
          <w:i/>
          <w:sz w:val="21"/>
          <w:szCs w:val="21"/>
          <w:lang w:eastAsia="ru-RU"/>
        </w:rPr>
        <w:t xml:space="preserve">или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НДС не облагается в соответствии с _________________________</w:t>
      </w:r>
      <w:r>
        <w:rPr>
          <w:rFonts w:ascii="Liberation Serif" w:hAnsi="Liberation Serif" w:eastAsia="Times New Roman" w:cs="Liberation Serif"/>
          <w:b/>
          <w:i/>
          <w:sz w:val="21"/>
          <w:szCs w:val="21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(далее – Сумма Договора).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3"/>
          <w:ilvl w:val="1"/>
        </w:numPr>
        <w:shd w:val="clear" w:color="auto" w:fill="ffffff"/>
        <w:tabs>
          <w:tab w:val="num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Сумма Договора устанавливается в рублях Российской Федерации. Оплата по настоящему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Договору производится в рублях Российской Федерации.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платежном поручении Покупатель указывает дату и номер настоящего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оговора. Расчеты по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оговору могут производиться иным способом, не противоречащим действующему законодательству РФ.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3"/>
          <w:ilvl w:val="1"/>
        </w:numPr>
        <w:shd w:val="clear" w:color="auto" w:fill="ffffff"/>
        <w:tabs>
          <w:tab w:val="num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Сумма Договора включает в себя стоимость Товара, расходы на страхование Товара 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указать при необходимости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), затраты Поставщика по доставке Товара в адрес Покупателя (до склада Покупателя) 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указать при необходимости)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 все налоги, сборы и пошлины, расходы по погрузке,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выгрузке,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упаковке, таре, а также иные расходы, связанные с осуществлением поставки по настоящему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Договору. В случае поставки Товара иностранного производства цена соответствующего Товара, в том числе, включает в себя все таможенные платежи, связанные с таможенным оформлением Товара для выпуска в свободное обращение на территории Российской Федерации.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Сумма Договора является фиксированной и не подлежит изменению в течение срока действия настоящего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8"/>
          <w:ilvl w:val="0"/>
        </w:numPr>
        <w:shd w:val="clear" w:color="auto" w:fill="ffffff"/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</w:p>
    <w:p>
      <w:pPr>
        <w:widowControl w:val="off"/>
        <w:numPr>
          <w:numId w:val="8"/>
          <w:ilvl w:val="0"/>
        </w:numPr>
        <w:shd w:val="clear" w:color="auto" w:fill="ffffff"/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</w:p>
    <w:p>
      <w:pPr>
        <w:widowControl w:val="off"/>
        <w:numPr>
          <w:numId w:val="8"/>
          <w:ilvl w:val="1"/>
        </w:numPr>
        <w:shd w:val="clear" w:color="auto" w:fill="ffffff"/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num" w:pos="851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3.4.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Покупатель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оплачивает 100 % (сто процентов) стоимости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поставленн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путем перечисления денежных средств на расчетный счет Поставщика в течение ____(_________)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календарных дней </w:t>
      </w:r>
      <w:bookmarkStart w:id="3" w:name="_Toc108774320"/>
      <w:r>
        <w:rPr>
          <w:rFonts w:ascii="Liberation Serif" w:hAnsi="Liberation Serif" w:cs="Liberation Serif"/>
          <w:i/>
          <w:sz w:val="21"/>
          <w:szCs w:val="21"/>
          <w:lang w:eastAsia="ru-RU"/>
        </w:rPr>
        <w:t xml:space="preserve">[</w:t>
      </w:r>
      <w:r>
        <w:rPr>
          <w:rFonts w:ascii="Liberation Serif" w:hAnsi="Liberation Serif" w:cs="Liberation Serif"/>
          <w:i/>
          <w:sz w:val="21"/>
          <w:szCs w:val="21"/>
          <w:lang w:eastAsia="ru-RU"/>
        </w:rPr>
        <w:t xml:space="preserve">срок определяется в соответствии с Приложением 3 к </w:t>
      </w:r>
      <w:bookmarkEnd w:id="3"/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Положению о порядке проведения регламентированных закупок товаров, работ, услуг </w:t>
      </w:r>
      <w:r>
        <w:rPr>
          <w:rFonts w:ascii="Liberation Serif" w:hAnsi="Liberation Serif" w:eastAsia="Times New Roman" w:cs="Liberation Serif"/>
          <w:bCs/>
          <w:i/>
          <w:sz w:val="21"/>
          <w:szCs w:val="21"/>
          <w:lang w:eastAsia="ru-RU"/>
        </w:rPr>
        <w:t xml:space="preserve">АО «</w:t>
      </w:r>
      <w:r>
        <w:rPr>
          <w:rFonts w:ascii="Liberation Serif" w:hAnsi="Liberation Serif" w:eastAsia="Times New Roman" w:cs="Liberation Serif"/>
          <w:bCs/>
          <w:i/>
          <w:sz w:val="21"/>
          <w:szCs w:val="21"/>
          <w:lang w:eastAsia="ru-RU"/>
        </w:rPr>
        <w:t xml:space="preserve">Томс</w:t>
      </w:r>
      <w:r>
        <w:rPr>
          <w:rFonts w:ascii="Liberation Serif" w:hAnsi="Liberation Serif" w:eastAsia="Times New Roman" w:cs="Liberation Serif"/>
          <w:bCs/>
          <w:i/>
          <w:sz w:val="21"/>
          <w:szCs w:val="21"/>
          <w:lang w:eastAsia="ru-RU"/>
        </w:rPr>
        <w:t xml:space="preserve">кРТС</w:t>
      </w:r>
      <w:r>
        <w:rPr>
          <w:rFonts w:ascii="Liberation Serif" w:hAnsi="Liberation Serif" w:eastAsia="Times New Roman" w:cs="Liberation Serif"/>
          <w:bCs/>
          <w:i/>
          <w:sz w:val="21"/>
          <w:szCs w:val="21"/>
          <w:lang w:eastAsia="ru-RU"/>
        </w:rPr>
        <w:t xml:space="preserve">»</w:t>
      </w:r>
      <w:r>
        <w:rPr>
          <w:rFonts w:ascii="Liberation Serif" w:hAnsi="Liberation Serif" w:eastAsia="Times New Roman" w:cs="Liberation Serif"/>
          <w:bCs/>
          <w:i/>
          <w:sz w:val="21"/>
          <w:szCs w:val="21"/>
          <w:lang w:eastAsia="ru-RU"/>
        </w:rPr>
        <w:t xml:space="preserve">]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 или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в течение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7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семи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) рабочих дней (если Поставщик относится к субъектам малого и среднего предпринимательства)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от даты при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емки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Товара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Покупателем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подписани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я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оригиналов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Товарной накладной </w:t>
      </w:r>
      <w:r>
        <w:rPr>
          <w:rFonts w:ascii="Liberation Serif" w:hAnsi="Liberation Serif" w:eastAsia="Times New Roman" w:cs="Liberation Serif"/>
          <w:i/>
          <w:color w:val="000000"/>
          <w:sz w:val="21"/>
          <w:szCs w:val="21"/>
          <w:lang w:eastAsia="ru-RU"/>
        </w:rPr>
        <w:t xml:space="preserve">унифицированной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формы ТОРГ-12</w:t>
      </w:r>
      <w:bookmarkStart w:id="4" w:name="_Hlk147387100"/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/ универсального передаточного документа (УПД)</w:t>
      </w:r>
      <w:bookmarkEnd w:id="4"/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,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 при условии предоставления Поставщиком Покупателю всех следующих надлежаще оформленных оригиналов документов:</w:t>
      </w:r>
      <w:r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</w:r>
    </w:p>
    <w:p>
      <w:pPr>
        <w:tabs>
          <w:tab w:val="left" w:pos="9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Счета(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ов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)-фактуры; Счета(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ов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); Товарной(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ых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 накладной(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ых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 </w:t>
      </w:r>
      <w:r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  <w:t xml:space="preserve">унифицированной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формы ТОРГ-12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;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Товарно-транспортной(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ых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 накладной(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ых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 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при необходимости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;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УПД.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tabs>
          <w:tab w:val="left" w:pos="90" w:leader="none"/>
          <w:tab w:val="left" w:pos="8535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Счета, не подтвержденные документами, не оплачиваются.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8"/>
          <w:ilvl w:val="1"/>
        </w:numPr>
        <w:shd w:val="clear" w:color="auto" w:fill="ffffff"/>
        <w:tabs>
          <w:tab w:val="num" w:pos="284" w:leader="none"/>
          <w:tab w:val="num" w:pos="426" w:leader="none"/>
          <w:tab w:val="num" w:pos="567" w:leader="none"/>
          <w:tab w:val="clear" w:pos="858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Днем осуществления платежа по Договору считается дата списания денежных средств с корреспондентского счета банка, обслуживающего Покупателя.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8"/>
          <w:ilvl w:val="1"/>
        </w:numPr>
        <w:shd w:val="clear" w:color="auto" w:fill="ffffff"/>
        <w:tabs>
          <w:tab w:val="num" w:pos="567" w:leader="none"/>
          <w:tab w:val="clear" w:pos="858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возникновения претензий Покупателя в отношении качества, комплектности, количества и/или ассортимента поставленного Товара,</w:t>
      </w:r>
      <w:r>
        <w:rPr>
          <w:rFonts w:ascii="Liberation Serif" w:hAnsi="Liberation Serif" w:cs="Liberation Serif"/>
          <w:sz w:val="21"/>
          <w:szCs w:val="21"/>
        </w:rPr>
        <w:t xml:space="preserve"> а также </w:t>
      </w:r>
      <w:r>
        <w:rPr>
          <w:rFonts w:ascii="Liberation Serif" w:hAnsi="Liberation Serif" w:cs="Liberation Serif"/>
          <w:sz w:val="21"/>
          <w:szCs w:val="21"/>
        </w:rPr>
        <w:t xml:space="preserve">в случае</w:t>
      </w:r>
      <w:r>
        <w:rPr>
          <w:rFonts w:ascii="Liberation Serif" w:hAnsi="Liberation Serif" w:cs="Liberation Serif"/>
          <w:sz w:val="21"/>
          <w:szCs w:val="21"/>
        </w:rPr>
        <w:t xml:space="preserve"> </w:t>
      </w:r>
      <w:r>
        <w:rPr>
          <w:rFonts w:ascii="Liberation Serif" w:hAnsi="Liberation Serif" w:cs="Liberation Serif"/>
          <w:sz w:val="21"/>
          <w:szCs w:val="21"/>
        </w:rPr>
        <w:t xml:space="preserve">не</w:t>
      </w:r>
      <w:r>
        <w:rPr>
          <w:rFonts w:ascii="Liberation Serif" w:hAnsi="Liberation Serif" w:cs="Liberation Serif"/>
          <w:sz w:val="21"/>
          <w:szCs w:val="21"/>
        </w:rPr>
        <w:t xml:space="preserve">получения оригиналов док</w:t>
      </w:r>
      <w:r>
        <w:rPr>
          <w:rFonts w:ascii="Liberation Serif" w:hAnsi="Liberation Serif" w:cs="Liberation Serif"/>
          <w:sz w:val="21"/>
          <w:szCs w:val="21"/>
        </w:rPr>
        <w:t xml:space="preserve">ументов, указанных в пункте 3.4 настоящего Договора</w:t>
      </w:r>
      <w:r>
        <w:rPr>
          <w:rFonts w:ascii="Liberation Serif" w:hAnsi="Liberation Serif" w:cs="Liberation Serif"/>
          <w:sz w:val="21"/>
          <w:szCs w:val="21"/>
        </w:rPr>
        <w:t xml:space="preserve">,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Покупатель вправе после письменного уведомления Поставщика приостановить исполнение обязательства по оплате на период с момента обнаружения нарушения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Поставщиком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условий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Договора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и до момента устранения выявленных нарушений Поставщиком</w:t>
      </w:r>
      <w:r>
        <w:rPr>
          <w:rFonts w:ascii="Liberation Serif" w:hAnsi="Liberation Serif" w:cs="Liberation Serif"/>
          <w:sz w:val="21"/>
          <w:szCs w:val="21"/>
        </w:rPr>
        <w:t xml:space="preserve">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 этом Покупатель не несет ответственности за задержку оплаты за поставленный Товар.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8"/>
          <w:ilvl w:val="1"/>
        </w:numPr>
        <w:shd w:val="clear" w:color="auto" w:fill="ffffff"/>
        <w:tabs>
          <w:tab w:val="num" w:pos="709" w:leader="none"/>
          <w:tab w:val="clear" w:pos="858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 не позднее 5 числа месяца, следующего за отчетным кварталом, направляет в адрес Покупателя оформленный со 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воей стороны акт сверки. Покупатель в течение 5 календарных дней с момента получения акта сверки производит сверку расчетов между Сторонами, при необходимости оформляет протокол разногласий и возвращает Поставщику один экземпляр надлежаще оформленного акта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сверки с приложением 2 (двух) экземпляров протокола разногласий.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0"/>
          <w:ilvl w:val="0"/>
        </w:numPr>
        <w:spacing w:after="0" w:line="240" w:lineRule="auto"/>
        <w:ind w:left="0" w:firstLine="284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Качество и комплектность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widowControl w:val="off"/>
        <w:numPr>
          <w:numId w:val="4"/>
          <w:ilvl w:val="0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</w:p>
    <w:p>
      <w:pPr>
        <w:widowControl w:val="off"/>
        <w:numPr>
          <w:numId w:val="4"/>
          <w:ilvl w:val="0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num" w:pos="0" w:leader="none"/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Качество и комплектность поставляемого Товара должны соответствовать требованиям Покупателя, государственным стандартам (техническим регламентам), техническим условиям или другой нормативно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-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технической документации на русском языке, в том числе, указанной в Спецификации, применительно к каждой позиции Товара.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num" w:pos="502" w:leader="none"/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 должен быть изготовлен не ранее года, предшествующего году поставки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 Поставка Товара, изготовленного ранее года, предшествующего году поставки, допускается при условии письменного согласования с Покупателем и предоставления документов, подтверждающих условия его хранения и консервации до осуществления поставки Покупателю.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 обязан одновременно с передачей каждой партии Товара передать Покупателю (грузополучателю) его принадлежности,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накладную унифицированной формы ТОРГ-12 и универсальный передаточный документ/счет-фактуру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с обязательным заполнением графы «Страна происхождения», а также относящиеся к нему документы, оформленные надлежащим образом, (</w:t>
      </w:r>
      <w:bookmarkStart w:id="5" w:name="_Hlk114734549"/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включая, но не ограничиваясь) 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выбрать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/указать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нужное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):</w:t>
      </w:r>
      <w:bookmarkEnd w:id="5"/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8"/>
          <w:ilvl w:val="0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contextualSpacing/>
        <w:jc w:val="both"/>
        <w:rPr>
          <w:rFonts w:ascii="Liberation Serif" w:hAnsi="Liberation Serif" w:cs="Liberation Serif"/>
          <w:i/>
          <w:sz w:val="21"/>
          <w:szCs w:val="21"/>
        </w:rPr>
      </w:pPr>
      <w:r>
        <w:rPr>
          <w:rFonts w:ascii="Liberation Serif" w:hAnsi="Liberation Serif" w:cs="Liberation Serif"/>
          <w:i/>
          <w:sz w:val="21"/>
          <w:szCs w:val="21"/>
        </w:rPr>
        <w:t xml:space="preserve">упаковочный лист на каждую партию отгруженной продукции;</w:t>
      </w:r>
      <w:r>
        <w:rPr>
          <w:rFonts w:ascii="Liberation Serif" w:hAnsi="Liberation Serif" w:cs="Liberation Serif"/>
          <w:i/>
          <w:sz w:val="21"/>
          <w:szCs w:val="21"/>
        </w:rPr>
      </w:r>
    </w:p>
    <w:p>
      <w:pPr>
        <w:numPr>
          <w:numId w:val="27"/>
          <w:ilvl w:val="0"/>
        </w:numPr>
        <w:tabs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сертификаты соотв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етствия техническим регламентам Евразийского экономического союза (Таможенного союза) и Российской Федерации, пожаробезопасности, взрывобезопасности и т.п. (для продукции, подлежащей обязательной сертификации), подтверждение страны происхождения продукции;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numPr>
          <w:numId w:val="27"/>
          <w:ilvl w:val="0"/>
        </w:numPr>
        <w:tabs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свидетельство о поверке, для продукции, являющейся средством измерений. Срок поверки на момент поставки не должен превышать 5 (пяти) месяцев.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numPr>
          <w:numId w:val="27"/>
          <w:ilvl w:val="0"/>
        </w:numPr>
        <w:tabs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регистрационное удостоверение или санитарно-эпидемиологическое заключение (для продукции, подлежащей государственной регистрации в соответствии с санитарно-эпидемиологическими правилами и нормативами);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numPr>
          <w:numId w:val="27"/>
          <w:ilvl w:val="0"/>
        </w:numPr>
        <w:tabs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сертификат качества завода-изготовителя, а также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письменное подтвержде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ние завода-изготовителя, выдавшего сертификат (паспорт) соответствия (качества) о подлинности сертификатов (паспортов) качества. В случае предоставления Поставщиком копий сертификатов (паспортов) качества, они должны быть заверены в установленном порядке.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При заверении соответствия копии документа подлиннику ниже реквизита "Подпись" проставляют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заверительную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надпись: "Верно"; должность лица, заверившего копию; личную подпись; расшифровку подписи (инициалы, фамилию); дату заверения, проставление печати (при наличии).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numPr>
          <w:numId w:val="27"/>
          <w:ilvl w:val="0"/>
        </w:numPr>
        <w:tabs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технический паспорт, инструкцию по эксплуатации, технические схемы (техническое описание), сервисную книжку, гарантийный талон, сертификат или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удостоверение,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а также иные документы, содержащие идентификационный номер продукции;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numPr>
          <w:numId w:val="27"/>
          <w:ilvl w:val="0"/>
        </w:numPr>
        <w:tabs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документ, подтверждающий гарантийные обязательства на продукцию;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numPr>
          <w:numId w:val="27"/>
          <w:ilvl w:val="0"/>
        </w:numPr>
        <w:tabs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разрешение Федеральной службы по экологическому, технологическому и атомному надзору (Ростехнадзор) на использование продукции на территории Российской Федерации;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numPr>
          <w:numId w:val="27"/>
          <w:ilvl w:val="0"/>
        </w:numPr>
        <w:tabs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инструкция по эксплуатации, инструкция по технике безопасности;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numPr>
          <w:numId w:val="27"/>
          <w:ilvl w:val="0"/>
        </w:numPr>
        <w:tabs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технические условия, по которым изготовлена продукция (по отдельному требованию Покупателя)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numPr>
          <w:numId w:val="27"/>
          <w:ilvl w:val="0"/>
        </w:numPr>
        <w:tabs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__________________________________.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Товаросопроводительные документы должны быть оформлены на имя грузополучателя. В случае отсутствия необходимых документов Покупатель (грузополучатель) уведомляет об этом Поставщика. Поставщик обязан в течение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3 (трех) рабочих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дней с момента получения данного уведомления представить недостающие документы Покупателю (грузополучателю),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 уплатить штраф по требованию Покупателя, предусмотренный пунктом 10.6. настоящего Договора. Покупатель вправе не осуществлять приемку такого Товара, поместив его на ответственное хранение. В этом случае </w:t>
      </w:r>
      <w:bookmarkStart w:id="6" w:name="_Hlk114752244"/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право собственности на Товар перейдет к Покупателю с даты предоставления всех документов, предусмотренных Договором, либо с даты приемки Товара, если Покупатель воспользуется правом осуществить приемку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до получения указанных документов.</w:t>
      </w:r>
      <w:bookmarkEnd w:id="6"/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случае, когда принадлежности или документы, относящиеся к Товару, не переданы Поставщиком в указанный срок или/и не предоставлены с Товаром, Покупатель вправе отказаться от Товара, а Поставщик обязан не позднее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3 (трех) рабочих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дней с даты уведомления его Покупателем об отказе от Товара возвратить Покупателю сумму ранее выплаченного Покупателем аванса, а также возместить понесенные убытки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уплатить проценты в соответствии со ст. 395 ГК РФ.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необходимости в Спецификации указывается ГОСТ (технический регламент), ТУ, а также могут быть предусмотрены правила, по которым проводится приемка Товара по качеству и качественные исследования каждого вида Товара.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 Товар устанавливается гарантийный срок, равный 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гарантийному сроку завода-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изготовителя, указанному в техническом паспорте на изделие, и составлять не менее 12 месяцев 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с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даты приемки товара по товарной накладной унифицированной формы ТОРГ-12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В случае если гарантийный срок завода-изготовителя составляет менее 12 месяцев, Участник принимает на себя обязательства по дополнительному гарантийному обслуживанию </w:t>
      </w:r>
      <w:r>
        <w:rPr>
          <w:rFonts w:ascii="Times New Roman" w:hAnsi="Times New Roman" w:cs="Times New Roman" w:eastAsiaTheme="minorEastAsia"/>
          <w:color w:val="000000" w:themeColor="text1"/>
          <w:sz w:val="24"/>
          <w:szCs w:val="24"/>
        </w:rPr>
        <w:t xml:space="preserve">за свой счет, до момента наступления указанного срока.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указать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: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подписания Сторонами Товарной накладной унифицированной формы ТОРГ-12 / с момента ввода его в промышленную эксплуатацию).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i/>
          <w:sz w:val="21"/>
          <w:szCs w:val="21"/>
          <w:lang w:eastAsia="ru-RU"/>
        </w:rPr>
        <w:t xml:space="preserve">ИЛИ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Срок службы (годности) на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Товар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составляет ________ (____________) месяцев с момента изготовления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. На момент поставки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срок, прошедший со дня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его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изготовления, должен составлять не более __________ (________________) дней/недель/месяцев.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если при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внутритарной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приемке Товаров, во время производства работ по монтажу Товара или в течение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гарантийного срока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/срока службы(годности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в Товаре или любой его части будут обнаружены любые дефекты, повреждения, несоответствия (недостатки), Покупатель обязан в разумный срок направить Поставщику уведомление, в котором указывается, что Поставщик по выбору Покупателя: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tabs>
          <w:tab w:val="left" w:pos="720" w:leader="none"/>
        </w:tabs>
        <w:spacing w:after="0" w:line="240" w:lineRule="auto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     -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 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производит за свой счет ремонт Товара;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9"/>
          <w:ilvl w:val="0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производит за свой счет замену Товара;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9"/>
          <w:ilvl w:val="0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возвращает Покупателю стоимость Товара;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9"/>
          <w:ilvl w:val="0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возмещает Покупателю расходы, связанные с устранением недостатков Товара.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Ср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оки ремонта, замены Товара, возврата стоимости Товара, возмещения расходов, связанных с устранением недостатков Товара, указываются Покупателем в уведомлении, но не могут превышать 20 (двадцать) календарных дней с момента получения уведомления Поставщиком.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замены, ремонта Товара, гарантийный срок данного Товара начинается снова со дня его замены, ремонта.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В течение гарантийного срока Поставщик гарантирует исправную и полнофункциональную работу Товара в соответствии с техническим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требованиями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 нему, установленными Договором, и возможность его использования по назначению. В течение гарантийного срока Поставщик обеспечит Покупателя консультациями по использованию и поддержке Товара. Стоимость данной услуги Поставщика включена в стоимость Товара.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уклонения Поставщика от устранения выявленных дефектов, Покупатель вправе принять меры по их устранению.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последующем Покупатель без ущерба другим своим правам вправе предъявить Поставщику к оплате стоимость выполненных работ, равную произведенным и документально подтвержденным затратам на устранение дефектов, а Поставщик обязан оплатить вышеуказанную сумму.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0"/>
        </w:numPr>
        <w:spacing w:after="0" w:line="240" w:lineRule="auto"/>
        <w:ind w:left="0" w:firstLine="284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Количество и ассортимент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Количество, цена, единица измерения и ассортимент поставляемого Товара указываются Сторонами в Спецификации (Приложение № 1 к настоящему Договору).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284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0"/>
        </w:numPr>
        <w:spacing w:after="0" w:line="240" w:lineRule="auto"/>
        <w:ind w:left="0" w:firstLine="284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Тара, упаковка, маркировка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Товар, поставляемый по настоящему Договору, должен отгружаться Поставщиком в таре и упаковке, с 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спользованием средств пакетирования, соответствующих характеру поставляемого Товара. При этом упаковка должна обеспечивать полную сохранность Товара от всякого рода повреждений и порчи при его перевозке с учетом возможных перегрузок и длительного хранения.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если по своему характеру Товар не требует затаривания и (или) упаковки и (или) применения средств пакетирования, Поставщик отгружает его без применения этих средств.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 необходимости согласование способа затаривания, упаковки и средств пакетирования в случае, если 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тгружаемый Товар требует затаривания, упаковки, применения средств пакетирования, производится Сторонами в Спецификации на каждый вид Товара в соответствии с требованиями ГОСТ (технических регламентов), ОСТ или другой нормативно - технической документации.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Товар, упаковка, тара должны быть надлежащим образом промаркированы. При необходимости в Спецификации указывается содержание, способ и места нанесения маркировки.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Стоимость тары, упаковки включена в цену Товара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Тара, упаковка возврату не подлежит.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tabs>
          <w:tab w:val="left" w:pos="119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0"/>
        </w:numPr>
        <w:shd w:val="clear" w:color="auto" w:fill="ffffff"/>
        <w:tabs>
          <w:tab w:val="left" w:pos="1190" w:leader="none"/>
          <w:tab w:val="left" w:pos="3544" w:leader="none"/>
        </w:tabs>
        <w:spacing w:after="0" w:line="240" w:lineRule="auto"/>
        <w:ind w:left="0" w:firstLine="0"/>
        <w:jc w:val="center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Сроки, порядок и условия поставки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spacing w:after="0" w:line="240" w:lineRule="auto"/>
        <w:ind w:left="0" w:firstLine="284"/>
        <w:jc w:val="both"/>
        <w:rPr>
          <w:rFonts w:ascii="Liberation Serif" w:hAnsi="Liberation Serif" w:cs="Liberation Serif"/>
          <w:i/>
          <w:color w:val="ff0000"/>
          <w:sz w:val="21"/>
          <w:szCs w:val="21"/>
        </w:rPr>
      </w:pPr>
      <w:bookmarkStart w:id="7" w:name="_Hlk114650792"/>
      <w:r>
        <w:rPr>
          <w:rFonts w:ascii="Liberation Serif" w:hAnsi="Liberation Serif" w:cs="Liberation Serif"/>
          <w:i/>
          <w:color w:val="ff0000"/>
          <w:sz w:val="21"/>
          <w:szCs w:val="21"/>
        </w:rPr>
        <w:t xml:space="preserve">Вариант 1 </w:t>
      </w:r>
      <w:bookmarkStart w:id="8" w:name="_Hlk88659892"/>
      <w:bookmarkStart w:id="9" w:name="_Hlk114748343"/>
      <w:r>
        <w:rPr>
          <w:rFonts w:ascii="Liberation Serif" w:hAnsi="Liberation Serif" w:cs="Liberation Serif"/>
          <w:i/>
          <w:color w:val="ff0000"/>
          <w:sz w:val="21"/>
          <w:szCs w:val="21"/>
        </w:rPr>
        <w:t xml:space="preserve">для поставки </w:t>
      </w:r>
      <w:bookmarkEnd w:id="7"/>
      <w:r>
        <w:rPr>
          <w:rFonts w:ascii="Liberation Serif" w:hAnsi="Liberation Serif" w:cs="Liberation Serif"/>
          <w:i/>
          <w:color w:val="ff0000"/>
          <w:sz w:val="21"/>
          <w:szCs w:val="21"/>
        </w:rPr>
        <w:t xml:space="preserve">материалов постоянного потребления (МПП) первой группы критичности</w:t>
      </w:r>
      <w:bookmarkEnd w:id="8"/>
      <w:bookmarkEnd w:id="9"/>
      <w:r>
        <w:rPr>
          <w:rFonts w:ascii="Liberation Serif" w:hAnsi="Liberation Serif" w:cs="Liberation Serif"/>
          <w:i/>
          <w:color w:val="ff0000"/>
          <w:sz w:val="21"/>
          <w:szCs w:val="21"/>
        </w:rPr>
      </w:r>
    </w:p>
    <w:p>
      <w:pPr>
        <w:pStyle w:val="765"/>
        <w:numPr>
          <w:numId w:val="4"/>
          <w:ilvl w:val="1"/>
        </w:numPr>
        <w:spacing w:after="0" w:line="240" w:lineRule="auto"/>
        <w:ind w:left="0" w:firstLine="284"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  <w:t xml:space="preserve">Срок</w:t>
      </w:r>
      <w:r>
        <w:rPr>
          <w:rFonts w:ascii="Liberation Serif" w:hAnsi="Liberation Serif" w:cs="Liberation Serif"/>
          <w:sz w:val="21"/>
          <w:szCs w:val="21"/>
        </w:rPr>
        <w:t xml:space="preserve">, способ, место</w:t>
      </w:r>
      <w:r>
        <w:rPr>
          <w:rFonts w:ascii="Liberation Serif" w:hAnsi="Liberation Serif" w:cs="Liberation Serif"/>
          <w:sz w:val="21"/>
          <w:szCs w:val="21"/>
        </w:rPr>
        <w:t xml:space="preserve"> поставки </w:t>
      </w:r>
      <w:r>
        <w:rPr>
          <w:rFonts w:ascii="Liberation Serif" w:hAnsi="Liberation Serif" w:cs="Liberation Serif"/>
          <w:sz w:val="21"/>
          <w:szCs w:val="21"/>
        </w:rPr>
        <w:t xml:space="preserve">Товара</w:t>
      </w:r>
      <w:r>
        <w:rPr>
          <w:rFonts w:ascii="Liberation Serif" w:hAnsi="Liberation Serif" w:cs="Liberation Serif"/>
          <w:sz w:val="21"/>
          <w:szCs w:val="21"/>
        </w:rPr>
        <w:t xml:space="preserve"> устанавлива</w:t>
      </w:r>
      <w:r>
        <w:rPr>
          <w:rFonts w:ascii="Liberation Serif" w:hAnsi="Liberation Serif" w:cs="Liberation Serif"/>
          <w:sz w:val="21"/>
          <w:szCs w:val="21"/>
        </w:rPr>
        <w:t xml:space="preserve">ю</w:t>
      </w:r>
      <w:r>
        <w:rPr>
          <w:rFonts w:ascii="Liberation Serif" w:hAnsi="Liberation Serif" w:cs="Liberation Serif"/>
          <w:sz w:val="21"/>
          <w:szCs w:val="21"/>
        </w:rPr>
        <w:t xml:space="preserve">тся в </w:t>
      </w:r>
      <w:bookmarkStart w:id="10" w:name="_Hlk88660320"/>
      <w:r>
        <w:rPr>
          <w:rFonts w:ascii="Liberation Serif" w:hAnsi="Liberation Serif" w:cs="Liberation Serif"/>
          <w:sz w:val="21"/>
          <w:szCs w:val="21"/>
        </w:rPr>
        <w:t xml:space="preserve">Спецификация</w:t>
      </w:r>
      <w:r>
        <w:rPr>
          <w:rFonts w:ascii="Liberation Serif" w:hAnsi="Liberation Serif" w:cs="Liberation Serif"/>
          <w:i/>
          <w:sz w:val="21"/>
          <w:szCs w:val="21"/>
        </w:rPr>
        <w:t xml:space="preserve">(-</w:t>
      </w:r>
      <w:r>
        <w:rPr>
          <w:rFonts w:ascii="Liberation Serif" w:hAnsi="Liberation Serif" w:cs="Liberation Serif"/>
          <w:i/>
          <w:sz w:val="21"/>
          <w:szCs w:val="21"/>
        </w:rPr>
        <w:t xml:space="preserve">ции</w:t>
      </w:r>
      <w:r>
        <w:rPr>
          <w:rFonts w:ascii="Liberation Serif" w:hAnsi="Liberation Serif" w:cs="Liberation Serif"/>
          <w:i/>
          <w:sz w:val="21"/>
          <w:szCs w:val="21"/>
        </w:rPr>
        <w:t xml:space="preserve">)</w:t>
      </w:r>
      <w:r>
        <w:rPr>
          <w:rFonts w:ascii="Liberation Serif" w:hAnsi="Liberation Serif" w:cs="Liberation Serif"/>
          <w:sz w:val="21"/>
          <w:szCs w:val="21"/>
        </w:rPr>
        <w:t xml:space="preserve"> Приложение №1 к настоящему Договору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</w:t>
      </w:r>
      <w:r>
        <w:rPr>
          <w:rFonts w:ascii="Liberation Serif" w:hAnsi="Liberation Serif" w:cs="Liberation Serif"/>
          <w:sz w:val="21"/>
          <w:szCs w:val="21"/>
        </w:rPr>
        <w:t xml:space="preserve">являющейся</w:t>
      </w:r>
      <w:r>
        <w:rPr>
          <w:rFonts w:ascii="Liberation Serif" w:hAnsi="Liberation Serif" w:cs="Liberation Serif"/>
          <w:i/>
          <w:sz w:val="21"/>
          <w:szCs w:val="21"/>
        </w:rPr>
        <w:t xml:space="preserve">(</w:t>
      </w:r>
      <w:r>
        <w:rPr>
          <w:rFonts w:ascii="Liberation Serif" w:hAnsi="Liberation Serif" w:cs="Liberation Serif"/>
          <w:i/>
          <w:sz w:val="21"/>
          <w:szCs w:val="21"/>
        </w:rPr>
        <w:t xml:space="preserve">ихся</w:t>
      </w:r>
      <w:r>
        <w:rPr>
          <w:rFonts w:ascii="Liberation Serif" w:hAnsi="Liberation Serif" w:cs="Liberation Serif"/>
          <w:i/>
          <w:sz w:val="21"/>
          <w:szCs w:val="21"/>
        </w:rPr>
        <w:t xml:space="preserve">) </w:t>
      </w:r>
      <w:r>
        <w:rPr>
          <w:rFonts w:ascii="Liberation Serif" w:hAnsi="Liberation Serif" w:cs="Liberation Serif"/>
          <w:sz w:val="21"/>
          <w:szCs w:val="21"/>
        </w:rPr>
        <w:t xml:space="preserve">неотъемлемой</w:t>
      </w:r>
      <w:r>
        <w:rPr>
          <w:rFonts w:ascii="Liberation Serif" w:hAnsi="Liberation Serif" w:cs="Liberation Serif"/>
          <w:i/>
          <w:sz w:val="21"/>
          <w:szCs w:val="21"/>
        </w:rPr>
        <w:t xml:space="preserve">(</w:t>
      </w:r>
      <w:r>
        <w:rPr>
          <w:rFonts w:ascii="Liberation Serif" w:hAnsi="Liberation Serif" w:cs="Liberation Serif"/>
          <w:i/>
          <w:sz w:val="21"/>
          <w:szCs w:val="21"/>
        </w:rPr>
        <w:t xml:space="preserve">ыми</w:t>
      </w:r>
      <w:r>
        <w:rPr>
          <w:rFonts w:ascii="Liberation Serif" w:hAnsi="Liberation Serif" w:cs="Liberation Serif"/>
          <w:i/>
          <w:sz w:val="21"/>
          <w:szCs w:val="21"/>
        </w:rPr>
        <w:t xml:space="preserve">) </w:t>
      </w:r>
      <w:r>
        <w:rPr>
          <w:rFonts w:ascii="Liberation Serif" w:hAnsi="Liberation Serif" w:cs="Liberation Serif"/>
          <w:sz w:val="21"/>
          <w:szCs w:val="21"/>
        </w:rPr>
        <w:t xml:space="preserve">частью</w:t>
      </w:r>
      <w:r>
        <w:rPr>
          <w:rFonts w:ascii="Liberation Serif" w:hAnsi="Liberation Serif" w:cs="Liberation Serif"/>
          <w:i/>
          <w:sz w:val="21"/>
          <w:szCs w:val="21"/>
        </w:rPr>
        <w:t xml:space="preserve">(</w:t>
      </w:r>
      <w:r>
        <w:rPr>
          <w:rFonts w:ascii="Liberation Serif" w:hAnsi="Liberation Serif" w:cs="Liberation Serif"/>
          <w:i/>
          <w:sz w:val="21"/>
          <w:szCs w:val="21"/>
        </w:rPr>
        <w:t xml:space="preserve">ями</w:t>
      </w:r>
      <w:r>
        <w:rPr>
          <w:rFonts w:ascii="Liberation Serif" w:hAnsi="Liberation Serif" w:cs="Liberation Serif"/>
          <w:i/>
          <w:sz w:val="21"/>
          <w:szCs w:val="21"/>
        </w:rPr>
        <w:t xml:space="preserve">) </w:t>
      </w:r>
      <w:r>
        <w:rPr>
          <w:rFonts w:ascii="Liberation Serif" w:hAnsi="Liberation Serif" w:cs="Liberation Serif"/>
          <w:sz w:val="21"/>
          <w:szCs w:val="21"/>
        </w:rPr>
        <w:t xml:space="preserve">настоящего </w:t>
      </w:r>
      <w:r>
        <w:rPr>
          <w:rFonts w:ascii="Liberation Serif" w:hAnsi="Liberation Serif" w:cs="Liberation Serif"/>
          <w:sz w:val="21"/>
          <w:szCs w:val="21"/>
        </w:rPr>
        <w:t xml:space="preserve">Д</w:t>
      </w:r>
      <w:r>
        <w:rPr>
          <w:rFonts w:ascii="Liberation Serif" w:hAnsi="Liberation Serif" w:cs="Liberation Serif"/>
          <w:sz w:val="21"/>
          <w:szCs w:val="21"/>
        </w:rPr>
        <w:t xml:space="preserve">оговора</w:t>
      </w:r>
      <w:r>
        <w:rPr>
          <w:rFonts w:ascii="Liberation Serif" w:hAnsi="Liberation Serif" w:cs="Liberation Serif"/>
          <w:i/>
          <w:sz w:val="21"/>
          <w:szCs w:val="21"/>
        </w:rPr>
        <w:t xml:space="preserve">. </w:t>
      </w:r>
      <w:r>
        <w:rPr>
          <w:rFonts w:ascii="Liberation Serif" w:hAnsi="Liberation Serif" w:cs="Liberation Serif"/>
          <w:sz w:val="21"/>
          <w:szCs w:val="21"/>
        </w:rPr>
        <w:t xml:space="preserve">С согласия Покупателя допускается досрочная поставка </w:t>
      </w:r>
      <w:r>
        <w:rPr>
          <w:rFonts w:ascii="Liberation Serif" w:hAnsi="Liberation Serif" w:cs="Liberation Serif"/>
          <w:sz w:val="21"/>
          <w:szCs w:val="21"/>
        </w:rPr>
        <w:t xml:space="preserve">Товара</w:t>
      </w:r>
      <w:r>
        <w:rPr>
          <w:rFonts w:ascii="Liberation Serif" w:hAnsi="Liberation Serif" w:cs="Liberation Serif"/>
          <w:sz w:val="21"/>
          <w:szCs w:val="21"/>
        </w:rPr>
        <w:t xml:space="preserve">. </w:t>
      </w:r>
      <w:bookmarkEnd w:id="10"/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ind w:firstLine="284"/>
        <w:contextualSpacing/>
        <w:jc w:val="both"/>
        <w:rPr>
          <w:rFonts w:ascii="Liberation Serif" w:hAnsi="Liberation Serif" w:cs="Liberation Serif"/>
          <w:i/>
          <w:color w:val="ff0000"/>
          <w:sz w:val="21"/>
          <w:szCs w:val="21"/>
        </w:rPr>
      </w:pPr>
      <w:r>
        <w:rPr>
          <w:rFonts w:ascii="Liberation Serif" w:hAnsi="Liberation Serif" w:cs="Liberation Serif"/>
          <w:i/>
          <w:color w:val="ff0000"/>
          <w:sz w:val="21"/>
          <w:szCs w:val="21"/>
        </w:rPr>
        <w:t xml:space="preserve">Вариант 2 </w:t>
      </w:r>
      <w:bookmarkStart w:id="11" w:name="_Hlk114749392"/>
      <w:r>
        <w:rPr>
          <w:rFonts w:ascii="Liberation Serif" w:hAnsi="Liberation Serif" w:cs="Liberation Serif"/>
          <w:i/>
          <w:color w:val="ff0000"/>
          <w:sz w:val="21"/>
          <w:szCs w:val="21"/>
        </w:rPr>
        <w:t xml:space="preserve">для поставки материалов постоянного потребления (МПП) второй группы критичности</w:t>
      </w:r>
      <w:bookmarkEnd w:id="11"/>
      <w:r>
        <w:rPr>
          <w:rFonts w:ascii="Liberation Serif" w:hAnsi="Liberation Serif" w:cs="Liberation Serif"/>
          <w:i/>
          <w:color w:val="ff0000"/>
          <w:sz w:val="21"/>
          <w:szCs w:val="21"/>
        </w:rPr>
      </w:r>
    </w:p>
    <w:p>
      <w:pPr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u w:val="single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7.1. Поставка Товара по настоящему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оговору осуществляется отдельными партиями, на основании предварительно подаваемых Покупателем письменных заявок по форме Приложения №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3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к настоящему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оговору, в которых указывается наименование Товара, его количество, стоимость, промежуточные сроки (периоды) поставки партий Товара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 способ, место поставки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и реквизиты грузополучателя, в рамках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Спецификация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(-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ции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(Приложение №1 к настоящему Договору 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являющейс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я(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ихся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 неотъемлемой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ыми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)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частью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ями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)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настоящего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i/>
          <w:sz w:val="21"/>
          <w:szCs w:val="21"/>
          <w:u w:val="single"/>
          <w:lang w:eastAsia="ru-RU"/>
        </w:rPr>
      </w:r>
    </w:p>
    <w:p>
      <w:pPr>
        <w:spacing w:after="0" w:line="240" w:lineRule="auto"/>
        <w:ind w:firstLine="284"/>
        <w:contextualSpacing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  <w:t xml:space="preserve">Покупатель вправе отказаться от приемки Товара, поставленного Поставщиком по собственной инициативе (без заявки Покупателя). При этом все связанные с этим расходы (в том числе транспортные, хранение и т.д.) в полном объеме возлагаются на Поставщика.</w:t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ind w:firstLine="284"/>
        <w:contextualSpacing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  <w:t xml:space="preserve">Заявка подписывается уполномоченным лицом Покупателя.</w:t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ind w:firstLine="284"/>
        <w:contextualSpacing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  <w:t xml:space="preserve">Направление заявки осуществляется с использованием электронных средств связи (электронные сообщения) по следующим адресам электронной почты:</w:t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ind w:firstLine="284"/>
        <w:contextualSpacing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  <w:t xml:space="preserve">а) в адрес Поставщика: __________________;</w:t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ind w:firstLine="284"/>
        <w:contextualSpacing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  <w:t xml:space="preserve">б) в адрес </w:t>
      </w:r>
      <w:r>
        <w:rPr>
          <w:rFonts w:ascii="Liberation Serif" w:hAnsi="Liberation Serif" w:cs="Liberation Serif"/>
          <w:sz w:val="21"/>
          <w:szCs w:val="21"/>
        </w:rPr>
        <w:t xml:space="preserve">Покупателя: _</w:t>
      </w:r>
      <w:r>
        <w:rPr>
          <w:rFonts w:ascii="Liberation Serif" w:hAnsi="Liberation Serif" w:cs="Liberation Serif"/>
          <w:sz w:val="21"/>
          <w:szCs w:val="21"/>
        </w:rPr>
        <w:t xml:space="preserve">__________________.</w:t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ind w:firstLine="284"/>
        <w:contextualSpacing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  <w:t xml:space="preserve">Направленные Покупателем по э</w:t>
      </w:r>
      <w:r>
        <w:rPr>
          <w:rFonts w:ascii="Liberation Serif" w:hAnsi="Liberation Serif" w:cs="Liberation Serif"/>
          <w:sz w:val="21"/>
          <w:szCs w:val="21"/>
        </w:rPr>
        <w:t xml:space="preserve">лектронной почте заявки на поставку Товара считаются облеченными в простую письменную форму и имеют юридическую силу наравне с оригиналами при условии, что такой обмен документами был произведен с использованием указанных выше электронных почтовых ящиков. </w:t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ind w:firstLine="284"/>
        <w:contextualSpacing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  <w:t xml:space="preserve">Датой передачи соответствующего сообщения считается день отправления сообщения электронной почты.</w:t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ind w:firstLine="284"/>
        <w:contextualSpacing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  <w:t xml:space="preserve">Автоматическое уведомление программными средствами о получении электронного сообщения по электронной </w:t>
      </w:r>
      <w:r>
        <w:rPr>
          <w:rFonts w:ascii="Liberation Serif" w:hAnsi="Liberation Serif" w:cs="Liberation Serif"/>
          <w:sz w:val="21"/>
          <w:szCs w:val="21"/>
        </w:rPr>
        <w:t xml:space="preserve">почте считается</w:t>
      </w:r>
      <w:r>
        <w:rPr>
          <w:rFonts w:ascii="Liberation Serif" w:hAnsi="Liberation Serif" w:cs="Liberation Serif"/>
          <w:sz w:val="21"/>
          <w:szCs w:val="21"/>
        </w:rPr>
        <w:t xml:space="preserve"> подтверждени</w:t>
      </w:r>
      <w:r>
        <w:rPr>
          <w:rFonts w:ascii="Liberation Serif" w:hAnsi="Liberation Serif" w:cs="Liberation Serif"/>
          <w:sz w:val="21"/>
          <w:szCs w:val="21"/>
        </w:rPr>
        <w:t xml:space="preserve">ем</w:t>
      </w:r>
      <w:r>
        <w:rPr>
          <w:rFonts w:ascii="Liberation Serif" w:hAnsi="Liberation Serif" w:cs="Liberation Serif"/>
          <w:sz w:val="21"/>
          <w:szCs w:val="21"/>
        </w:rPr>
        <w:t xml:space="preserve"> получения заявки Поставщиком и принятием заявки к исполнению.</w:t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ind w:firstLine="284"/>
        <w:contextualSpacing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  <w:t xml:space="preserve">С согласия Покупателя допускается досрочная поставка </w:t>
      </w:r>
      <w:r>
        <w:rPr>
          <w:rFonts w:ascii="Liberation Serif" w:hAnsi="Liberation Serif" w:cs="Liberation Serif"/>
          <w:sz w:val="21"/>
          <w:szCs w:val="21"/>
        </w:rPr>
        <w:t xml:space="preserve">Товара</w:t>
      </w:r>
      <w:r>
        <w:rPr>
          <w:rFonts w:ascii="Liberation Serif" w:hAnsi="Liberation Serif" w:cs="Liberation Serif"/>
          <w:sz w:val="21"/>
          <w:szCs w:val="21"/>
        </w:rPr>
        <w:t xml:space="preserve">. </w:t>
      </w:r>
      <w:r>
        <w:rPr>
          <w:rFonts w:ascii="Liberation Serif" w:hAnsi="Liberation Serif" w:cs="Liberation Serif"/>
          <w:sz w:val="21"/>
          <w:szCs w:val="21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 обязан направить в адрес Покупателя средствами факсимильной/электронной связи с последующим направлением уведомления на бланке организации информацию о предполагаемой дате поставки Товара (частей Товара) на склад Покупателя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(передачи Товара (частей Товара) на складе Поставщика)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не позднее, чем за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3 (три)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рабочих дня до даты такой поставки.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Риск случайного повреждения, гибели Товара переходит от Поставщика к Покупателю с момента подписания Сторонами Товарной накладной унифицированной формы ТОРГ-12/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универсального передаточного документа (УПД)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Право собственности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 переходит от Поставщика к Покупателю с момента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приемки Товара и предоставления всех документов, предусмотренных п.4.2.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настоящего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Договора.</w:t>
      </w:r>
      <w:r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 в течение суток с даты отгрузки Товара обязан уведомить об этом Покупателя средствами факсимильной/электронной связи. При этом Пост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авщик обязан указать № партии, № контейнера (вагона, транспортного средства), пункт назначения, дату отправки, предположительное время прибытия Товара в место назначения, наименование и количество Товара, наименование грузоотправителя и грузополучателя, №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ж.д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 накладной (товарно-транспортной накладной)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(указывать при необходимости).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неприбытия Товара в пункт назначения в течение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10 (десяти) календарных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дней с даты уведомления об отгрузке, Поставщик за свой счет принимает меры по его розыску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(указывать при необходимости).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если документы первичной отчетности оформлены не по форме и/или оформлены не полностью (отсутствуют обязательные реквизиты, заполнены не все поля, разделы), либо оформлены с ошибками, либо предоставлены не в полном объеме,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 Покупатель вправе вернуть такие документы Поставщику на переоформление, не принимать и не оплачивать поставленные Товары на время переоформления Поставщиком таких документов, что не освобождает Поставщика от ответственности за просрочку поставки Товара.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Возврат транспорта ос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уществляется за счет средств Поставщика. Поставщик возмещает Покупателю расходы за простой транспорта, если этот простой возник по причине обнаружения несоответствующего качества, количества, ассортимента и/или комплектности поставленного Товара в течение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10 (десяти) календарных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дней с момента выставления Покупателем соответствующего счета.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Поставщик, допустивший недопоставку Товара, обязан восполнить недопоставленное количество в течение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10 (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десяти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дней с момента обнаружения недопоставки.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Покупатель вправе, уведомив Поставщика, отказаться от принятия Товара, поставка которого просрочена.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0"/>
        </w:numPr>
        <w:shd w:val="clear" w:color="auto" w:fill="ffffff"/>
        <w:tabs>
          <w:tab w:val="left" w:pos="1190" w:leader="none"/>
        </w:tabs>
        <w:spacing w:after="0" w:line="240" w:lineRule="auto"/>
        <w:ind w:left="0" w:firstLine="0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Страхование 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cs="Liberation Serif"/>
          <w:i/>
          <w:color w:val="ff0000"/>
          <w:sz w:val="21"/>
          <w:szCs w:val="21"/>
        </w:rPr>
      </w:pPr>
      <w:r>
        <w:rPr>
          <w:rFonts w:ascii="Liberation Serif" w:hAnsi="Liberation Serif" w:cs="Liberation Serif"/>
          <w:i/>
          <w:color w:val="ff0000"/>
          <w:sz w:val="21"/>
          <w:szCs w:val="21"/>
        </w:rPr>
        <w:t xml:space="preserve">Вариант 1 </w:t>
      </w:r>
      <w:r>
        <w:rPr>
          <w:rFonts w:ascii="Liberation Serif" w:hAnsi="Liberation Serif" w:cs="Liberation Serif"/>
          <w:i/>
          <w:color w:val="ff0000"/>
          <w:sz w:val="21"/>
          <w:szCs w:val="21"/>
        </w:rPr>
      </w:r>
    </w:p>
    <w:p>
      <w:pPr>
        <w:pStyle w:val="765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  <w:t xml:space="preserve">Поставщик вправе за свой счет осуществить страхование Товара, при этом стоимость страхования не включается в Сумму Д</w:t>
      </w:r>
      <w:r>
        <w:rPr>
          <w:rFonts w:ascii="Liberation Serif" w:hAnsi="Liberation Serif" w:cs="Liberation Serif"/>
          <w:sz w:val="21"/>
          <w:szCs w:val="21"/>
        </w:rPr>
        <w:t xml:space="preserve">оговор</w:t>
      </w:r>
      <w:r>
        <w:rPr>
          <w:rFonts w:ascii="Liberation Serif" w:hAnsi="Liberation Serif" w:cs="Liberation Serif"/>
          <w:sz w:val="21"/>
          <w:szCs w:val="21"/>
        </w:rPr>
        <w:t xml:space="preserve">а</w:t>
      </w:r>
      <w:r>
        <w:rPr>
          <w:rFonts w:ascii="Liberation Serif" w:hAnsi="Liberation Serif" w:cs="Liberation Serif"/>
          <w:sz w:val="21"/>
          <w:szCs w:val="21"/>
        </w:rPr>
        <w:t xml:space="preserve">.</w:t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cs="Liberation Serif"/>
          <w:i/>
          <w:color w:val="ff0000"/>
          <w:sz w:val="21"/>
          <w:szCs w:val="21"/>
        </w:rPr>
      </w:pPr>
      <w:r>
        <w:rPr>
          <w:rFonts w:ascii="Liberation Serif" w:hAnsi="Liberation Serif" w:cs="Liberation Serif"/>
          <w:i/>
          <w:color w:val="ff0000"/>
          <w:sz w:val="21"/>
          <w:szCs w:val="21"/>
        </w:rPr>
      </w:r>
      <w:r>
        <w:rPr>
          <w:rFonts w:ascii="Liberation Serif" w:hAnsi="Liberation Serif" w:cs="Liberation Serif"/>
          <w:i/>
          <w:color w:val="ff0000"/>
          <w:sz w:val="21"/>
          <w:szCs w:val="21"/>
        </w:rPr>
      </w:r>
    </w:p>
    <w:p>
      <w:pPr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cs="Liberation Serif"/>
          <w:i/>
          <w:color w:val="ff0000"/>
          <w:sz w:val="21"/>
          <w:szCs w:val="21"/>
        </w:rPr>
      </w:pPr>
      <w:r>
        <w:rPr>
          <w:rFonts w:ascii="Liberation Serif" w:hAnsi="Liberation Serif" w:cs="Liberation Serif"/>
          <w:i/>
          <w:color w:val="ff0000"/>
          <w:sz w:val="21"/>
          <w:szCs w:val="21"/>
        </w:rPr>
        <w:t xml:space="preserve">Вариант 2</w:t>
      </w:r>
      <w:r>
        <w:rPr>
          <w:rFonts w:ascii="Liberation Serif" w:hAnsi="Liberation Serif" w:cs="Liberation Serif"/>
          <w:i/>
          <w:color w:val="ff0000"/>
          <w:sz w:val="21"/>
          <w:szCs w:val="21"/>
        </w:rPr>
        <w:t xml:space="preserve"> (применяется: а) к договорам, заключаемым для реализации инвестиционных проектов стоимостью свыше 10 млн. рублей (без НДС); б) к договорам поставки оборудования(запчастей), кото</w:t>
      </w:r>
      <w:r>
        <w:rPr>
          <w:rFonts w:ascii="Liberation Serif" w:hAnsi="Liberation Serif" w:cs="Liberation Serif"/>
          <w:i/>
          <w:color w:val="ff0000"/>
          <w:sz w:val="21"/>
          <w:szCs w:val="21"/>
        </w:rPr>
        <w:t xml:space="preserve">рые могут повлиять на обеспечение бесперебойной производственной деятельности; в) к договорам, в которых обязанность поставщика передать товар покупателю считается исполненной в момент сдачи товара перевозчику или организации связи для доставки покупателю)</w:t>
      </w:r>
      <w:r>
        <w:rPr>
          <w:rFonts w:ascii="Liberation Serif" w:hAnsi="Liberation Serif" w:cs="Liberation Serif"/>
          <w:i/>
          <w:color w:val="ff0000"/>
          <w:sz w:val="21"/>
          <w:szCs w:val="21"/>
        </w:rPr>
      </w:r>
    </w:p>
    <w:p>
      <w:pPr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8.1.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 должен обеспечить страхование Товара во время его перевозки любым видом транспорта на условиях «С ответственностью за все риски» (категория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А). Договор страхования должен покрывать гибель, утрату и/или повреждение Товара с момента начала его погрузки на транспортное средство в пункте отправления (завод-изготовителя или склад Поставщика) до момента окончания разгрузки в пункте назначения (склад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Покупателя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или иное место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 указанное в Спецификации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), включая перегрузки и перевалки, а также хранение на складах временного хранения в пунктах перегрузок и перевалок.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Страховая сумма должна составлять не менее 100% от стоимости Товара, определенной в соответствии с условиями настоящего Договора.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"/>
          <w:ilvl w:val="1"/>
        </w:numPr>
        <w:shd w:val="clear" w:color="auto" w:fill="ffffff"/>
        <w:tabs>
          <w:tab w:val="num" w:pos="284" w:leader="none"/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Договор страхования должен быть заключен со страховой компанией, зарегистрированной на территории Российской Федерации, и удовлетворяющей помимо требований, установленных законодательством Российской Федерации, следующим критериям: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shd w:val="clear" w:color="auto" w:fill="ffffff"/>
        <w:tabs>
          <w:tab w:val="left" w:pos="720" w:leader="none"/>
        </w:tabs>
        <w:spacing w:after="0" w:line="240" w:lineRule="auto"/>
        <w:ind w:left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- иметь действующие лицензии по видам страхования, принимаемым на страхование;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shd w:val="clear" w:color="auto" w:fill="ffffff"/>
        <w:tabs>
          <w:tab w:val="left" w:pos="720" w:leader="none"/>
        </w:tabs>
        <w:spacing w:after="0" w:line="240" w:lineRule="auto"/>
        <w:ind w:left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- не должна находиться в процессе ликвидации, банкротства или реорганизации, на её имущество не должен быть наложен арест;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shd w:val="clear" w:color="auto" w:fill="ffffff"/>
        <w:tabs>
          <w:tab w:val="left" w:pos="720" w:leader="none"/>
        </w:tabs>
        <w:spacing w:after="0" w:line="240" w:lineRule="auto"/>
        <w:ind w:left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- не должна быть включенной в Реестр недобросовестных поставщиков, который ведется в соответствии с законодательством РФ;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shd w:val="clear" w:color="auto" w:fill="ffffff"/>
        <w:tabs>
          <w:tab w:val="left" w:pos="720" w:leader="none"/>
        </w:tabs>
        <w:spacing w:after="0" w:line="240" w:lineRule="auto"/>
        <w:ind w:left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- иметь действующий рейтинг надежности по классификации одного из следующих рейтинговых агентств: АО «Эксперт РА» - не ниже «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ruАА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»; АКРА (АО) - не ниже AA(RU); ООО «НКР» - не ниже AA+.ru; ООО «НРА» - не ниже AA+|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ru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|;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shd w:val="clear" w:color="auto" w:fill="ffffff"/>
        <w:tabs>
          <w:tab w:val="left" w:pos="720" w:leader="none"/>
        </w:tabs>
        <w:spacing w:after="0" w:line="240" w:lineRule="auto"/>
        <w:ind w:left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- иметь опыт работы на страховом рынке - не менее 10-ти лет;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shd w:val="clear" w:color="auto" w:fill="ffffff"/>
        <w:tabs>
          <w:tab w:val="left" w:pos="720" w:leader="none"/>
        </w:tabs>
        <w:spacing w:after="0" w:line="240" w:lineRule="auto"/>
        <w:ind w:left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- иметь размер оплаченного уставного капитала - не менее 7 500 000 000 руб.;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shd w:val="clear" w:color="auto" w:fill="ffffff"/>
        <w:tabs>
          <w:tab w:val="left" w:pos="720" w:leader="none"/>
        </w:tabs>
        <w:spacing w:after="0" w:line="240" w:lineRule="auto"/>
        <w:ind w:left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- иметь размер собственного капитала - не менее 20 000 000 000 руб.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 заключения договора страхования Поставщик обязан в письменном виде представить Покупателю кандидатуру страховой компании и согласовать проект договора страхования.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Покупатель, при соответствии условий договора страхования требованиям настоящего Договора и при удовлетворении кандидатурой страховой компании, в течение 10 дней направляет Поставщику уведомление о своем согласии на заключение договора страхования.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несогласия Покупателя с предложенной кандидатурой, Поставщик обязан в течение 10 дней предложить Покупателю новую кандидатуру страховой компании.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 должен предоставить Покупателю экземпляр договора страхования и документ, подтверждающий оплату страховой премии по договору страхования, за 10 дней до начала транспортировки.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Если Поставщик не сможет заключить и поддерживать в силе договор страхования, или не сможет представить удовлетворительных доказательств (договор страхования или копии платежных документов об оплате страховой премии) в соответствии с по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ложениями настоящей Статьи, то Покупатель вправе (но не обязан) заключить договор страхования для покрытия соответствующих рисков, которые не были застрахованы вследствие такого неисполнения обязательств Поставщиком, и оплачивать страховую премию, что не 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граничивает какого-либо иного права или способа защиты Покупателя. Оплаченная страховая премия подлежит возмещению Поставщиком Покупателю и вычитается Покупателем из любых сумм, которые подлежат или будут подлежать уплате Поставщику по настоящему Договору.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гибели, утраты и/или повреждения Товара до передачи Покупателю и получения соответствующего страхового возмещения, Поставщик гарантирует, что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направит полученные средства на изготовление Товара взамен подвергшегося гибели, утрате и/или повреждению. Стороны считают такую гарантию Поставщика существенным условием настоящего Договора, и Покупатель полностью полагается на такую гарантию Поставщика.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Страхование не освобождает Покупателя и Поставщика от обязанности принять необходимые меры для предотвращения наступления страхового случая.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 должен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обеспечить в договоре страхования отказ страховщика от права суброгации или действий, которые могут быть предприняты для реализации права суброгации, в отношении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Покупателя,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дочерних обществ ПАО «Интер РАО» и иных компаний Группы «Интер РАО» при наступлении страхового случая и выплате страхового возмещения, кроме случаев умышленного причинения вреда.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Условия настояще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го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аздела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Договора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являются существенными условиями настоящего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0"/>
        </w:numPr>
        <w:shd w:val="clear" w:color="auto" w:fill="ffffff"/>
        <w:tabs>
          <w:tab w:val="left" w:pos="1190" w:leader="none"/>
          <w:tab w:val="left" w:pos="3686" w:leader="none"/>
          <w:tab w:val="left" w:pos="3828" w:leader="none"/>
        </w:tabs>
        <w:spacing w:after="0" w:line="240" w:lineRule="auto"/>
        <w:ind w:left="0" w:firstLine="284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Приемка по количеству и качеству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pStyle w:val="765"/>
        <w:numPr>
          <w:numId w:val="4"/>
          <w:ilvl w:val="1"/>
        </w:numPr>
        <w:tabs>
          <w:tab w:val="num" w:pos="284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Внешний осмотр тары и упаковки Товара с целью выявления наружных повреждений и проверки соответствия количества отгруженн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и поступивш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его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на склад Покупателя Товара (либо подготовленн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 к 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тгрузке Товара) выполняется Покупателем без нарушения целостности тары, упаковки и консервации в течение 1 (одного) рабочего дня с даты начала приемки.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 принимается путем сравнения результатов осмотра, взвешивания, определения количества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овара с данными, указанными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Поставщиком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товаросопроводительных документах, содержащих данные о количестве и качестве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овара, а также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проверки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соответствия товаросопроводительных документов условиям настоящего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оговора.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num" w:pos="284" w:leader="none"/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Приемка Товара по количеству, комплектности и качеству производится Покупателем на своем складе в срок, не позднее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3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(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трех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 рабочих дней с даты поставки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(а для Товара, принимаемого с входным контролем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согласно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п.9.10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настоящего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Договора,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-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не позднее 10 (десяти) рабочих дней)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 В случае, если в течение указанного срока Покупателем не будет заявлено о недо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статках Товара, Товар считается принятым по качеству (за исключением скрытых дефектов/ недостатков (заводского брака), если на Товар установлен гарантийный срок), количеству и комплектности без замечаний и соответствующим требованиям и условиям настоящего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оговора.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Представитель Поставщика вправе присутствовать при приемке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овара Покупателем, но Покупатель не обязан уведомлять Поставщика о дате приемки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овара.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num" w:pos="284" w:leader="none"/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обнаружения несоответствия качества, комплектности или количества поступившего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овара данным о количестве и качестве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овара, указанным Поставщиком, Покупатель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обяза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 известить Поставщика, вызвать его представителя для участия в составлении совместного Акта приемки Товара. При этом Покупатель обязан обеспечить сохранность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овара, не соответствующего условиям Договора о качестве и/или количестве, и/или комплектности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до прибытия представителя Поставщика.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num" w:pos="284" w:leader="none"/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 обязан не позднее чем на следующий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рабочий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день после получения вызова Покупателя сообщить любым способом связи (включая телефоногр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амму), будет ли им направлен представитель для участия в проверке количества/качества Товара. Неполучение ответа на вызов в указанный срок дает право Покупателю осуществить приемку Товара до истечения установленного срока для явки представителя Поставщика.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num" w:pos="284" w:leader="none"/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Представитель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одногороднего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Поставщика обязан явиться не позднее чем на следующий день после получения вызова, если в нем не указан иной срок явки. Представитель иногороднего Поставщика обязан явиться не позднее чем в 3 (трех)-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дневный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срок после получения вызова, не считая времени, необходимого для проезда.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num" w:pos="284" w:leader="none"/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Результаты совместной приемки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Товара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 количеству и/или качеству, и/или комплектности оформляются актом, подписываемым лицами, участвующими в приемке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овара.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Если при совместной проверке Товара представители Покупателя и Поставщика разойдутся во мнении о содержании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кта пр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ием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ки, то лю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бая из Сторон может предъявить Товар независимой экспертной организации на повторную проверку. Свидетельство, выдаваемое этой организацией, будет являться основанием для выставления претензий. Затраты по проведению экспертизы относятся на виновную Сторону.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еприбыти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представителя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Поставщика к дате, определяемой в соответствии с п. 9.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6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 настоящего Договора, на приемку Товара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 признается Сторонами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добровольным согласием Поставщика на приемку Товара без его участия.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Покупатель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таком случае вправе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одностороннем порядке прове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сти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приемку Товара, составит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ь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Ак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приемки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и направит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ь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его почтовым сообщением в адрес Поставщика, указанный в разделе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5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настоящего Договора.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1"/>
        </w:numPr>
        <w:shd w:val="clear" w:color="auto" w:fill="ffffff"/>
        <w:tabs>
          <w:tab w:val="num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Покупатель имеет право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осуществить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входной контроль, инспекцию, испытания и, в случае необходимости, отказ от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после 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го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получения, что ни в коем случае не ограничивается и не отменяется тем, что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ранее прош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л входной контроль, испытания и/или был проверен Покупателем или его представителями до момента отгрузки.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Входной контроль осуществляется в соответствии с «Методикой по организации и проведению входного контроля материально-технических ресурсов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АО «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ТомскРТС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», утвержденной Покупателем и размещенной на сайте Покупателя в сети Интернет по адресу: </w:t>
      </w:r>
      <w:hyperlink r:id="rId11" w:tooltip="http://energo.tom.ru/treads/legal_acts/" w:history="1">
        <w:r>
          <w:rPr>
            <w:rStyle w:val="763"/>
            <w:rFonts w:ascii="Liberation Serif" w:hAnsi="Liberation Serif" w:eastAsia="Times New Roman" w:cs="Liberation Serif"/>
            <w:color w:val="auto"/>
            <w:sz w:val="21"/>
            <w:szCs w:val="21"/>
            <w:lang w:eastAsia="ru-RU"/>
          </w:rPr>
          <w:t xml:space="preserve">http://energo.tom.ru/treads/legal_acts/</w:t>
        </w:r>
      </w:hyperlink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 подписанием настоящего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оговора подтверждает, что ознакомлен с указанной выше «Методикой по организации и проведению входного контроля материально-технических ресурсов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в АО «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Томск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РТС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"/>
          <w:ilvl w:val="1"/>
        </w:numPr>
        <w:shd w:val="clear" w:color="auto" w:fill="ffffff"/>
        <w:tabs>
          <w:tab w:val="num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Покупатель вправе осуществить отбор образцов проб для проведения исследования на предмет соответствия поставленного Товара предоставленным сертификатам (паспортам) качества, с привлечением специализированной организации.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"/>
          <w:ilvl w:val="1"/>
        </w:numPr>
        <w:shd w:val="clear" w:color="auto" w:fill="ffffff"/>
        <w:tabs>
          <w:tab w:val="num" w:pos="284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 в дату, следующую за датой доставки Товара на склад Покупателя (до 12:00 по томскому времени), обязан переда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ть Покупателю сканированные копии документов, подтверждающих факт поставки, средствами факсимильной/электронной связи по номеру факса/адресу электронной почты, указанному в статье 15 настоящего Договора. Оригиналы документов, подтверждающих факт поставки 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подписанные Поставщиком акт по форме ОС-14 и товарная накладная по форме ТОРГ-12/ универсальный передаточный документ (УПД) и счета–фактуры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), должны быть направлены Покупателю не позднее 5 (пяти) календарных дней с даты доставки/отгрузки Товара на склад Покупателя. 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если не применимо – указать иной базис поставки).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widowControl w:val="off"/>
        <w:shd w:val="clear" w:color="auto" w:fill="ffffff"/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Документы, указанные в настоящем пункте Договора, должны быть оформлены на имя Покупателя. При непредставлении Поставщик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ом копий документов, подтверждающих факт поставки Товара, в порядке и сроки, указанные выше, Покупатель незамедлительно уведомляет об этом Поставщика. Поставщик обязан в течение 1 (одного) календарного дня со дня получения такого уведомления Покупателя пре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дставить недостающие документы Покупателю, что не освобождает Поставщика от ответственности, предусмотренной в пункте 10.7 настоящего Договора. В течение 2 (двух) календарных дней со дня получения от Поставщика копий документов, подтверждающих факт поставк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 Товара, Покупатель уведомляет Поставщика о ошибках, неточностях в представленных документах. В указанном уведомлении Покупатель указывает способ устранения ошибок, неточностей в представленных документах. Поставщик обязан в течение 2 (двух) календарных 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ней с момента получения данного уведомления от Покупателя устранить ошибки, неточности в документах и представить Покупателю копии исправленных документов, что не освобождает Поставщика от ответственности, предусмотренной пунктом 10.7. настоящего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"/>
          <w:ilvl w:val="1"/>
        </w:numPr>
        <w:shd w:val="clear" w:color="auto" w:fill="ffffff"/>
        <w:tabs>
          <w:tab w:val="num" w:pos="284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течение 5 (пяти) рабочих дней с даты получения подписанных со стороны Поставщика оригиналов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акта по форме ОС-14 и товарной накладной по форме ТОРГ-12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Покупатель направляет Поставщику подписанные со своей стороны экземпляры указанных оригиналов доку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ментов, либо предоставляет мотивированный отказ в приемке Товара с указанием дефектов и недостатков, выявленных в процессе приемки, а также с требованием об устранении Поставщиком указанных дефектов и неточностей в приемлемой для Покупателя форме и сроки.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"/>
          <w:ilvl w:val="1"/>
        </w:numPr>
        <w:shd w:val="clear" w:color="auto" w:fill="ffffff"/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В случае если поставка и приемка Товара осуществляется по фактической массе, то допустимое отклонение количества Товара при приемке составляет в пределах +/- 5 % от количества, указанного в Спецификации 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иях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).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widowControl w:val="off"/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При поставке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с учетом таких отклонений, обязательства Поставщика считаются выполненными надлежащим образом, при этом оплате подлежит фактически поставленное количество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, указанное в товаросопроводительных документах, по ценам, указанным в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Спецификациях(-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ции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) (Приложение №1 к настоящему Договору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, в пределах общей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С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уммы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оговора (п.3.1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настоящего Договора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.)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b/>
          <w:i/>
          <w:sz w:val="21"/>
          <w:szCs w:val="21"/>
          <w:lang w:eastAsia="ru-RU"/>
        </w:rPr>
        <w:t xml:space="preserve">(применяется при поставке труб, металлопроката, химреактивов, </w:t>
      </w:r>
      <w:r>
        <w:rPr>
          <w:rFonts w:ascii="Liberation Serif" w:hAnsi="Liberation Serif" w:eastAsia="Times New Roman" w:cs="Liberation Serif"/>
          <w:b/>
          <w:i/>
          <w:sz w:val="21"/>
          <w:szCs w:val="21"/>
          <w:lang w:eastAsia="ru-RU"/>
        </w:rPr>
        <w:t xml:space="preserve">химреагентов</w:t>
      </w:r>
      <w:r>
        <w:rPr>
          <w:rFonts w:ascii="Liberation Serif" w:hAnsi="Liberation Serif" w:eastAsia="Times New Roman" w:cs="Liberation Serif"/>
          <w:b/>
          <w:i/>
          <w:sz w:val="21"/>
          <w:szCs w:val="21"/>
          <w:lang w:eastAsia="ru-RU"/>
        </w:rPr>
        <w:t xml:space="preserve">, кабельных изделий, сыпучих материало</w:t>
      </w:r>
      <w:r>
        <w:rPr>
          <w:rFonts w:ascii="Liberation Serif" w:hAnsi="Liberation Serif" w:eastAsia="Times New Roman" w:cs="Liberation Serif"/>
          <w:b/>
          <w:i/>
          <w:sz w:val="21"/>
          <w:szCs w:val="21"/>
          <w:lang w:eastAsia="ru-RU"/>
        </w:rPr>
        <w:t xml:space="preserve">в</w:t>
      </w:r>
      <w:r>
        <w:rPr>
          <w:rFonts w:ascii="Liberation Serif" w:hAnsi="Liberation Serif" w:eastAsia="Times New Roman" w:cs="Liberation Serif"/>
          <w:b/>
          <w:i/>
          <w:sz w:val="21"/>
          <w:szCs w:val="21"/>
          <w:lang w:eastAsia="ru-RU"/>
        </w:rPr>
        <w:t xml:space="preserve">).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tabs>
          <w:tab w:val="left" w:pos="119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4"/>
          <w:ilvl w:val="0"/>
        </w:numPr>
        <w:shd w:val="clear" w:color="auto" w:fill="ffffff"/>
        <w:tabs>
          <w:tab w:val="left" w:pos="1190" w:leader="none"/>
          <w:tab w:val="left" w:pos="3969" w:leader="none"/>
        </w:tabs>
        <w:spacing w:after="0" w:line="240" w:lineRule="auto"/>
        <w:ind w:left="0" w:firstLine="284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Ответственность по Договору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0"/>
        </w:numPr>
        <w:shd w:val="clear" w:color="auto" w:fill="ffffff"/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0"/>
        </w:numPr>
        <w:shd w:val="clear" w:color="auto" w:fill="ffffff"/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0"/>
        </w:numPr>
        <w:shd w:val="clear" w:color="auto" w:fill="ffffff"/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vanish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num" w:pos="709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РФ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и настоящим Договором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За нарушение сроков окончательных расчетов за поставленные по настоящему Договору Товары Покупатель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несет ответственность в соответствии с действующим законодательством РФ.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За нарушение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предусмотренного Договором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срока поставки Товара,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ассортимента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 качества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и количества поставляемого Товара Поставщик выплатит по письменному требованию Покупателя неустойку в размере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0,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2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% от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Суммы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Договора за каждый день просрочки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исполнения обязательства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 но не более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8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0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(вос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ь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м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десят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% от Суммы Договора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Если Поставщик поставил Товар не в полном объеме либо не выполнил требования Покупателя о замене недоброкачественного Това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ра в установленный срок, Покупатель вправе приобрести недопоставленный/качественный Товар у других лиц с отнесением на Поставщика разницы стоимости Товара, а также иных расходов, связанных с нарушением Поставщиком своих обязательств по настоящему Договору.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За нарушение обязательств, предусмотренных п. 14.4. настоящего Договора, Поставщик уплачивает Покупателю 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штраф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в размере 30 (тридцать) % от общей Суммы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За не предоставление документов, предусмотренных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4.2.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настоящего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Договора, Покупатель вправе требовать, а Поставщик обязан уплатить штраф в размере 30 000 (тридцать тысяч) рублей за каждый документ, в течение 10 (десяти) календарных дней с даты получения требования Покупателя.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 несвоевременном представлении Поставщи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ком товаросопроводительной документации, а также при нарушении условий упаковки или маркировки Товара Поставщик возмещает Покупателю убытки, вызванные указанной задержкой или несоблюдением условий упаковки или маркировки, установленных настоящим Договором.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За нарушение Поставщиком сроков исполнения обязательств по предоставлению документов в соответствии пунктами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3.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7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.,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9.12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 настоящего Договора Покупатель имеет право потребовать от Поставщика уплаты неустойки в размере 1/360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ключевой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ставки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Банка России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от суммы неисполненного обязательства за каждый день просрочки. Стороны договорились, для целей расчета неустойки, указанной в настоящем пункте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Договора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 суммой неисполненного Поставщиком обязательства считается сумма, которая должна быть указана в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счете-фактуре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/УПД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и/или документах, подтверждающих факт поставки.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случае, если при приемке Товара будет выявлен факт незаконного использования Поставщиком товарного знака (поставки поддельн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(контрафактн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), либо предоставление поддельных документов на Товар, Покупатель вправе требовать, а Поставщик обязан оплатить штраф в размере 100 (сто) % от стоим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ости такого Товара в течение 10 (десяти) календарных дней с даты получения требования Покупателя. При этом убытки взыскиваются Покупателем с Поставщика в полной сумме сверх суммы штрафа, и Покупатель вправе распорядиться таким Товаром по своему усмотрению.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Независимо от уплаты неустойки Сторона, нарушившая Договор, возмещает другой Стороне причиненные в результате этого убытки, включая любые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убытки, понесенные Покупателем в связи с невозможностью поставлять электроэнергию (мощность) на оптовый рынок электроэнергии и мощности. Уплата неустойки и возмещение убытков не освобождает Стороны от полного выполнения Сторонами обязательств по Договору.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left" w:pos="720" w:leader="none"/>
          <w:tab w:val="num" w:pos="851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возникновения претензий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со Стороны третьих лиц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 Поставщику независимо от их характера, Покупатель не несет по ним никакой ответственности.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tabs>
          <w:tab w:val="num" w:pos="0" w:leader="none"/>
          <w:tab w:val="left" w:pos="567" w:leader="none"/>
          <w:tab w:val="num" w:pos="851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Стороны пришли к соглашению, что в случае изъятия Товара (предъявления требования об изъятии/предполагающее изъятие) у Покупателя при признании Договора недействительным или расторжени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Договора по обстоятельствам, возникшим по вине Поставщика, а также вследствие предъявления претензии третьими лицами к Покупателю, в том числе со стороны предыдущих собственников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овара или иных третьих лиц,  Поставщик обязуется в сроки, указанные в требовании Покупателя, приобрести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для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я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равнозначный товар или предоставить Покупателю денежные средства для самостоятельного приобретения товара, исходя 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з стоимости аналогичного товара, действующей на рынке аналогичных товаров на момент расторжения Договора (применения последствий недействительности Договора), а также возместить все понесенные убытки и расходы, связанные с приобретением товара по Договору.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tabs>
          <w:tab w:val="num" w:pos="0" w:leader="none"/>
          <w:tab w:val="left" w:pos="567" w:leader="none"/>
          <w:tab w:val="num" w:pos="851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В случае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непоставки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Товара в связи с любыми действиями любого государственн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 органа любого государства в отношении объявления эмбарго, санкций и т.д. в связи с поставкой Товара на территорию Российской Федерации Покупатель имеет право расторгнуть в одностороннем внесудебном порядке настоящий Договор и потребовать от Поставщика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возврата уплаченного по Договору авансового платежа, а также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компенсации понесенных Покупателем убытков.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tabs>
          <w:tab w:val="num" w:pos="0" w:leader="none"/>
          <w:tab w:val="left" w:pos="567" w:leader="none"/>
          <w:tab w:val="num" w:pos="851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Подписанием настоящего договора Поставщик подтверждает свое со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гласие на оплату неустоек (пеней, штрафов), предусмотренных настоящим договором, а также возмещение убытков Покупателя, возникших из настоящего Договора, путем проведения зачета встречных однородных требований сторон при текущих и/или последующих платежах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 Договору. Кроме того, удержание пени и штрафов, подлежащих уплате Поставщиком, может быть произведено по усмотрению Покупателя, путем вычета суммы пени (штрафов) из стоимости поставленного и принятого Покупателем Товара. Для применения настоящего пункта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Договора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Покупатель обязан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направить Поставщику претензию о нарушении последним условий Договора. Стороны договорились, что в случае отсутствия обоснованных возражений или неполучения ответа на претензию в установленный в ней срок, штрафные санкции считаются признанными Поставщиком.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tabs>
          <w:tab w:val="num" w:pos="0" w:leader="none"/>
          <w:tab w:val="left" w:pos="567" w:leader="none"/>
          <w:tab w:val="num" w:pos="851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применения административными органами штрафных санкций к Покупателю, если они явились результатом нарушения Поставщиком своих обязательств или совершения Поставщиком иных действий (бездействия), влеку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щих применение к Покупателю штрафных санкций, Поставщик обязан возместить Покупателю убытки в размере предъявленных к Покупателю санкций, в течение 10 (десяти) календарных дней с даты получения требования Покупателя с приложением подтверждающих документов.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tabs>
          <w:tab w:val="left" w:pos="567" w:leader="none"/>
          <w:tab w:val="num" w:pos="851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принятия Покупателем Товара на ответственное хранение Поставщик обязан в пятидневный срок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вывезти указанный Товар или распорядиться им иным образом, приняв на себя дальнейшую ответственность за судьбу Товара. В случае нарушения указанного срока Покупатель имеет право требовать, а Поставщик обязан уплатить штраф в размере 10 (десять) % от общей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уммы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tabs>
          <w:tab w:val="left" w:pos="567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Отношения сторон в части ответственного хранения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Товара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 не принятого Покупателем, регулируются в соответствии с законодательством Российской Федерации.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0"/>
        </w:numPr>
        <w:shd w:val="clear" w:color="auto" w:fill="ffffff"/>
        <w:spacing w:after="0" w:line="240" w:lineRule="auto"/>
        <w:ind w:left="0" w:firstLine="284"/>
        <w:jc w:val="center"/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Форс-мажор</w:t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. Разрешение споров.</w:t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num" w:pos="567" w:leader="none"/>
          <w:tab w:val="left" w:pos="851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Стороны освобождаются от ответственности за частичное или п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олное неисполнение обязательств по настоящему Договору, если оно явилось следствием природных явлений, военных действий и прочих обстоятельств непреодолимой силы, включая действия и решения органов государственной власти и органов местного самоуправления,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и,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если эти обстоятельства непосредственно повлияли на исполнение настоящего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num" w:pos="567" w:leader="none"/>
          <w:tab w:val="num" w:pos="851" w:leader="none"/>
          <w:tab w:val="left" w:pos="1134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Стороны договорились, что для целей исполнения обязательств по настоящему Договору Стороны не будут считать обстоятельством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непреодолимой силы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любые действия любого государственного органа любого государства в отношении объявления эмбарго, санкций и т.д. в связи с поставкой Товара на территорию Российской Федерации.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num" w:pos="567" w:leader="none"/>
          <w:tab w:val="num" w:pos="851" w:leader="none"/>
          <w:tab w:val="left" w:pos="1134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Сторона, не исполняющая своих обязательств, вследствие обстоятельств непреодолимой силы, должна в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3-х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дневный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срок сообщить другой Стороне о возникновении такого обстоятельства. Связанные с форс-мажором обстоятельства должны быть документально подтверждены Торговой Палатой соответствующей страны.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num" w:pos="567" w:leader="none"/>
          <w:tab w:val="num" w:pos="709" w:leader="none"/>
          <w:tab w:val="left" w:pos="1134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Срок исполнения обязательств по настоящему Договору отодвигается соразмерно времени, в течение которого действовали обстоятельства непреодолимой силы, а также последствия, вызванные этими обстоятельствами.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num" w:pos="567" w:leader="none"/>
          <w:tab w:val="left" w:pos="709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Если обстоятельства непреодолимой силы или их последствия будут длиться более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2 (двух)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месяцев, то Покупатель и Поставщик обсудят, какие меры следует принять для продолжения выполнения условий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num" w:pos="567" w:leader="none"/>
          <w:tab w:val="left" w:pos="851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Если в течение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 (одного) месяца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соглашения, устраивающего Стороны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не будет достигнуто, каждая из Сторон вправе потребовать расторжения настоящего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Все споры, возникающие при заключении, исполнении, расторжении настоящего Договора, разрешаются сторонами в обязател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ьном претензионном порядке. Данный порядок предусматривает предъявление письменной претензии, которая должна быть вручена под расписку либо направлена заказным или ценным письмом, по телеграфу, телетайпу, электронной почте по адресу, указанному в разделе 1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5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настоящего Договора, а также с использованием иных средств связи, обеспечивающих фиксирование отправления.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num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Претензия подлежит рассмотрению получившей стороной в течение 10 (десяти) календарных дней с момента ее получения. Ответ на претензию дается в письменной форме и направляется в порядке, предусмотренном для предъявления (направления) претензии.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 удовлетворении претензии, подлежащей денежной оценке, к ответу на претензию прилагается поручение банку на перечисление денежных средств с отметкой об исполнении (принятии к исполнению).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12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невозможности достижения согласия в переговорах или отказе в переговорах, споры и разногласия, возникающие из Договора или в связи с ним, в том числе касающиеся его выполнения, нарушения, прекращения или действительности рассматриваются в Арбитражном суде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Томской области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в порядке, установленном действующим законодательством РФ.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left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left="360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bookmarkStart w:id="12" w:name="_Hlk114564687"/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12. Заверения об обстоятельствах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. Антикоррупционная оговорка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12.1. 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соответствии со статьей 431.2 Гражданского кодекса Российской Федерации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 заверяет Покупателя, что на момент заключения Договора: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0"/>
          <w:ilvl w:val="0"/>
        </w:numPr>
        <w:shd w:val="clear" w:color="auto" w:fill="ffffff"/>
        <w:tabs>
          <w:tab w:val="num" w:pos="142" w:leader="none"/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работники и иные физические лица, привлекаемые Поставщиком для исполнения обязательств, возникших из Договора, имеют необходимые для этого знания, опыт и квалификацию, подтверждаемые соответствующими документами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0"/>
          <w:ilvl w:val="0"/>
        </w:numPr>
        <w:shd w:val="clear" w:color="auto" w:fill="ffffff"/>
        <w:tabs>
          <w:tab w:val="num" w:pos="284" w:leader="none"/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Поставщик, а также привлекаемые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им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целях исполнения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оговора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лица (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соисполнители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обладают ресурсами, технологиями, деловыми связями, знаниями, навыками и умениями, а также опытом, необходимыми для исполнения обязательств, возникших из Договора;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0"/>
          <w:ilvl w:val="0"/>
        </w:numPr>
        <w:shd w:val="clear" w:color="auto" w:fill="ffffff"/>
        <w:tabs>
          <w:tab w:val="num" w:pos="142" w:leader="none"/>
          <w:tab w:val="num" w:pos="284" w:leader="none"/>
          <w:tab w:val="left" w:pos="720" w:leader="none"/>
          <w:tab w:val="num" w:pos="1211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Поставщик, 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также привлекаемые им в целях исполнения Договора лица (субподрядчики, соисполнители, субпоставщики и т.п.) являются добросовестными налогоплательщиками; в отношении каждого привлеченного лица (субподрядчика, соисполнителя, субпоставщика и т.п.) Поставщик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располагает необходимыми документами, свидетельствующими о соблюдении привлеченными контрагентами требований налогового законодательства;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0"/>
          <w:ilvl w:val="0"/>
        </w:numPr>
        <w:shd w:val="clear" w:color="auto" w:fill="ffffff"/>
        <w:tabs>
          <w:tab w:val="num" w:pos="284" w:leader="none"/>
          <w:tab w:val="left" w:pos="720" w:leader="none"/>
          <w:tab w:val="num" w:pos="1211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обязательства по Договору будут исполняться непосредственно Поставщи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ком и (или) лицом (лицами), на которого (которых) Поставщик возложил исполнение обязательств по соответствующему договору; Поставщик несет ответственность за действительность отношений с лицами, привлекаемыми им в целях исполнения обязательств по Договору.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left="57" w:firstLine="227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Покупатель полагается на указанные в настоящем пункте заверения об обстоятельствах при заключении и исполнении настоящего Договора, каждое из указанных заверений имеет для Покупателя существенное значение.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12.2.</w:t>
      </w:r>
      <w:r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соответствии со статьей 307 Гражданского кодекса Российской Федерации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обязуется обеспечить соответствие своей деятельности и деятельности привлекаемых им лиц (субподрядчиков, соисполнителей, субпоставщиков и т.п.) условиям, указанным в п. 12.1.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настоящего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Договора, в налоговых периодах, в течение которых осуществляется исполнение обязательств по Договору, совершаются какие-либо операции по Договору. В этом смысле все обстоятельства, в отношении которых Поставщик дает заверения в п. 12.1.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настоящего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Договора на момент его заключения, одновременно являются условиями, исполнение которых Контрагент обязуется обеспечить в будущем и отвечать за их неисполнение по правилам главы 25 Гражданского кодекса Российской Федерации.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12.3.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Возмещение имущественных потерь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соответствии со статьей 406.1 Гражданского кодекса Российской Федерации Поставщик обязуется возместить Покупателю полностью все его имущественные потери, возникшие в связи с искажением Контрагентом сведений о фактах хозяйственной жизни и об объекта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х налогообложения, неисполнением или ненадлежащим исполнением Контрагентом своих налоговых обязанностей, либо в связи с привлечением им в качестве своих контрагентов (например, субподрядчиков, субпоставщиков) организаций, не исполняющих либо ненадлежащим 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бразом исполняющих свои налоговые обязанности или имеющих иные признаки недобросовестности, либо в связи с привлечением контрагентами Контрагента в качестве своих контрагентов организаций, не исполняющих либо ненадлежащим образом исполняющих свои налоговые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обязанности или имеющих иные признаки недобросовестности независимо от длины цепочки контрагентов (и в любом из указанных случаев - независимо от того, знал ли Контрагент о данных фактах или нет), в случае наступления совокупности следующих обстоятельств: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а) в порядке применения статьи 101 Налогового кодекса Российской Федерации налоговым органом в отношении Покупателя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вынесено решение о привлечении к ответственности или об отказе в привлечении к ответственности за совершение налогового правонарушения с указанием сумм недоимки по налогам (налог на прибыль, НДС), соответствующих сумм штрафов, пеней (далее - «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Решение налогового органа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»),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б) суммы недоимки по налогам (налог на прибыль, НДС), соответствующие суммы штрафов (если применимо), пеней списаны с банковского счета </w:t>
      </w:r>
      <w:bookmarkStart w:id="13" w:name="_Hlk147406625"/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Покупателя </w:t>
      </w:r>
      <w:bookmarkEnd w:id="13"/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безакцептном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порядке или перечислены Покупателем добровольно (</w:t>
      </w:r>
      <w:r>
        <w:rPr>
          <w:rFonts w:ascii="Liberation Serif" w:hAnsi="Liberation Serif" w:eastAsia="Times New Roman" w:cs="Liberation Serif"/>
          <w:iCs/>
          <w:sz w:val="21"/>
          <w:szCs w:val="21"/>
          <w:lang w:eastAsia="ru-RU"/>
        </w:rPr>
        <w:t xml:space="preserve">вследствие добровольного отказа Покупателя от применения вычета по операциям с Поставщиком)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соответствии с решением налогового органа.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12.4. </w:t>
      </w:r>
      <w:r>
        <w:rPr>
          <w:rFonts w:ascii="Liberation Serif" w:hAnsi="Liberation Serif" w:eastAsia="Times New Roman" w:cs="Liberation Serif"/>
          <w:iCs/>
          <w:sz w:val="21"/>
          <w:szCs w:val="21"/>
          <w:lang w:eastAsia="ru-RU"/>
        </w:rPr>
        <w:t xml:space="preserve">Размер имущественных потерь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Покупателя </w:t>
      </w:r>
      <w:r>
        <w:rPr>
          <w:rFonts w:ascii="Liberation Serif" w:hAnsi="Liberation Serif" w:eastAsia="Times New Roman" w:cs="Liberation Serif"/>
          <w:iCs/>
          <w:sz w:val="21"/>
          <w:szCs w:val="21"/>
          <w:lang w:eastAsia="ru-RU"/>
        </w:rPr>
        <w:t xml:space="preserve">определяется как совокупность следующих сумм: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- суммы налога на прибыль и/или НДС, доначисленного Покупателю в связи с эпизодами, связанными с Поставщиком, </w:t>
      </w:r>
      <w:r>
        <w:rPr>
          <w:rFonts w:ascii="Liberation Serif" w:hAnsi="Liberation Serif" w:eastAsia="Times New Roman" w:cs="Liberation Serif"/>
          <w:iCs/>
          <w:sz w:val="21"/>
          <w:szCs w:val="21"/>
          <w:lang w:eastAsia="ru-RU"/>
        </w:rPr>
        <w:t xml:space="preserve">или уплаченного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Покупателем </w:t>
      </w:r>
      <w:r>
        <w:rPr>
          <w:rFonts w:ascii="Liberation Serif" w:hAnsi="Liberation Serif" w:eastAsia="Times New Roman" w:cs="Liberation Serif"/>
          <w:iCs/>
          <w:sz w:val="21"/>
          <w:szCs w:val="21"/>
          <w:lang w:eastAsia="ru-RU"/>
        </w:rPr>
        <w:t xml:space="preserve">в бюджет вследствие добровольного отказа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Покупателя </w:t>
      </w:r>
      <w:r>
        <w:rPr>
          <w:rFonts w:ascii="Liberation Serif" w:hAnsi="Liberation Serif" w:eastAsia="Times New Roman" w:cs="Liberation Serif"/>
          <w:iCs/>
          <w:sz w:val="21"/>
          <w:szCs w:val="21"/>
          <w:lang w:eastAsia="ru-RU"/>
        </w:rPr>
        <w:t xml:space="preserve">от применения вычета по операциям с Поставщиком</w:t>
      </w:r>
      <w:r>
        <w:rPr>
          <w:rFonts w:ascii="Liberation Serif" w:hAnsi="Liberation Serif" w:eastAsia="Times New Roman" w:cs="Liberation Serif"/>
          <w:i/>
          <w:iCs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(«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Доначисленные налоги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») в соответствии с Решением налогового органа; плюс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- суммы начисленных Покупателю пеней на сумму Доначисленных налогов в соответствии с Решением налогового органа («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Пени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»); плюс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- штрафов, начисленных Покупателю за соответствующие налоговые нарушения в связи с неуплатой ею Доначисленных налогов в соответствии с Решением налогового органа («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Штрафы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»).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 возмещает Покупателю указанные в настоящем пункте имущественные потери в течение 10 (десяти) дней с даты предъявления Покупателем соответствующего требования.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Покупатель вправе удержать сумму возмещения потерь из иных расчетов по любым сделкам с Поставщиком (в том числе произвести зачет встречных однородных требований).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i/>
          <w:i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5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Стороны согласовали следующую процедуру взаимодействия сторон по минимизации имущественных потерь</w:t>
      </w:r>
      <w:r>
        <w:rPr>
          <w:rFonts w:ascii="Liberation Serif" w:hAnsi="Liberation Serif" w:eastAsia="Times New Roman" w:cs="Liberation Serif"/>
          <w:iCs/>
          <w:sz w:val="21"/>
          <w:szCs w:val="21"/>
          <w:lang w:eastAsia="ru-RU"/>
        </w:rPr>
        <w:t xml:space="preserve">:</w:t>
      </w:r>
      <w:r>
        <w:rPr>
          <w:rFonts w:ascii="Liberation Serif" w:hAnsi="Liberation Serif" w:eastAsia="Times New Roman" w:cs="Liberation Serif"/>
          <w:i/>
          <w:iCs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5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.1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 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 получении в порядке статьи 100 Налогового кодекса Российской Федерации акта налоговой проверки (далее – «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Акт налоговой проверки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»), в котором проверяющими отражены выявленные нарушения законодательства о налогах и сборах, вызванные действиями или бездействием Поставщика при исчислении и уплате налогов, а также привлеченных Поставщиком в целях исполнения обязательств по Договору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субконтрагентов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(например, субподрядчиков, соисполнителей, субпоставщиков), Покупатель в течение 10 (десяти) календарных дней с момента получения акта налоговой проверки направляет в адрес Поставщика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выписку из акта налогового органа по соответствующему эпизоду (далее – «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Выписка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»).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5.2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случае несогласия с фактами, изложенными в Выписке, а также с выводами и предложениями проверяющих, Поставщик в течение 10 (десяти) календарных дней с момента получения Выписки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из акта налогового органа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направляет в адрес Покупателя письменные мотивированные возражения по фактам (выводам проверяющих), содержащимся в ней, которые Покупатель обязан представить в налоговый орган в порядке пункта 6 статьи 100 Налогового кодекса Российской Федерации.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12.6.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непредставления Поставщиком в указанный выше срок письменных мотивированных возражений по фактам (выводам проверяющих), содержащимся в Выписке, считается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 что у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Поставщика отсутствуют возражения против выводов проверяющих, изложенных в Выписке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7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Заказчик вправе потребовать с Поставщика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возмещения имущественных потерь, связанных с наступлением обстоятельств, указанных в п. 12.3.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настоящего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Договора, в течение срока действия Договора и в течение трех лет после окончания срока действия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12.8. Антикоррупционная оговорка: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12.8.1. Поставщику известно о том, что Покупатель ведет антикоррупционную политику и развивает не допускающую коррупционных проявлений культуру.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 исполнении своих обязательств по настоящему Договору, Стороны, их аффилированные лица, работники или посредники не выплачивают, не п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 исполнении своих обязательств по настоящему Договору, Стороны, их аффилированные лица, работники или посредники не осуществляют действия, квалифицируемые применимым для целей настоящего 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оговора законодательством, как дача/ получение взятки, коммерческий подкуп, а также действия, нарушающие требования применимого законодательства и международных актов о противодействии коррупции легализации (отмыванию) доходов, полученных преступным путем.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возникновения у одной Стороны подозрений, что с другой Стороны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и (или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 его представителя, и (или) работника, и (или) его аффилированного лица п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роизошло или может произойти нарушение каких-либо положений настоящего пункта, соответствующая Сторона обязуется незамедлительно уведомить о данном обстоятельстве другую Сторону в письменной форме и продублировать уведомление на горячую линию этой Стороны 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(</w:t>
      </w:r>
      <w:r>
        <w:rPr>
          <w:rFonts w:ascii="Liberation Serif" w:hAnsi="Liberation Serif" w:eastAsia="Times New Roman" w:cs="Liberation Serif"/>
          <w:b/>
          <w:i/>
          <w:sz w:val="21"/>
          <w:szCs w:val="21"/>
          <w:lang w:eastAsia="ru-RU"/>
        </w:rPr>
        <w:t xml:space="preserve">указать адреса горячих линий Сторон в случае наличия горячей линии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).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Сторона, направившая письменное уведомление, имеет право приостановить исполнение обязательств по настоящему Договору до получения подтверждения от другой 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тороны, что нарушения не произошло или не произойдет. Это подтверждение должно быть направлено Стороной, получившей указанное уведомление, в адрес направившей его Стороны, в течение семи рабочих дней с даты получения вышеуказанного письменного уведомления.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письменном уведомлении Сторона обязана сослаться на факты или предоставить материалы,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достоверно подтверждающие или дающие основание предполагать, что произошло или может произойти нарушение каких-либо положений настоящего пункта другой Стороной, его аффилированными лицами, работниками или посредниками выражающееся в действиях, квалифицируе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мых применимым законодательством, как дача или получение взятки, коммерческий подкуп, а также действиях, нарушающих требования применимого законодательства и международных актов о противодействии коррупции, легализации доходов, полученных преступным путем.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12.8.2. В случае нарушения одной Стороной обязательств воздерживаться от запрещенных в п. 12.8.1.  настоящего Договора действий и/или неполучения другой Сторо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ной в установленный п. 12.8.1. настоящего Договора срок подтверждения, что нарушения не произошло или не произойдет, другая Сторона имеет право расторгнуть Договор в одностороннем порядке, направив письменное уведомление о его расторжении. Сторона, по чьей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инициативе был расторгнут настоящий Договор в соответствии с положениями настоящего пункта, вправе требовать возмещения реального ущерба, возникшего в результате такого расторжения, при условии представления подтверждающих такой реальный ущерб документов.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12.9.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Договор, дополнительные соглашения к нему, а также документы по исполнению сделки могут быть подписаны с использованием усиленной квалифицированной электронной подписи и получены сторонами в системе электронного документооборота «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Контур.Диадок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 </w:t>
      </w:r>
      <w:r>
        <w:rPr>
          <w:rFonts w:ascii="Liberation Serif" w:hAnsi="Liberation Serif" w:eastAsia="Times New Roman" w:cs="Liberation Serif"/>
          <w:i/>
          <w:sz w:val="21"/>
          <w:szCs w:val="21"/>
          <w:u w:val="single"/>
          <w:lang w:eastAsia="ru-RU"/>
        </w:rPr>
        <w:t xml:space="preserve">(допускается дополнительно указать иного оператора по согласованию с контрагентом)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 Электронный документооборот Стороны осуществляют в соответствии с требованиями Федерального закона от 06.04.2011 № 63-ФЗ «Об электронной подписи», иных нормативных правовых актов, условиями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оглашени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я об электронном документообороте (Приложение №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4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к Договору)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и договоров, заключенных между Сторонами, а также с учетом положений регламентирующих документов оператора Электронного документооборота (ЭДО).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12.10. Стороны в ходе исполнения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оговора при направлении исходящего электронного документа в интерфейсе Оператора ЭДО указывают в поле «комментарий»: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5"/>
          <w:ilvl w:val="0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электронный адрес получателя документа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для (</w:t>
      </w:r>
      <w:r>
        <w:rPr>
          <w:rFonts w:ascii="Liberation Serif" w:hAnsi="Liberation Serif" w:eastAsia="Times New Roman" w:cs="Liberation Serif"/>
          <w:i/>
          <w:sz w:val="21"/>
          <w:szCs w:val="21"/>
          <w:u w:val="single"/>
          <w:lang w:eastAsia="ru-RU"/>
        </w:rPr>
        <w:t xml:space="preserve">указать наименование </w:t>
      </w:r>
      <w:r>
        <w:rPr>
          <w:rFonts w:ascii="Liberation Serif" w:hAnsi="Liberation Serif" w:eastAsia="Times New Roman" w:cs="Liberation Serif"/>
          <w:i/>
          <w:sz w:val="21"/>
          <w:szCs w:val="21"/>
          <w:u w:val="single"/>
          <w:lang w:eastAsia="ru-RU"/>
        </w:rPr>
        <w:t xml:space="preserve">Стороны</w:t>
      </w:r>
      <w:r>
        <w:rPr>
          <w:rFonts w:ascii="Liberation Serif" w:hAnsi="Liberation Serif" w:eastAsia="Times New Roman" w:cs="Liberation Serif"/>
          <w:i/>
          <w:sz w:val="21"/>
          <w:szCs w:val="21"/>
          <w:u w:val="single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5"/>
          <w:ilvl w:val="0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регистрационный номер и дату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12.11. Стороны под номером Договора понимают регистрационный номер договора, указанный со стороны Покупателя. Регистрационный номер Договора также указывается во всех документах, предусмотренных в рамках исполнения Договора. </w:t>
      </w:r>
      <w:r>
        <w:rPr>
          <w:rFonts w:ascii="Liberation Serif" w:hAnsi="Liberation Serif" w:eastAsia="Times New Roman" w:cs="Liberation Serif"/>
          <w:i/>
          <w:sz w:val="21"/>
          <w:szCs w:val="21"/>
          <w:u w:val="single"/>
          <w:lang w:eastAsia="ru-RU"/>
        </w:rPr>
        <w:t xml:space="preserve">(Если контрагент имеет свои правила формирования номера договора, допускается применение формулировки: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«номер договора сформированный как номер договора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Поставщика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/регистрационный номер договора Покупателя»)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12.12. </w:t>
      </w:r>
      <w:r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  <w:t xml:space="preserve">Реализация Договора будет осуществляться в соответствии с принципами открытой конкуренции и в полном соответствии с законодательством Российской Федерации, в том числе антимонопольного законодате</w:t>
      </w:r>
      <w:r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  <w:t xml:space="preserve">льства и законодательства о закупках. Стороны при заключении настоящего Договора обязуются соблюдать запреты, установленные антимонопольным законодательством, в том числе обязуются не совершать действий (бездействий), указанных в статьях 10, 11, 11.1, 14.7</w:t>
      </w:r>
      <w:r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  <w:t xml:space="preserve">. </w:t>
      </w:r>
      <w:r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  <w:t xml:space="preserve">Федерального закона «О защите конкуренции».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bookmarkEnd w:id="12"/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21"/>
          <w:ilvl w:val="0"/>
        </w:numPr>
        <w:shd w:val="clear" w:color="auto" w:fill="ffffff"/>
        <w:spacing w:after="0" w:line="240" w:lineRule="auto"/>
        <w:jc w:val="center"/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Основания расторжения Договора</w:t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21"/>
          <w:ilvl w:val="1"/>
        </w:numPr>
        <w:shd w:val="clear" w:color="auto" w:fill="ffffff"/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Покупатель вправе в одностороннем порядке отказаться от исполнения настоящего Договора в следующих случаях: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21"/>
          <w:ilvl w:val="2"/>
        </w:numPr>
        <w:shd w:val="clear" w:color="auto" w:fill="ffffff"/>
        <w:tabs>
          <w:tab w:val="num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Задержки Поставщиком выполнения обязательств по настоящему Договору более чем на 15 (пятнадцать) рабочих дней по причинам, не зависящим от Покупателя;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2"/>
        </w:numPr>
        <w:shd w:val="clear" w:color="auto" w:fill="ffffff"/>
        <w:tabs>
          <w:tab w:val="num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Нарушения Поставщиком условий настоящего Договора, ведущее к существенному снижению качества Товара, в том числе при поставке некачественного Товара;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2"/>
        </w:numPr>
        <w:shd w:val="clear" w:color="auto" w:fill="ffffff"/>
        <w:tabs>
          <w:tab w:val="num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 непредставлении Поставщиком или представлении с нарушением установленных настоящим Договором требований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банковской/независимой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гарантии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обеспечения исполнения Договора (указывается при необходимости);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2"/>
        </w:numPr>
        <w:shd w:val="clear" w:color="auto" w:fill="ffffff"/>
        <w:tabs>
          <w:tab w:val="num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не поставки Товара в связи с любыми действиями любого государственного органа любого государства в отношении объявления эмбарго, санкций и т.д. в связи с поставкой Товара на территорию Российской Федерации;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2"/>
        </w:numPr>
        <w:shd w:val="clear" w:color="auto" w:fill="ffffff"/>
        <w:tabs>
          <w:tab w:val="num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иных случаях ненадлежащего исполнения обязательств Поставщиком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(указывать при необходимости)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2"/>
        </w:numPr>
        <w:shd w:val="clear" w:color="auto" w:fill="ffffff"/>
        <w:tabs>
          <w:tab w:val="num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 установлении нецелесообразности дальнейшего исполнения Договора, определяемой Покупателем – с возмещением Поставщику фактически понесенных затрат.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2"/>
        </w:numPr>
        <w:shd w:val="clear" w:color="auto" w:fill="ffffff"/>
        <w:tabs>
          <w:tab w:val="left" w:pos="284" w:leader="none"/>
          <w:tab w:val="left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  <w:t xml:space="preserve">В случае полного или частичного отказа Поставщика от исполнения настоящего договора, в том числе и при неисполнении и/или ненадлежащем исполнении последним п. 3.3. настоящего договора, в части </w:t>
      </w:r>
      <w:r>
        <w:rPr>
          <w:rFonts w:ascii="Liberation Serif" w:hAnsi="Liberation Serif" w:cs="Liberation Serif"/>
          <w:sz w:val="21"/>
          <w:szCs w:val="21"/>
        </w:rPr>
        <w:t xml:space="preserve">увеличения суммы в течение всего срока действия настоящего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1"/>
        </w:numPr>
        <w:shd w:val="clear" w:color="auto" w:fill="ffffff"/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Уведомление о расторжен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ии настоящего Договора должно быть направлено Поставщику посредством факсимильной / электронной связи, либо по телеграфу не позднее, чем за 15 (пятнадцать) календарных дней до предполагаемой даты его расторжения с последующей досылкой на бумажном носителе.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1"/>
        </w:numPr>
        <w:shd w:val="clear" w:color="auto" w:fill="ffffff"/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Договор считается расторгнутым по основаниям, предусмотренным пунктом 13.1. настоящего Договора, с даты, указанной в уведомлении о расторжении настоящего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1"/>
        </w:numPr>
        <w:shd w:val="clear" w:color="auto" w:fill="ffffff"/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расторжения настоящего Договора Покупатель вправе потребовать от Поставщика возврата ранее уплаченных сумм, возмещения причиненных убытков в течение 10 (десяти) рабочих дней с даты расторжения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spacing w:after="0" w:line="240" w:lineRule="auto"/>
        <w:ind w:left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0"/>
        </w:numPr>
        <w:shd w:val="clear" w:color="auto" w:fill="ffffff"/>
        <w:tabs>
          <w:tab w:val="left" w:pos="1190" w:leader="none"/>
        </w:tabs>
        <w:spacing w:after="0" w:line="240" w:lineRule="auto"/>
        <w:ind w:left="0" w:firstLine="284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Заключительные положения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Вся информация, полученная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в ходе реализации настоящего Договора, включая информацию о финансовом положении Сторон, считается конфиденциальной и не подлежит разглашению или передаче третьим лицам, как в период действия настоящего Договора, так и по окончании его действия в течение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3 (трех)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лет.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 изменении реквизитов Стороны обязуются извещать друг друга о таких изменениях в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5-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дневны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й срок, при этом заключение дополнительного соглашения между сторонами не требуется.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В противном случае сообщения и расчеты, переданные и произведенные по последнему известному адресу и реквизитам, считаются переданными и произведенными надлежащим образом.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Документы, переданные средствами факсимильной/электронной связи, имеют юридическую силу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при условии направления в адрес получателя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оригинал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ов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указанных документов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почтовым отправлением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течение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3 (трех) календарных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дней с даты передачи средствами факсимильной/электронной связи.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Права и/или обязанности по настоящему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оговору могут быть переданы одной из сторон третьим лицам только при наличии предварительного письменного согласия другой стороны, кроме того, при соблюдении следующих условий: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  <w:tab w:val="left" w:pos="993" w:leader="none"/>
        </w:tabs>
        <w:spacing w:after="0" w:line="240" w:lineRule="auto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     - уступка Поставщиком права требования, уступка денежного т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ребования по договору факторинга, передача в залог права требования из настоящего договора осуществляется только с письменного согласия Покупателя, оформляемого путем подписания трехстороннего уведомления между Поставщиком, Покупателем и третьей стороной.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Условие о необходимости получения письменного согласия Покупателя на уступку права требования, уступку денежного требования по договору факторинга, передачу в залог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права требования является существенным условием настоящего Договора. В случае невыполнения Поставщиком обязательства по получению письменного согласия на уступку права требования, уступку денежного требования по договору факторинга, передачу в залог права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требования, Покупатель имеет право в одностороннем внесудебном порядке отказаться от исполнения Договора без возмещения убытков Поставщику, причиненных прекращением Договора, и предъявить требования об уплате штрафной неустойки, предусмотренной настоящим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оговором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любых изменений сведений о собственниках (номинальных владельц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ах) долей/акций/паев/ Поставщика, включая бенефициаров (в том числе конечного выгодоприобретателя/бенефициара), в течение 5 (пяти) календарных дней с даты, наступления таких изменений предоставить Покупателю актуализированные сведения по форме Приложения №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2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к настоящему Договору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Положен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ия настоящего пункта стороны признают существенным условием Договора. В случае невыполнения или ненадлежащего выполнения Поставщиком обязательств, предусмотренных настоящим пунктом, Покупатель вправе в одностороннем внесудебном порядке расторгнуть Договор.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 раскрытии информации, указанной в настоящем пункте, стороны обязуются производить обработку персональных данных в соответствии с Федеральным законом от 27.07.2006 г. № 152-ФЗ «О персональных данных».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Настоящий Договор выражает все договорные условия и понимание между Сторона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ми в отношении всех упомянутых здесь вопросов, при этом все предыдущие обсуждения, обещания, согласования и представления между Сторонами, если таковые имелись, кроме упомянутых в тексте настоящего Договора, теряют силу и заменяются вышеизложенным текстом.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Настоящий Договор вступает в силу с даты подписания его Сторонами и действует до _______, а в части расчетов и гарантийных обязательств – до полного исполнения обязательств Сторонами.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Настоящий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 может быть пролонгирован по соглашению Сторон путем подписания дополнительного соглашения.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Настоящий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оговор распространяет действие на отношения Сторон, возникшие между ними с «___» ______ 20___г.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Все изменения и дополнения к настоящему Договору должны быть совершены в письменной форме в виде единого документа и вступают в силу после подписания обеими Сторонами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кроме случая,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указанного в п.14.2 настоящего Договора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1"/>
        </w:numPr>
        <w:shd w:val="clear" w:color="auto" w:fill="ffffff"/>
        <w:tabs>
          <w:tab w:val="left" w:pos="720" w:leader="none"/>
          <w:tab w:val="left" w:pos="851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части, не урегулированной настоящим Договором, отношения Сторон регламентируются действующим законодательством Российской Федерации.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  <w:tab w:val="left" w:pos="851" w:leader="none"/>
        </w:tabs>
        <w:spacing w:after="0" w:line="240" w:lineRule="auto"/>
        <w:ind w:left="284"/>
        <w:jc w:val="both"/>
        <w:rPr>
          <w:rFonts w:ascii="Liberation Serif" w:hAnsi="Liberation Serif" w:eastAsia="Times New Roman" w:cs="Liberation Serif"/>
          <w:i/>
          <w:color w:val="ff0000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color w:val="ff0000"/>
          <w:sz w:val="21"/>
          <w:szCs w:val="21"/>
          <w:lang w:eastAsia="ru-RU"/>
        </w:rPr>
        <w:t xml:space="preserve">В случае заключения договора в письменной форме пункт 4.10. излагается:</w:t>
      </w:r>
      <w:r>
        <w:rPr>
          <w:rFonts w:ascii="Liberation Serif" w:hAnsi="Liberation Serif" w:eastAsia="Times New Roman" w:cs="Liberation Serif"/>
          <w:i/>
          <w:color w:val="ff0000"/>
          <w:sz w:val="21"/>
          <w:szCs w:val="21"/>
          <w:lang w:eastAsia="ru-RU"/>
        </w:rPr>
      </w:r>
    </w:p>
    <w:p>
      <w:pPr>
        <w:widowControl w:val="off"/>
        <w:numPr>
          <w:numId w:val="21"/>
          <w:ilvl w:val="1"/>
        </w:numPr>
        <w:shd w:val="clear" w:color="auto" w:fill="ffffff"/>
        <w:tabs>
          <w:tab w:val="left" w:pos="720" w:leader="none"/>
          <w:tab w:val="left" w:pos="851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Настоящий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 составлен в письменной форме на русском языке в 2 (двух) экземплярах, каждый из которых, после урегулирования всех разногласий по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оговору и подписания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оговора обеими сторонами, имеет одинаковую юридическую силу.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  <w:tab w:val="left" w:pos="851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Договор, переданный средствами факсимильной связи/электронной связи, имеет юридическую силу, в случае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если оригинал Договора на бумажном носителе, полученный Поставщиком почтовым отправлением/курьерской доставкой от Покупателя, будет возвращен Поставщиком почтовым отправлением/курьерской доставкой в течение 3 (трех) рабочих дней с даты получения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  <w:tab w:val="left" w:pos="851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Положения настоящего пункта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Договора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стороны признают существенным условием Договора.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  <w:tab w:val="left" w:pos="851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случае невыполнения или ненадлежащего выполнения Поставщиком обязательств, предусмотренных настоящим пунктом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Договора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, Покупатель вправе отказаться от договора в соответствии со ст. 450.1. ГК РФ.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  <w:tab w:val="left" w:pos="851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i/>
          <w:color w:val="ff0000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color w:val="ff0000"/>
          <w:sz w:val="21"/>
          <w:szCs w:val="21"/>
          <w:lang w:eastAsia="ru-RU"/>
        </w:rPr>
        <w:t xml:space="preserve">В случае заключения договора в электронной форме пункт 4.10. излагается:</w:t>
      </w:r>
      <w:r>
        <w:rPr>
          <w:rFonts w:ascii="Liberation Serif" w:hAnsi="Liberation Serif" w:eastAsia="Times New Roman" w:cs="Liberation Serif"/>
          <w:i/>
          <w:color w:val="ff0000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  <w:tab w:val="left" w:pos="851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14.10.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Настоящий Договор подписан уполномоченными представителями сторон с использованием усиленной квалифицированной электронной подписи в системе электронного документооборота «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Контур.Диадок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». Оригинал настоящего Договора в виде одного или нескольких электронных документов хранится на сервере системы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Контур.Диадок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https://www.diadoc.ru/ с возможностью доступа к электронному документу обеих Сторон.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shd w:val="clear" w:color="auto" w:fill="ffffff"/>
        <w:tabs>
          <w:tab w:val="left" w:pos="720" w:leader="none"/>
          <w:tab w:val="left" w:pos="851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i/>
          <w:color w:val="ff0000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color w:val="ff0000"/>
          <w:sz w:val="21"/>
          <w:szCs w:val="21"/>
          <w:lang w:eastAsia="ru-RU"/>
        </w:rPr>
        <w:t xml:space="preserve">В случае заключения договора по результатам закупочных процедур с контрагентом, являющимся субъектом малого и среднего предпринимательства, пункт 14.1</w:t>
      </w:r>
      <w:r>
        <w:rPr>
          <w:rFonts w:ascii="Liberation Serif" w:hAnsi="Liberation Serif" w:eastAsia="Times New Roman" w:cs="Liberation Serif"/>
          <w:i/>
          <w:color w:val="ff0000"/>
          <w:sz w:val="21"/>
          <w:szCs w:val="21"/>
          <w:lang w:eastAsia="ru-RU"/>
        </w:rPr>
        <w:t xml:space="preserve">0</w:t>
      </w:r>
      <w:r>
        <w:rPr>
          <w:rFonts w:ascii="Liberation Serif" w:hAnsi="Liberation Serif" w:eastAsia="Times New Roman" w:cs="Liberation Serif"/>
          <w:i/>
          <w:color w:val="ff0000"/>
          <w:sz w:val="21"/>
          <w:szCs w:val="21"/>
          <w:lang w:eastAsia="ru-RU"/>
        </w:rPr>
        <w:t xml:space="preserve"> излагается:</w:t>
      </w:r>
      <w:r>
        <w:rPr>
          <w:rFonts w:ascii="Liberation Serif" w:hAnsi="Liberation Serif" w:eastAsia="Times New Roman" w:cs="Liberation Serif"/>
          <w:i/>
          <w:color w:val="ff0000"/>
          <w:sz w:val="21"/>
          <w:szCs w:val="21"/>
          <w:lang w:eastAsia="ru-RU"/>
        </w:rPr>
      </w:r>
    </w:p>
    <w:p>
      <w:pPr>
        <w:pStyle w:val="765"/>
        <w:widowControl w:val="off"/>
        <w:shd w:val="clear" w:color="auto" w:fill="ffffff"/>
        <w:tabs>
          <w:tab w:val="left" w:pos="851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14.10.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Настоящий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оговор подписан уполномоченными представителями сторон с использованием усиленной квалифицированной электронной подписи (далее – ЭП) на электронной торговой площадке___________, адрес в сети интернет _____________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_ 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далее – ЭТП) на следующих условиях: 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widowControl w:val="off"/>
        <w:shd w:val="clear" w:color="auto" w:fill="ffffff"/>
        <w:tabs>
          <w:tab w:val="left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14.10.1.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Н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астоящий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оговор, подписанный с использованием вышеуказанной ЭП, признается электронным документом, равнозначным документу на бумажном носителе, подписанному собственноручной подписью уполномоченного представителя стороны по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оговору;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widowControl w:val="off"/>
        <w:shd w:val="clear" w:color="auto" w:fill="ffffff"/>
        <w:tabs>
          <w:tab w:val="left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14.10.2.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В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случае оспаривания любой из сторон действительности ЭП, такая ЭП признается действительной до тех пор, пока решением суда, вступившим в законную силу, не будет установлено иное;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widowControl w:val="off"/>
        <w:shd w:val="clear" w:color="auto" w:fill="ffffff"/>
        <w:tabs>
          <w:tab w:val="left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14.10.3.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В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случае подписания настоящего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оговора с использованием ЭП экземпляр настоящего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оговора в виде одного электронного документа или в виде нескольких электронных документов хранится на электронной торговой площадке, указанной в п.1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4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1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0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настоящего Договора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, с возможностью доступа к электронному документу каждой из сторон;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3"/>
          <w:ilvl w:val="2"/>
        </w:numPr>
        <w:shd w:val="clear" w:color="auto" w:fill="ffffff"/>
        <w:tabs>
          <w:tab w:val="left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С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тороны прямо договорились, что заключение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оговора в виде электронного документа с использованием ЭП не является препятствием для подписания дополнительных соглашений к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оговору на бумажном носителе собственноручными подписями уполномоченных представителей сторон;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3"/>
          <w:ilvl w:val="2"/>
        </w:numPr>
        <w:shd w:val="clear" w:color="auto" w:fill="ffffff"/>
        <w:tabs>
          <w:tab w:val="left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С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тороны самостоятельно обеспечивают и несут ответственность за надлежащее использование уполномоченными лицами ЭП в соответствии с Федеральным законом от 06.04.2011 №63-ФЗ «Об электронной подписи»;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3"/>
          <w:ilvl w:val="2"/>
        </w:numPr>
        <w:shd w:val="clear" w:color="auto" w:fill="ffffff"/>
        <w:tabs>
          <w:tab w:val="left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ри использовании ЭП стороны обязаны принимать необходимые организационные и технические меры обеспечения безопасности для недопущения нарушений конфиденциальности ключа ЭП (компрометации ключа ЭП),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в том числе (включая, но не ограничиваясь): использовать специализированные программные и программно-аппаратные средства защиты информации, средства антивирусной защиты, лицензионное программное обеспечение, не допускать к компьютерам посторонних лиц, обес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печивать надежность хранения ключей ЭП, имен и паролей, используемых при работе с ними, соблюдать иные требования, установленные законодательством РФ, а также документами, регламентирующими вопросы обеспечения информационной безопасности при работе на ЭТП;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3"/>
          <w:ilvl w:val="2"/>
        </w:numPr>
        <w:shd w:val="clear" w:color="auto" w:fill="ffffff"/>
        <w:tabs>
          <w:tab w:val="left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К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аждая из сторон обязана письменно уведомить другую сторону о нарушении конфиденциальности ключа ЭП (компрометации ключа ЭП), в течение не более чем одного рабочего дня со дня получения информации о таком нарушении;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3"/>
          <w:ilvl w:val="2"/>
        </w:numPr>
        <w:shd w:val="clear" w:color="auto" w:fill="ffffff"/>
        <w:tabs>
          <w:tab w:val="left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И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спользование ЭП, владельцем которой является уполномоченное лицо стороны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оговора, с нарушением конфиденциальности соответствующего ключа (компрометации ключа ЭП) не освобождает сторону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оговора от ответственности за неблагоприятные последствия, наступившие в результате такого использования;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3"/>
          <w:ilvl w:val="2"/>
        </w:numPr>
        <w:shd w:val="clear" w:color="auto" w:fill="ffffff"/>
        <w:tabs>
          <w:tab w:val="left" w:pos="851" w:leader="none"/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С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торона несет ответственность за ущерб, возникший у другой стороны вследствие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использования ЭП, владельцем которой являются уполномоченные лица первой стороны, неуполномоченными лицами, вследствие несоблюдения первой стороной мер обеспечения безопасности для недопущения нарушений конфиденциальности ключа ЭП (компрометации ключа ЭП).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numPr>
          <w:numId w:val="43"/>
          <w:ilvl w:val="1"/>
        </w:numPr>
        <w:shd w:val="clear" w:color="auto" w:fill="ffffff"/>
        <w:tabs>
          <w:tab w:val="left" w:pos="720" w:leader="none"/>
        </w:tabs>
        <w:spacing w:after="0" w:line="240" w:lineRule="auto"/>
        <w:ind w:left="993" w:hanging="709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Приложениями и неотъемлемой частью настоящего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оговора являются: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5"/>
          <w:ilvl w:val="2"/>
        </w:numPr>
        <w:tabs>
          <w:tab w:val="left" w:pos="993" w:leader="none"/>
        </w:tabs>
        <w:spacing w:after="0" w:line="240" w:lineRule="auto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bookmarkStart w:id="14" w:name="sub_1"/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Приложение № 1. Спецификация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на поставку ____________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i/>
          <w:color w:val="000000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5"/>
          <w:ilvl w:val="2"/>
        </w:numPr>
        <w:tabs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Приложение №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2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. Форма по раскрытию информации в отношении всей цепочки собственников, включая бенефициаров (в том числе, конечных);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5"/>
          <w:ilvl w:val="2"/>
        </w:numPr>
        <w:tabs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Приложение №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3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.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Форма Заявки на пост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вку То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в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ара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;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pStyle w:val="765"/>
        <w:widowControl w:val="off"/>
        <w:numPr>
          <w:numId w:val="45"/>
          <w:ilvl w:val="2"/>
        </w:numPr>
        <w:tabs>
          <w:tab w:val="left" w:pos="993" w:leader="none"/>
        </w:tabs>
        <w:spacing w:after="0" w:line="240" w:lineRule="auto"/>
        <w:ind w:left="0"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Приложение №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4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. Соглашение об электронном документообороте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. </w:t>
      </w:r>
      <w:bookmarkEnd w:id="14"/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widowControl w:val="off"/>
        <w:tabs>
          <w:tab w:val="left" w:pos="993" w:leader="none"/>
        </w:tabs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tabs>
          <w:tab w:val="num" w:pos="426" w:leader="none"/>
        </w:tabs>
        <w:spacing w:after="0" w:line="240" w:lineRule="auto"/>
        <w:ind w:firstLine="284"/>
        <w:jc w:val="center"/>
        <w:outlineLvl w:val="0"/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1</w:t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5</w:t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.</w:t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ab/>
      </w:r>
      <w:bookmarkStart w:id="15" w:name="_Toc109046801"/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Адреса и реквизиты Сторон</w:t>
      </w:r>
      <w:bookmarkEnd w:id="15"/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r>
    </w:p>
    <w:tbl>
      <w:tblPr>
        <w:tblW w:w="10490" w:type="dxa"/>
        <w:tblLook w:val="0000" w:firstRow="0" w:lastRow="0" w:firstColumn="0" w:lastColumn="0" w:noHBand="0" w:noVBand="0"/>
      </w:tblPr>
      <w:tblGrid>
        <w:gridCol w:w="5245"/>
        <w:gridCol w:w="5245"/>
      </w:tblGrid>
      <w:tr>
        <w:trPr>
          <w:trHeight w:val="540"/>
        </w:trPr>
        <w:tblPrEx/>
        <w:tc>
          <w:tcPr>
            <w:tcW w:w="5245" w:type="dxa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Поставщик:</w:t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45" w:type="dxa"/>
            <w:noWrap w:val="false"/>
            <w:textDirection w:val="lrTb"/>
          </w:tcPr>
          <w:p>
            <w:pPr>
              <w:spacing w:after="0" w:line="240" w:lineRule="auto"/>
              <w:ind w:left="184"/>
              <w:jc w:val="center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Покупатель:</w:t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4197"/>
        </w:trPr>
        <w:tblPrEx/>
        <w:tc>
          <w:tcPr>
            <w:tcW w:w="5245" w:type="dxa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_____ «___________________ »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Юр.адрес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 (индекс), __________________________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Почтовый адрес (индекс) ____________________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Телефон _________Факс 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val="en-US" w:eastAsia="ru-RU"/>
              </w:rPr>
              <w:t xml:space="preserve">e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-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val="en-US" w:eastAsia="ru-RU"/>
              </w:rPr>
              <w:t xml:space="preserve">mail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ОКПО 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ОГРН _____________________________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ИНН ________ КПП ________ (</w:t>
            </w:r>
            <w:r>
              <w:rPr>
                <w:rFonts w:ascii="Liberation Serif" w:hAnsi="Liberation Serif" w:eastAsia="Times New Roman" w:cs="Liberation Serif"/>
                <w:i/>
                <w:sz w:val="21"/>
                <w:szCs w:val="21"/>
                <w:lang w:eastAsia="ru-RU"/>
              </w:rPr>
              <w:t xml:space="preserve">для счетов-фактур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)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КПП ________________ (</w:t>
            </w:r>
            <w:r>
              <w:rPr>
                <w:rFonts w:ascii="Liberation Serif" w:hAnsi="Liberation Serif" w:eastAsia="Times New Roman" w:cs="Liberation Serif"/>
                <w:i/>
                <w:sz w:val="21"/>
                <w:szCs w:val="21"/>
                <w:lang w:eastAsia="ru-RU"/>
              </w:rPr>
              <w:t xml:space="preserve">для первичных документов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)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ОКПО ____________ </w:t>
            </w:r>
            <w:r>
              <w:rPr>
                <w:rFonts w:ascii="Liberation Serif" w:hAnsi="Liberation Serif" w:eastAsia="Times New Roman" w:cs="Liberation Serif"/>
                <w:i/>
                <w:sz w:val="21"/>
                <w:szCs w:val="21"/>
                <w:lang w:eastAsia="ru-RU"/>
              </w:rPr>
              <w:t xml:space="preserve">(филиала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)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ОКАТО _________ ОКОНХ 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Банковские реквизиты: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Р/с _________________ в __________________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К/с ________________ БИК ______________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  <w:p>
            <w:pPr>
              <w:widowControl w:val="off"/>
              <w:spacing w:after="0" w:line="240" w:lineRule="auto"/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  <w:t xml:space="preserve">__________________________ должность</w:t>
            </w: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</w:p>
          <w:p>
            <w:pPr>
              <w:widowControl w:val="off"/>
              <w:spacing w:after="0" w:line="240" w:lineRule="auto"/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5245" w:type="dxa"/>
            <w:noWrap w:val="false"/>
            <w:textDirection w:val="lrTb"/>
          </w:tcPr>
          <w:p>
            <w:pPr>
              <w:widowControl w:val="off"/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color w:val="000000"/>
                <w:sz w:val="21"/>
                <w:szCs w:val="21"/>
              </w:rPr>
              <w:t xml:space="preserve">Акционерное общество «</w:t>
            </w:r>
            <w:r>
              <w:rPr>
                <w:rFonts w:ascii="Liberation Serif" w:hAnsi="Liberation Serif" w:eastAsia="Times New Roman" w:cs="Liberation Serif"/>
                <w:b/>
                <w:bCs/>
                <w:color w:val="000000"/>
                <w:sz w:val="21"/>
                <w:szCs w:val="21"/>
              </w:rPr>
              <w:t xml:space="preserve">ТомскРТС</w:t>
            </w:r>
            <w:r>
              <w:rPr>
                <w:rFonts w:ascii="Liberation Serif" w:hAnsi="Liberation Serif" w:eastAsia="Times New Roman" w:cs="Liberation Serif"/>
                <w:b/>
                <w:bCs/>
                <w:color w:val="000000"/>
                <w:sz w:val="21"/>
                <w:szCs w:val="21"/>
              </w:rPr>
              <w:t xml:space="preserve">»</w:t>
            </w:r>
            <w:r>
              <w:rPr>
                <w:rFonts w:ascii="Liberation Serif" w:hAnsi="Liberation Serif" w:eastAsia="Times New Roman" w:cs="Liberation Serif"/>
                <w:b/>
                <w:bCs/>
                <w:color w:val="000000"/>
                <w:sz w:val="21"/>
                <w:szCs w:val="21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  <w:lang w:eastAsia="ru-RU"/>
              </w:rPr>
              <w:t xml:space="preserve">Адрес (место нахождения):</w:t>
            </w: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634050, г. Томск, пер. 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Нахановича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, д. 4А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ИНН 7017351521, КПП 701701001,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ОГРН 1145543013880, 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Р/с 407 028 105 000 000 198 22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Банк ГПБ (АО)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к/с 301 018 102 000 000 00 823 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БИК 044525823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Тел.: ____________________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Телефакс: ___________________________________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val="en-US" w:eastAsia="ru-RU"/>
              </w:rPr>
              <w:t xml:space="preserve">e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-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val="en-US" w:eastAsia="ru-RU"/>
              </w:rPr>
              <w:t xml:space="preserve">mail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: _________________________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pacing w:after="0" w:line="240" w:lineRule="auto"/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</w:p>
          <w:p>
            <w:pPr>
              <w:widowControl w:val="off"/>
              <w:spacing w:after="0" w:line="240" w:lineRule="auto"/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  <w:t xml:space="preserve">__________________________ должность</w:t>
            </w: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</w:p>
          <w:p>
            <w:pPr>
              <w:widowControl w:val="off"/>
              <w:spacing w:after="0" w:line="240" w:lineRule="auto"/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</w:p>
          <w:p>
            <w:pPr>
              <w:widowControl w:val="off"/>
              <w:tabs>
                <w:tab w:val="left" w:pos="993" w:leader="none"/>
              </w:tabs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  <w:tr>
        <w:trPr>
          <w:trHeight w:val="624"/>
        </w:trPr>
        <w:tblPrEx/>
        <w:tc>
          <w:tcPr>
            <w:tcW w:w="5245" w:type="dxa"/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__________________/___________________/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М.П.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«__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_»_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________20__г.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5245" w:type="dxa"/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______________________/___________________/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М.П.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«__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_»_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___________20___г.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</w:tbl>
    <w:p>
      <w:pPr>
        <w:spacing w:after="0" w:line="240" w:lineRule="auto"/>
        <w:jc w:val="right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bookmarkStart w:id="16" w:name="_GoBack"/>
      <w:bookmarkEnd w:id="16"/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sz w:val="21"/>
          <w:szCs w:val="21"/>
          <w:lang w:eastAsia="ru-RU"/>
        </w:rPr>
        <w:sectPr>
          <w:footerReference w:type="default" r:id="rId9"/>
          <w:footnotePr/>
          <w:endnotePr/>
          <w:type w:val="nextPage"/>
          <w:pgSz w:w="11901" w:h="16840" w:orient="portrait"/>
          <w:pgMar w:top="851" w:right="561" w:bottom="851" w:left="851" w:header="709" w:footer="709" w:gutter="0"/>
          <w:pgNumType w:start="1"/>
          <w:cols w:num="1" w:sep="0" w:space="708" w:equalWidth="1"/>
          <w:docGrid w:linePitch="360"/>
          <w:titlePg/>
        </w:sect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bCs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Приложение № 1</w:t>
      </w:r>
      <w:r>
        <w:rPr>
          <w:rFonts w:ascii="Liberation Serif" w:hAnsi="Liberation Serif" w:eastAsia="Times New Roman" w:cs="Liberation Serif"/>
          <w:b/>
          <w:bCs/>
          <w:i/>
          <w:sz w:val="21"/>
          <w:szCs w:val="21"/>
          <w:lang w:eastAsia="ru-RU"/>
        </w:rPr>
      </w:r>
    </w:p>
    <w:p>
      <w:pPr>
        <w:spacing w:after="0" w:line="240" w:lineRule="auto"/>
        <w:ind w:left="5940"/>
        <w:jc w:val="right"/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к 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д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оговору поставки № __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________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___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r>
    </w:p>
    <w:p>
      <w:pPr>
        <w:pStyle w:val="765"/>
        <w:spacing w:after="0" w:line="240" w:lineRule="auto"/>
        <w:ind w:left="0" w:firstLine="284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СПЕЦИФИКАЦИЯ 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pStyle w:val="765"/>
        <w:spacing w:after="0" w:line="240" w:lineRule="auto"/>
        <w:ind w:left="0" w:firstLine="284"/>
        <w:jc w:val="center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  <w:t xml:space="preserve">на поставку____________________________</w:t>
      </w:r>
      <w:r>
        <w:rPr>
          <w:rFonts w:ascii="Liberation Serif" w:hAnsi="Liberation Serif" w:cs="Liberation Serif"/>
          <w:sz w:val="21"/>
          <w:szCs w:val="21"/>
        </w:rPr>
        <w:t xml:space="preserve"> </w:t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tbl>
      <w:tblPr>
        <w:tblW w:w="14034" w:type="dxa"/>
        <w:tblInd w:w="-74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00"/>
        <w:gridCol w:w="1682"/>
        <w:gridCol w:w="636"/>
        <w:gridCol w:w="918"/>
        <w:gridCol w:w="971"/>
        <w:gridCol w:w="840"/>
        <w:gridCol w:w="471"/>
        <w:gridCol w:w="471"/>
        <w:gridCol w:w="471"/>
        <w:gridCol w:w="471"/>
        <w:gridCol w:w="520"/>
        <w:gridCol w:w="520"/>
        <w:gridCol w:w="471"/>
        <w:gridCol w:w="520"/>
        <w:gridCol w:w="471"/>
        <w:gridCol w:w="471"/>
        <w:gridCol w:w="471"/>
        <w:gridCol w:w="471"/>
        <w:gridCol w:w="1544"/>
        <w:gridCol w:w="1747"/>
      </w:tblGrid>
      <w:tr>
        <w:trPr>
          <w:trHeight w:val="300"/>
        </w:trPr>
        <w:tblPrEx/>
        <w:tc>
          <w:tcPr>
            <w:tcW w:w="500" w:type="dxa"/>
            <w:vMerge w:val="restart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№ п/п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682" w:type="dxa"/>
            <w:vMerge w:val="restart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i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Наименование Товара (</w:t>
            </w:r>
            <w:r>
              <w:rPr>
                <w:rFonts w:ascii="Liberation Serif" w:hAnsi="Liberation Serif" w:eastAsia="Times New Roman" w:cs="Liberation Serif"/>
                <w:bCs/>
                <w:i/>
                <w:sz w:val="21"/>
                <w:szCs w:val="21"/>
                <w:lang w:eastAsia="ru-RU"/>
              </w:rPr>
              <w:t xml:space="preserve">запчастей, этапов поставки, партий)</w:t>
            </w:r>
            <w:r>
              <w:rPr>
                <w:rFonts w:ascii="Liberation Serif" w:hAnsi="Liberation Serif" w:eastAsia="Times New Roman" w:cs="Liberation Serif"/>
                <w:bCs/>
                <w:i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i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i/>
                <w:sz w:val="21"/>
                <w:szCs w:val="21"/>
                <w:lang w:eastAsia="ru-RU"/>
              </w:rPr>
              <w:t xml:space="preserve">(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технические характеристики, ГОСТ, ТУ, год выпуска)</w:t>
            </w:r>
            <w:r>
              <w:rPr>
                <w:rFonts w:ascii="Liberation Serif" w:hAnsi="Liberation Serif" w:eastAsia="Times New Roman" w:cs="Liberation Serif"/>
                <w:bCs/>
                <w:i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636" w:type="dxa"/>
            <w:vMerge w:val="restart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Ед. Изм.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918" w:type="dxa"/>
            <w:vMerge w:val="restart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Кол-во (итого за год)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971" w:type="dxa"/>
            <w:vMerge w:val="restart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Цена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За единицу Товара, (руб.),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br/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без НДС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840" w:type="dxa"/>
            <w:vMerge w:val="restart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Сумма Товара (руб.), 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без НДС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736" w:type="dxa"/>
            <w:gridSpan w:val="12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Сроки поставки в 20____ году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44" w:type="dxa"/>
            <w:vMerge w:val="restart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Наименование производителя (</w:t>
            </w:r>
            <w:r>
              <w:rPr>
                <w:rFonts w:ascii="Liberation Serif" w:hAnsi="Liberation Serif" w:eastAsia="Times New Roman" w:cs="Liberation Serif"/>
                <w:bCs/>
                <w:i/>
                <w:sz w:val="21"/>
                <w:szCs w:val="21"/>
                <w:lang w:eastAsia="ru-RU"/>
              </w:rPr>
              <w:t xml:space="preserve">включается по требованию Покупателя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), страны производителя Товара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207" w:type="dxa"/>
            <w:vMerge w:val="restart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Грузополучатель -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Структурное подразделение Покупателя, адрес места нахождения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склада Покупателя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  <w:p>
            <w:pPr>
              <w:pStyle w:val="765"/>
              <w:spacing w:after="0" w:line="240" w:lineRule="auto"/>
              <w:ind w:left="0" w:hanging="6"/>
              <w:rPr>
                <w:rFonts w:ascii="Liberation Serif" w:hAnsi="Liberation Serif" w:cs="Liberation Serif"/>
                <w:i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(</w:t>
            </w:r>
            <w:r>
              <w:rPr>
                <w:rFonts w:ascii="Liberation Serif" w:hAnsi="Liberation Serif" w:eastAsia="Times New Roman" w:cs="Liberation Serif"/>
                <w:bCs/>
                <w:i/>
                <w:sz w:val="21"/>
                <w:szCs w:val="21"/>
                <w:lang w:eastAsia="ru-RU"/>
              </w:rPr>
              <w:t xml:space="preserve">указывается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</w:t>
            </w:r>
            <w:r>
              <w:rPr>
                <w:rFonts w:ascii="Liberation Serif" w:hAnsi="Liberation Serif" w:cs="Liberation Serif"/>
                <w:i/>
                <w:sz w:val="21"/>
                <w:szCs w:val="21"/>
              </w:rPr>
              <w:t xml:space="preserve">для поставки материалов постоянного потребления (МПП) первой группы критичности)</w:t>
            </w:r>
            <w:r>
              <w:rPr>
                <w:rFonts w:ascii="Liberation Serif" w:hAnsi="Liberation Serif" w:cs="Liberation Serif"/>
                <w:i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58"/>
        </w:trPr>
        <w:tblPrEx/>
        <w:tc>
          <w:tcPr>
            <w:tcW w:w="500" w:type="dxa"/>
            <w:vMerge w:val="continue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682" w:type="dxa"/>
            <w:vMerge w:val="continue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636" w:type="dxa"/>
            <w:vMerge w:val="continue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918" w:type="dxa"/>
            <w:vMerge w:val="continue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971" w:type="dxa"/>
            <w:vMerge w:val="continue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840" w:type="dxa"/>
            <w:vMerge w:val="continue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btLr"/>
          </w:tcPr>
          <w:p>
            <w:pPr>
              <w:spacing w:after="0" w:line="240" w:lineRule="auto"/>
              <w:ind w:hanging="13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  январь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btLr"/>
          </w:tcPr>
          <w:p>
            <w:pPr>
              <w:spacing w:after="0" w:line="240" w:lineRule="auto"/>
              <w:ind w:hanging="13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  февраль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btLr"/>
          </w:tcPr>
          <w:p>
            <w:pPr>
              <w:spacing w:after="0" w:line="240" w:lineRule="auto"/>
              <w:ind w:hanging="13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  март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btLr"/>
          </w:tcPr>
          <w:p>
            <w:pPr>
              <w:spacing w:after="0" w:line="240" w:lineRule="auto"/>
              <w:ind w:hanging="13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  апрель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 w:val="false"/>
            <w:textDirection w:val="btLr"/>
          </w:tcPr>
          <w:p>
            <w:pPr>
              <w:spacing w:after="0" w:line="240" w:lineRule="auto"/>
              <w:ind w:hanging="13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  май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 w:val="false"/>
            <w:textDirection w:val="btLr"/>
          </w:tcPr>
          <w:p>
            <w:pPr>
              <w:spacing w:after="0" w:line="240" w:lineRule="auto"/>
              <w:ind w:hanging="13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  июнь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btLr"/>
          </w:tcPr>
          <w:p>
            <w:pPr>
              <w:spacing w:after="0" w:line="240" w:lineRule="auto"/>
              <w:ind w:hanging="13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  июль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 w:val="false"/>
            <w:textDirection w:val="btLr"/>
          </w:tcPr>
          <w:p>
            <w:pPr>
              <w:spacing w:after="0" w:line="240" w:lineRule="auto"/>
              <w:ind w:hanging="13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  август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btLr"/>
          </w:tcPr>
          <w:p>
            <w:pPr>
              <w:spacing w:after="0" w:line="240" w:lineRule="auto"/>
              <w:ind w:hanging="13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  сентябрь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btLr"/>
          </w:tcPr>
          <w:p>
            <w:pPr>
              <w:spacing w:after="0" w:line="240" w:lineRule="auto"/>
              <w:ind w:hanging="13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  октябрь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btLr"/>
          </w:tcPr>
          <w:p>
            <w:pPr>
              <w:spacing w:after="0" w:line="240" w:lineRule="auto"/>
              <w:ind w:hanging="13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  ноябрь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btLr"/>
          </w:tcPr>
          <w:p>
            <w:pPr>
              <w:spacing w:after="0" w:line="240" w:lineRule="auto"/>
              <w:ind w:hanging="13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  декабрь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44" w:type="dxa"/>
            <w:vMerge w:val="continue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207" w:type="dxa"/>
            <w:vMerge w:val="continue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244"/>
        </w:trPr>
        <w:tblPrEx/>
        <w:tc>
          <w:tcPr>
            <w:tcW w:w="500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1682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636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918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971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840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4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1207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163"/>
        </w:trPr>
        <w:tblPrEx/>
        <w:tc>
          <w:tcPr>
            <w:tcW w:w="500" w:type="dxa"/>
            <w:tcBorders>
              <w:bottom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1682" w:type="dxa"/>
            <w:tcBorders>
              <w:bottom w:val="single" w:color="auto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636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918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971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840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4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1207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203"/>
        </w:trPr>
        <w:tblPrEx/>
        <w:tc>
          <w:tcPr>
            <w:tcW w:w="500" w:type="dxa"/>
            <w:tcBorders>
              <w:right w:val="non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207" w:type="dxa"/>
            <w:gridSpan w:val="4"/>
            <w:tcBorders>
              <w:left w:val="non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ИТОГО по договору без НДС: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840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4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1207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279"/>
        </w:trPr>
        <w:tblPrEx/>
        <w:tc>
          <w:tcPr>
            <w:tcW w:w="500" w:type="dxa"/>
            <w:tcBorders>
              <w:right w:val="non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207" w:type="dxa"/>
            <w:gridSpan w:val="4"/>
            <w:tcBorders>
              <w:left w:val="non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i/>
                <w:sz w:val="21"/>
                <w:szCs w:val="21"/>
                <w:lang w:eastAsia="ru-RU"/>
              </w:rPr>
              <w:t xml:space="preserve">Кроме того,</w:t>
            </w:r>
            <w:r>
              <w:rPr>
                <w:rFonts w:ascii="Liberation Serif" w:hAnsi="Liberation Serif" w:eastAsia="Times New Roman" w:cs="Liberation Serif"/>
                <w:b/>
                <w:i/>
                <w:sz w:val="21"/>
                <w:szCs w:val="21"/>
                <w:lang w:eastAsia="ru-RU"/>
              </w:rPr>
              <w:t xml:space="preserve"> НДС __ %: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840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4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1207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269"/>
        </w:trPr>
        <w:tblPrEx/>
        <w:tc>
          <w:tcPr>
            <w:tcW w:w="500" w:type="dxa"/>
            <w:tcBorders>
              <w:right w:val="non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207" w:type="dxa"/>
            <w:gridSpan w:val="4"/>
            <w:tcBorders>
              <w:left w:val="non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ИТОГО по договору с НДС: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840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520" w:type="dxa"/>
            <w:shd w:val="clear" w:color="auto" w:fill="auto"/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46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44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W w:w="1207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</w:tr>
    </w:tbl>
    <w:p>
      <w:pPr>
        <w:spacing w:after="0" w:line="240" w:lineRule="auto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284"/>
        <w:contextualSpacing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  <w:t xml:space="preserve">Способ доставки Товара: ______________________________ транспортом и/или иным согласованным сторонами способом до склада Покупателя.</w:t>
      </w:r>
      <w:r>
        <w:rPr>
          <w:rFonts w:ascii="Liberation Serif" w:hAnsi="Liberation Serif" w:cs="Liberation Serif"/>
          <w:sz w:val="21"/>
          <w:szCs w:val="21"/>
        </w:rPr>
      </w:r>
    </w:p>
    <w:p>
      <w:pPr>
        <w:widowControl w:val="off"/>
        <w:tabs>
          <w:tab w:val="num" w:pos="1440" w:leader="none"/>
        </w:tabs>
        <w:spacing w:after="0" w:line="240" w:lineRule="auto"/>
        <w:ind w:left="567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widowControl w:val="off"/>
        <w:tabs>
          <w:tab w:val="num" w:pos="1440" w:leader="none"/>
        </w:tabs>
        <w:spacing w:after="0" w:line="240" w:lineRule="auto"/>
        <w:ind w:left="567"/>
        <w:jc w:val="both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Подписи сторон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widowControl w:val="off"/>
        <w:tabs>
          <w:tab w:val="num" w:pos="1440" w:leader="none"/>
        </w:tabs>
        <w:spacing w:after="0" w:line="240" w:lineRule="auto"/>
        <w:ind w:left="567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tbl>
      <w:tblPr>
        <w:tblpPr w:horzAnchor="margin" w:tblpXSpec="left" w:vertAnchor="text" w:tblpY="106" w:leftFromText="180" w:topFromText="0" w:rightFromText="180" w:bottomFromText="0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7093"/>
        <w:gridCol w:w="7093"/>
      </w:tblGrid>
      <w:tr>
        <w:trPr>
          <w:trHeight w:val="245"/>
        </w:trPr>
        <w:tblPrEx/>
        <w:tc>
          <w:tcPr>
            <w:tcW w:w="7093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От 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Поставщика: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</w:tc>
        <w:tc>
          <w:tcPr>
            <w:tcW w:w="7093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От 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По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купателя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: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</w:tc>
      </w:tr>
      <w:tr>
        <w:trPr>
          <w:trHeight w:val="400"/>
        </w:trPr>
        <w:tblPrEx/>
        <w:tc>
          <w:tcPr>
            <w:tcW w:w="7093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7093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</w:tbl>
    <w:p>
      <w:pPr>
        <w:spacing w:after="0" w:line="240" w:lineRule="auto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spacing w:after="0" w:line="240" w:lineRule="auto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sectPr>
          <w:footnotePr/>
          <w:endnotePr/>
          <w:type w:val="nextPage"/>
          <w:pgSz w:w="16840" w:h="11901" w:orient="landscape"/>
          <w:pgMar w:top="851" w:right="567" w:bottom="851" w:left="1418" w:header="709" w:footer="709" w:gutter="0"/>
          <w:cols w:num="1" w:sep="0" w:space="708" w:equalWidth="1"/>
          <w:docGrid w:linePitch="360"/>
          <w:titlePg/>
        </w:sect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Приложение № 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2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ind w:left="5940"/>
        <w:jc w:val="right"/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к д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оговору поставки № _____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r>
    </w:p>
    <w:p>
      <w:pPr>
        <w:spacing w:after="0" w:line="240" w:lineRule="auto"/>
        <w:ind w:left="5940"/>
        <w:jc w:val="right"/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</w:r>
    </w:p>
    <w:p>
      <w:pPr>
        <w:tabs>
          <w:tab w:val="center" w:pos="4677" w:leader="none"/>
          <w:tab w:val="right" w:pos="9355" w:leader="none"/>
        </w:tabs>
        <w:spacing w:after="0" w:line="240" w:lineRule="auto"/>
        <w:jc w:val="center"/>
        <w:rPr>
          <w:rFonts w:ascii="Liberation Serif" w:hAnsi="Liberation Serif" w:eastAsia="Times New Roman" w:cs="Liberation Serif"/>
          <w:b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Форма по раскрытию информации в отношении всей цепочки собственников,</w:t>
      </w:r>
      <w:r>
        <w:rPr>
          <w:rFonts w:ascii="Liberation Serif" w:hAnsi="Liberation Serif" w:eastAsia="Times New Roman" w:cs="Liberation Serif"/>
          <w:b/>
          <w:sz w:val="21"/>
          <w:szCs w:val="21"/>
        </w:rPr>
      </w:r>
    </w:p>
    <w:p>
      <w:pPr>
        <w:tabs>
          <w:tab w:val="center" w:pos="4677" w:leader="none"/>
          <w:tab w:val="right" w:pos="9355" w:leader="none"/>
        </w:tabs>
        <w:spacing w:after="0" w:line="240" w:lineRule="auto"/>
        <w:jc w:val="center"/>
        <w:rPr>
          <w:rFonts w:ascii="Liberation Serif" w:hAnsi="Liberation Serif" w:eastAsia="Times New Roman" w:cs="Liberation Serif"/>
          <w:b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включая бенефициаров (в том числе, конечных)</w:t>
      </w:r>
      <w:r>
        <w:rPr>
          <w:rFonts w:ascii="Liberation Serif" w:hAnsi="Liberation Serif" w:eastAsia="Times New Roman" w:cs="Liberation Serif"/>
          <w:b/>
          <w:sz w:val="21"/>
          <w:szCs w:val="21"/>
        </w:rPr>
      </w:r>
    </w:p>
    <w:p>
      <w:pPr>
        <w:tabs>
          <w:tab w:val="center" w:pos="4677" w:leader="none"/>
          <w:tab w:val="right" w:pos="9355" w:leader="none"/>
        </w:tabs>
        <w:spacing w:after="0" w:line="240" w:lineRule="auto"/>
        <w:jc w:val="center"/>
        <w:rPr>
          <w:rFonts w:ascii="Liberation Serif" w:hAnsi="Liberation Serif" w:eastAsia="Times New Roman" w:cs="Liberation Serif"/>
          <w:i/>
          <w:sz w:val="21"/>
          <w:szCs w:val="21"/>
        </w:rPr>
      </w:pPr>
      <w:r>
        <w:rPr>
          <w:rFonts w:ascii="Liberation Serif" w:hAnsi="Liberation Serif" w:eastAsia="Times New Roman" w:cs="Liberation Serif"/>
          <w:i/>
          <w:sz w:val="21"/>
          <w:szCs w:val="21"/>
        </w:rPr>
        <w:t xml:space="preserve">Организационно-правовая форма (полностью) «Наименование контрагента»</w:t>
      </w:r>
      <w:r>
        <w:rPr>
          <w:rFonts w:ascii="Liberation Serif" w:hAnsi="Liberation Serif" w:eastAsia="Times New Roman" w:cs="Liberation Serif"/>
          <w:i/>
          <w:sz w:val="21"/>
          <w:szCs w:val="21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tbl>
      <w:tblPr>
        <w:tblpPr w:horzAnchor="margin" w:tblpXSpec="center" w:vertAnchor="text" w:tblpY="293" w:leftFromText="180" w:topFromText="0" w:rightFromText="180" w:bottomFromText="200"/>
        <w:tblW w:w="10515" w:type="dxa"/>
        <w:tblLayout w:type="fixed"/>
        <w:tblLook w:val="00A0" w:firstRow="1" w:lastRow="0" w:firstColumn="1" w:lastColumn="0" w:noHBand="0" w:noVBand="0"/>
      </w:tblPr>
      <w:tblGrid>
        <w:gridCol w:w="346"/>
        <w:gridCol w:w="461"/>
        <w:gridCol w:w="502"/>
        <w:gridCol w:w="818"/>
        <w:gridCol w:w="623"/>
        <w:gridCol w:w="623"/>
        <w:gridCol w:w="1023"/>
        <w:gridCol w:w="310"/>
        <w:gridCol w:w="700"/>
        <w:gridCol w:w="506"/>
        <w:gridCol w:w="876"/>
        <w:gridCol w:w="545"/>
        <w:gridCol w:w="1091"/>
        <w:gridCol w:w="973"/>
        <w:gridCol w:w="1092"/>
        <w:gridCol w:w="26"/>
      </w:tblGrid>
      <w:tr>
        <w:trPr>
          <w:trHeight w:val="282"/>
        </w:trPr>
        <w:tblPrEx/>
        <w:tc>
          <w:tcPr>
            <w:tcW w:w="34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№ п/п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4050" w:type="dxa"/>
            <w:gridSpan w:val="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Наименование контрагента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(ИНН, вид деятельности)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6119" w:type="dxa"/>
            <w:gridSpan w:val="9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Информация в отношении всей цепочки собственников, включая бенефициаров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(в том числе конечных)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</w:tr>
      <w:tr>
        <w:trPr>
          <w:gridAfter w:val="1"/>
          <w:trHeight w:val="1723"/>
        </w:trPr>
        <w:tblPrEx/>
        <w:tc>
          <w:tcPr>
            <w:tcW w:w="34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461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ИНН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502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ОГРН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818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Наименование краткое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623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Код ОКВЭД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623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ФИО руководителя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1023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Серия и номер документа удостоверяющего личность руководителя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310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№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700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ИНН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(при наличии)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506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ОГРН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876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Наименование/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ФИО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545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Адрес регистрации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1091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Серия и номер документа удостоверяющего личность физического лица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973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Руководитель /участник /бенефициар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1092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Информация о подтверждающих документах (наименование, номера и т.д.)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</w:tr>
      <w:tr>
        <w:trPr>
          <w:gridAfter w:val="1"/>
          <w:trHeight w:val="282"/>
        </w:trPr>
        <w:tblPrEx/>
        <w:tc>
          <w:tcPr>
            <w:tcW w:w="346" w:type="dxa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1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461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2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502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3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818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4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623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5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623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6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1023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7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310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8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700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9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506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10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876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11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545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12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1091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13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973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14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  <w:tc>
          <w:tcPr>
            <w:tcW w:w="1092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noWrap w:val="false"/>
            <w:textDirection w:val="lrTb"/>
            <w:vAlign w:val="center"/>
          </w:tcPr>
          <w:p>
            <w:pPr>
              <w:widowControl w:val="off"/>
              <w:spacing w:after="0" w:line="240" w:lineRule="auto"/>
              <w:jc w:val="center"/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  <w:t xml:space="preserve">15</w:t>
            </w:r>
            <w:r>
              <w:rPr>
                <w:rFonts w:ascii="Liberation Serif" w:hAnsi="Liberation Serif" w:cs="Liberation Serif"/>
                <w:i/>
                <w:color w:val="000000"/>
                <w:sz w:val="21"/>
                <w:szCs w:val="21"/>
              </w:rPr>
            </w:r>
          </w:p>
        </w:tc>
      </w:tr>
      <w:tr>
        <w:trPr>
          <w:gridAfter w:val="1"/>
          <w:trHeight w:val="107"/>
        </w:trPr>
        <w:tblPrEx/>
        <w:tc>
          <w:tcPr>
            <w:tcW w:w="346" w:type="dxa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461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502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818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623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623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1023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310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700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506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876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545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1091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973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1092" w:type="dxa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  <w:vAlign w:val="bottom"/>
          </w:tcPr>
          <w:p>
            <w:pPr>
              <w:widowControl w:val="off"/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</w:tr>
      <w:tr>
        <w:trPr>
          <w:gridAfter w:val="1"/>
          <w:trHeight w:val="240"/>
        </w:trPr>
        <w:tblPrEx/>
        <w:tc>
          <w:tcPr>
            <w:tcW w:w="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461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502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818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623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623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1023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310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700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506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876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545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1091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973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1092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</w:tr>
      <w:tr>
        <w:trPr>
          <w:gridAfter w:val="1"/>
          <w:trHeight w:val="195"/>
        </w:trPr>
        <w:tblPrEx/>
        <w:tc>
          <w:tcPr>
            <w:tcW w:w="3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461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502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818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623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623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1023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310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700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506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876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545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1091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973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1092" w:type="dx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noWrap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</w:tr>
    </w:tbl>
    <w:p>
      <w:pPr>
        <w:widowControl w:val="off"/>
        <w:tabs>
          <w:tab w:val="center" w:pos="4677" w:leader="none"/>
          <w:tab w:val="right" w:pos="9355" w:leader="none"/>
        </w:tabs>
        <w:spacing w:after="0" w:line="240" w:lineRule="auto"/>
        <w:jc w:val="right"/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  <w:t xml:space="preserve">Дата </w:t>
      </w:r>
      <w:r>
        <w:rPr>
          <w:rFonts w:ascii="Liberation Serif" w:hAnsi="Liberation Serif" w:eastAsia="Times New Roman" w:cs="Liberation Serif"/>
          <w:i/>
          <w:color w:val="000000"/>
          <w:sz w:val="21"/>
          <w:szCs w:val="21"/>
          <w:lang w:eastAsia="ru-RU"/>
        </w:rPr>
        <w:t xml:space="preserve">заполнения число / месяц / год</w:t>
      </w:r>
      <w:r>
        <w:rPr>
          <w:rFonts w:ascii="Liberation Serif" w:hAnsi="Liberation Serif" w:eastAsia="Times New Roman" w:cs="Liberation Serif"/>
          <w:color w:val="000000"/>
          <w:sz w:val="21"/>
          <w:szCs w:val="21"/>
          <w:lang w:eastAsia="ru-RU"/>
        </w:rPr>
      </w:r>
    </w:p>
    <w:p>
      <w:pPr>
        <w:numPr>
          <w:numId w:val="44"/>
          <w:ilvl w:val="1"/>
        </w:numPr>
        <w:tabs>
          <w:tab w:val="center" w:pos="284" w:leader="none"/>
          <w:tab w:val="right" w:pos="9355" w:leader="none"/>
        </w:tabs>
        <w:spacing w:after="0" w:line="240" w:lineRule="auto"/>
        <w:ind w:left="-567" w:right="-62" w:firstLine="567"/>
        <w:jc w:val="both"/>
        <w:rPr>
          <w:rFonts w:ascii="Liberation Serif" w:hAnsi="Liberation Serif" w:eastAsia="PMingLiU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Поставщик гарантирует Покупателю, что сведения и документы в отношении всей цепочки собственников и руководителей, включая бенефициаров (в том числе конечных), передаваемые Покупателю, являются полными, точными и достоверными.</w:t>
      </w:r>
      <w:r>
        <w:rPr>
          <w:rFonts w:ascii="Liberation Serif" w:hAnsi="Liberation Serif" w:eastAsia="PMingLiU" w:cs="Liberation Serif"/>
          <w:sz w:val="21"/>
          <w:szCs w:val="21"/>
        </w:rPr>
      </w:r>
    </w:p>
    <w:p>
      <w:pPr>
        <w:numPr>
          <w:numId w:val="44"/>
          <w:ilvl w:val="1"/>
        </w:numPr>
        <w:tabs>
          <w:tab w:val="center" w:pos="284" w:leader="none"/>
          <w:tab w:val="num" w:pos="1134" w:leader="none"/>
          <w:tab w:val="right" w:pos="9355" w:leader="none"/>
        </w:tabs>
        <w:spacing w:after="0" w:line="240" w:lineRule="auto"/>
        <w:ind w:left="-567" w:right="-62" w:firstLine="567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Поставщик настоящим выдает согласие и подтверждает получение им всех требуемых в соответствии с действующим законодательством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РФ (в том числе о коммерческой тайне и о персональных данных) согласий всех упомянутых в сведениях, заинтересованных или причастных к сведениям лиц на обработку, а также на раскрытие Покупателем полностью или частично предоставленных сведений компетентным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органам государственной власти (в том числе, но не ограничиваясь, Федеральной налоговой службе РФ, Минэнерго России, Росфинмониторингу, Правительству РФ) и последующую обработку сведений такими органами (далее - Раскрытие). Поставщик настоящим освобождает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Покупателя от любой ответственности в связи с Раскрытием, в том числе возмещает Покупателю убытки, понесенные в связи с предъявлением Покупателю претензий, исков и требований любыми третьими лицами, чьи права были или могли быть нарушены таким Раскрытием.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widowControl w:val="off"/>
        <w:tabs>
          <w:tab w:val="center" w:pos="4677" w:leader="none"/>
          <w:tab w:val="right" w:pos="9355" w:leader="none"/>
        </w:tabs>
        <w:spacing w:after="0" w:line="240" w:lineRule="auto"/>
        <w:ind w:firstLine="709"/>
        <w:jc w:val="right"/>
        <w:rPr>
          <w:rFonts w:ascii="Liberation Serif" w:hAnsi="Liberation Serif" w:eastAsia="Times New Roman" w:cs="Liberation Serif"/>
          <w:b/>
          <w:color w:val="000000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color w:val="000000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color w:val="000000"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color w:val="000000"/>
          <w:sz w:val="21"/>
          <w:szCs w:val="21"/>
          <w:lang w:eastAsia="ru-RU"/>
        </w:rPr>
        <w:t xml:space="preserve">подпись уполномоченного лица организации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tbl>
      <w:tblPr>
        <w:tblpPr w:horzAnchor="margin" w:tblpXSpec="left" w:vertAnchor="text" w:tblpY="878" w:leftFromText="180" w:topFromText="0" w:rightFromText="180" w:bottomFromText="0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787"/>
        <w:gridCol w:w="4784"/>
      </w:tblGrid>
      <w:tr>
        <w:trPr/>
        <w:tblPrEx/>
        <w:tc>
          <w:tcPr>
            <w:tcW w:w="5004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От Поставщика: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</w:tc>
        <w:tc>
          <w:tcPr>
            <w:tcW w:w="5004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От Покупателя: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</w:tc>
      </w:tr>
      <w:tr>
        <w:trPr/>
        <w:tblPrEx/>
        <w:tc>
          <w:tcPr>
            <w:tcW w:w="5004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right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</w:tc>
        <w:tc>
          <w:tcPr>
            <w:tcW w:w="5004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right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609"/>
        </w:trPr>
        <w:tblPrEx/>
        <w:tc>
          <w:tcPr>
            <w:tcW w:w="5004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right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</w:tc>
        <w:tc>
          <w:tcPr>
            <w:tcW w:w="5004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right"/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/>
                <w:bCs/>
                <w:sz w:val="21"/>
                <w:szCs w:val="21"/>
                <w:lang w:eastAsia="ru-RU"/>
              </w:rPr>
            </w:r>
          </w:p>
        </w:tc>
      </w:tr>
    </w:tbl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center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Форму утверждаем: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sectPr>
          <w:footnotePr/>
          <w:endnotePr/>
          <w:type w:val="nextPage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</w:sect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MS Mincho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MS Mincho" w:cs="Liberation Serif"/>
          <w:b/>
          <w:sz w:val="21"/>
          <w:szCs w:val="21"/>
          <w:lang w:eastAsia="ru-RU"/>
        </w:rPr>
        <w:t xml:space="preserve">Приложение № </w:t>
      </w:r>
      <w:r>
        <w:rPr>
          <w:rFonts w:ascii="Liberation Serif" w:hAnsi="Liberation Serif" w:eastAsia="MS Mincho" w:cs="Liberation Serif"/>
          <w:b/>
          <w:sz w:val="21"/>
          <w:szCs w:val="21"/>
          <w:lang w:eastAsia="ru-RU"/>
        </w:rPr>
        <w:t xml:space="preserve">3</w:t>
      </w:r>
      <w:r>
        <w:rPr>
          <w:rFonts w:ascii="Liberation Serif" w:hAnsi="Liberation Serif" w:eastAsia="MS Mincho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MS Mincho" w:cs="Liberation Serif"/>
          <w:sz w:val="21"/>
          <w:szCs w:val="21"/>
          <w:lang w:eastAsia="ru-RU"/>
        </w:rPr>
      </w:pPr>
      <w:r>
        <w:rPr>
          <w:rFonts w:ascii="Liberation Serif" w:hAnsi="Liberation Serif" w:eastAsia="MS Mincho" w:cs="Liberation Serif"/>
          <w:sz w:val="21"/>
          <w:szCs w:val="21"/>
          <w:lang w:eastAsia="ru-RU"/>
        </w:rPr>
        <w:t xml:space="preserve">к договору</w:t>
      </w:r>
      <w:r>
        <w:rPr>
          <w:rFonts w:ascii="Liberation Serif" w:hAnsi="Liberation Serif" w:eastAsia="MS Mincho" w:cs="Liberation Serif"/>
          <w:sz w:val="21"/>
          <w:szCs w:val="21"/>
          <w:lang w:eastAsia="ru-RU"/>
        </w:rPr>
        <w:t xml:space="preserve"> поставки</w:t>
      </w:r>
      <w:r>
        <w:rPr>
          <w:rFonts w:ascii="Liberation Serif" w:hAnsi="Liberation Serif" w:eastAsia="MS Mincho" w:cs="Liberation Serif"/>
          <w:sz w:val="21"/>
          <w:szCs w:val="21"/>
          <w:lang w:eastAsia="ru-RU"/>
        </w:rPr>
        <w:t xml:space="preserve"> №__________________</w:t>
      </w:r>
      <w:r>
        <w:rPr>
          <w:rFonts w:ascii="Liberation Serif" w:hAnsi="Liberation Serif" w:eastAsia="MS Mincho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jc w:val="right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ФОРМА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ind w:firstLine="708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ind w:firstLine="708"/>
        <w:jc w:val="center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 бланке АО «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Томск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РТС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jc w:val="right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jc w:val="right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jc w:val="center"/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Заявка на поставку Товара</w:t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r>
    </w:p>
    <w:p>
      <w:pPr>
        <w:spacing w:after="0" w:line="240" w:lineRule="auto"/>
        <w:ind w:firstLine="708"/>
        <w:jc w:val="center"/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  <w:t xml:space="preserve">(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направляется по электронной почте Поставщика_____________________(</w:t>
      </w:r>
      <w:r>
        <w:rPr>
          <w:rFonts w:ascii="Liberation Serif" w:hAnsi="Liberation Serif" w:eastAsia="Times New Roman" w:cs="Liberation Serif"/>
          <w:bCs/>
          <w:i/>
          <w:sz w:val="21"/>
          <w:szCs w:val="21"/>
          <w:lang w:eastAsia="ru-RU"/>
        </w:rPr>
        <w:t xml:space="preserve">указать)</w:t>
      </w:r>
      <w:r>
        <w:rPr>
          <w:rFonts w:ascii="Liberation Serif" w:hAnsi="Liberation Serif" w:eastAsia="Times New Roman" w:cs="Liberation Serif"/>
          <w:bCs/>
          <w:sz w:val="21"/>
          <w:szCs w:val="21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r>
    </w:p>
    <w:p>
      <w:pPr>
        <w:spacing w:after="0" w:line="240" w:lineRule="auto"/>
        <w:ind w:firstLine="708"/>
        <w:jc w:val="right"/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bCs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Поставщик: 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указать наименование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Покупатель: АО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«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Томск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РТС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Реквизиты грузополучателя 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указать структурное подразделение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________________):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Адрес склада: __________________________________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Отгрузочные реквизиты: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(указать при необходимости)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рамках исполнения обязательств по договору №__________________ от «__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_» _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_______20__г. прошу поставить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в _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_____________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_ (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указать срок/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i/>
          <w:sz w:val="21"/>
          <w:szCs w:val="21"/>
          <w:lang w:eastAsia="ru-RU"/>
        </w:rPr>
        <w:t xml:space="preserve">или указать график поставки)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Товар: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jc w:val="right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 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tbl>
      <w:tblPr>
        <w:tblW w:w="1045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"/>
        <w:gridCol w:w="2929"/>
        <w:gridCol w:w="957"/>
        <w:gridCol w:w="1103"/>
        <w:gridCol w:w="1670"/>
        <w:gridCol w:w="1747"/>
        <w:gridCol w:w="1521"/>
      </w:tblGrid>
      <w:tr>
        <w:trPr/>
        <w:tblPrEx/>
        <w:tc>
          <w:tcPr>
            <w:tcW w:w="52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133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N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ind w:firstLine="133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п/п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293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135"/>
              <w:jc w:val="center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Наименование Товара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949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147"/>
              <w:jc w:val="center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Единицы измерения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103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Количество в единицах измерения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672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13"/>
              <w:jc w:val="center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Цена за единицу измерения, руб. (включая НДС) </w:t>
            </w:r>
            <w:r>
              <w:rPr>
                <w:rFonts w:ascii="Liberation Serif" w:hAnsi="Liberation Serif" w:eastAsia="Times New Roman" w:cs="Liberation Serif"/>
                <w:i/>
                <w:sz w:val="21"/>
                <w:szCs w:val="21"/>
                <w:lang w:eastAsia="ru-RU"/>
              </w:rPr>
              <w:t xml:space="preserve">(если облагается НДС)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749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Стоимость, руб. (включая НДС) </w:t>
            </w:r>
            <w:r>
              <w:rPr>
                <w:rFonts w:ascii="Liberation Serif" w:hAnsi="Liberation Serif" w:eastAsia="Times New Roman" w:cs="Liberation Serif"/>
                <w:i/>
                <w:sz w:val="21"/>
                <w:szCs w:val="21"/>
                <w:lang w:eastAsia="ru-RU"/>
              </w:rPr>
              <w:t xml:space="preserve">(если облагается НДС)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521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Страна происхождения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  <w:tr>
        <w:trPr/>
        <w:tblPrEx/>
        <w:tc>
          <w:tcPr>
            <w:tcW w:w="523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133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1.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2933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949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103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672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749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521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  <w:tr>
        <w:trPr/>
        <w:tblPrEx/>
        <w:tc>
          <w:tcPr>
            <w:tcW w:w="523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133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2.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2933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949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103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672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749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521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  <w:tr>
        <w:trPr/>
        <w:tblPrEx/>
        <w:tc>
          <w:tcPr>
            <w:tcW w:w="523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133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3.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2933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949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103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672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749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1521" w:type="dxa"/>
            <w:tcBorders>
              <w:bottom w:val="single" w:color="000000" w:sz="6" w:space="0"/>
              <w:right w:val="single" w:color="000000" w:sz="6" w:space="0"/>
            </w:tcBorders>
            <w:shd w:val="clear" w:color="auto" w:fill="ffffff"/>
            <w:noWrap w:val="false"/>
            <w:textDirection w:val="lrTb"/>
          </w:tcPr>
          <w:p>
            <w:pPr>
              <w:spacing w:after="0" w:line="240" w:lineRule="auto"/>
              <w:ind w:firstLine="708"/>
              <w:jc w:val="right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</w:tbl>
    <w:p>
      <w:pPr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Оплата будет произведена в соответствии с условиями договора.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284"/>
        <w:jc w:val="both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На весь отгружаемый Товар в адрес АО «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Томск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РТС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», прошу Вас предоставлять сертификаты качества заводов-изготовителей, а также письменные подтверждения заводов-изготовителей, выдавших сертификаты (паспорта) соответствия (качества) о подлинности сертификатов (паспортов) качества.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jc w:val="right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 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По доверенности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№______ от___________20____г.                                                                                _____________/ФИО/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Исп.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ФИО,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тел., адрес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  <w:t xml:space="preserve">эл. почты</w:t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ind w:firstLine="708"/>
        <w:jc w:val="center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  <w:t xml:space="preserve">Форму утверждаем:</w:t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tbl>
      <w:tblPr>
        <w:tblpPr w:horzAnchor="margin" w:tblpXSpec="left" w:vertAnchor="text" w:tblpY="452" w:leftFromText="180" w:topFromText="0" w:rightFromText="180" w:bottomFromText="0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674"/>
        <w:gridCol w:w="4670"/>
      </w:tblGrid>
      <w:tr>
        <w:trPr/>
        <w:tblPrEx/>
        <w:tc>
          <w:tcPr>
            <w:tcW w:w="4674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bookmarkStart w:id="17" w:name="_Hlk114816047"/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От 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Поставщик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а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: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</w:tc>
        <w:tc>
          <w:tcPr>
            <w:tcW w:w="4670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От 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Покупател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я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: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</w:tc>
      </w:tr>
      <w:tr>
        <w:trPr/>
        <w:tblPrEx/>
        <w:tc>
          <w:tcPr>
            <w:tcW w:w="4674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70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474"/>
        </w:trPr>
        <w:tblPrEx/>
        <w:tc>
          <w:tcPr>
            <w:tcW w:w="4674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670" w:type="dxa"/>
            <w:shd w:val="clear" w:color="auto" w:fill="auto"/>
            <w:noWrap w:val="false"/>
            <w:textDirection w:val="lrTb"/>
            <w:vAlign w:val="bottom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bookmarkEnd w:id="17"/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</w:tbl>
    <w:p>
      <w:pPr>
        <w:spacing w:after="0" w:line="240" w:lineRule="auto"/>
        <w:ind w:firstLine="708"/>
        <w:rPr>
          <w:rFonts w:ascii="Liberation Serif" w:hAnsi="Liberation Serif" w:eastAsia="Times New Roman" w:cs="Liberation Serif"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sz w:val="21"/>
          <w:szCs w:val="21"/>
          <w:lang w:eastAsia="ru-RU"/>
        </w:rPr>
      </w:r>
    </w:p>
    <w:p>
      <w:pPr>
        <w:spacing w:after="0" w:line="240" w:lineRule="auto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sz w:val="21"/>
          <w:szCs w:val="21"/>
        </w:rPr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rPr>
          <w:rFonts w:ascii="Liberation Serif" w:hAnsi="Liberation Serif" w:cs="Liberation Serif"/>
          <w:sz w:val="21"/>
          <w:szCs w:val="21"/>
        </w:rPr>
        <w:sectPr>
          <w:footnotePr/>
          <w:endnotePr/>
          <w:type w:val="nextPage"/>
          <w:pgSz w:w="11906" w:h="16838" w:orient="portrait"/>
          <w:pgMar w:top="720" w:right="720" w:bottom="720" w:left="720" w:header="709" w:footer="709" w:gutter="0"/>
          <w:cols w:num="1" w:sep="0" w:space="708" w:equalWidth="1"/>
          <w:docGrid w:linePitch="360"/>
        </w:sectPr>
      </w:pPr>
      <w:r>
        <w:rPr>
          <w:rFonts w:ascii="Liberation Serif" w:hAnsi="Liberation Serif" w:cs="Liberation Serif"/>
          <w:sz w:val="21"/>
          <w:szCs w:val="21"/>
        </w:rPr>
      </w:r>
      <w:r>
        <w:rPr>
          <w:rFonts w:ascii="Liberation Serif" w:hAnsi="Liberation Serif" w:cs="Liberation Serif"/>
          <w:sz w:val="21"/>
          <w:szCs w:val="21"/>
        </w:rPr>
      </w:r>
    </w:p>
    <w:p>
      <w:pPr>
        <w:spacing w:after="0" w:line="240" w:lineRule="auto"/>
        <w:jc w:val="right"/>
        <w:rPr>
          <w:rFonts w:ascii="Liberation Serif" w:hAnsi="Liberation Serif" w:eastAsia="MS Mincho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MS Mincho" w:cs="Liberation Serif"/>
          <w:b/>
          <w:sz w:val="21"/>
          <w:szCs w:val="21"/>
          <w:lang w:eastAsia="ru-RU"/>
        </w:rPr>
        <w:t xml:space="preserve">Приложение №</w:t>
      </w:r>
      <w:r>
        <w:rPr>
          <w:rFonts w:ascii="Liberation Serif" w:hAnsi="Liberation Serif" w:eastAsia="MS Mincho" w:cs="Liberation Serif"/>
          <w:b/>
          <w:sz w:val="21"/>
          <w:szCs w:val="21"/>
          <w:lang w:eastAsia="ru-RU"/>
        </w:rPr>
        <w:t xml:space="preserve">4</w:t>
      </w:r>
      <w:r>
        <w:rPr>
          <w:rFonts w:ascii="Liberation Serif" w:hAnsi="Liberation Serif" w:eastAsia="MS Mincho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MS Mincho" w:cs="Liberation Serif"/>
          <w:sz w:val="21"/>
          <w:szCs w:val="21"/>
          <w:lang w:eastAsia="ru-RU"/>
        </w:rPr>
      </w:pPr>
      <w:r>
        <w:rPr>
          <w:rFonts w:ascii="Liberation Serif" w:hAnsi="Liberation Serif" w:eastAsia="MS Mincho" w:cs="Liberation Serif"/>
          <w:sz w:val="21"/>
          <w:szCs w:val="21"/>
          <w:lang w:eastAsia="ru-RU"/>
        </w:rPr>
        <w:t xml:space="preserve">к договору</w:t>
      </w:r>
      <w:r>
        <w:rPr>
          <w:rFonts w:ascii="Liberation Serif" w:hAnsi="Liberation Serif" w:eastAsia="MS Mincho" w:cs="Liberation Serif"/>
          <w:sz w:val="21"/>
          <w:szCs w:val="21"/>
          <w:lang w:eastAsia="ru-RU"/>
        </w:rPr>
        <w:t xml:space="preserve"> поставки</w:t>
      </w:r>
      <w:r>
        <w:rPr>
          <w:rFonts w:ascii="Liberation Serif" w:hAnsi="Liberation Serif" w:eastAsia="MS Mincho" w:cs="Liberation Serif"/>
          <w:sz w:val="21"/>
          <w:szCs w:val="21"/>
          <w:lang w:eastAsia="ru-RU"/>
        </w:rPr>
        <w:t xml:space="preserve"> №__________________</w:t>
      </w:r>
      <w:r>
        <w:rPr>
          <w:rFonts w:ascii="Liberation Serif" w:hAnsi="Liberation Serif" w:eastAsia="MS Mincho" w:cs="Liberation Serif"/>
          <w:sz w:val="21"/>
          <w:szCs w:val="21"/>
          <w:lang w:eastAsia="ru-RU"/>
        </w:rPr>
      </w:r>
    </w:p>
    <w:p>
      <w:pPr>
        <w:spacing w:after="0" w:line="240" w:lineRule="auto"/>
        <w:rPr>
          <w:rFonts w:ascii="Liberation Serif" w:hAnsi="Liberation Serif" w:eastAsia="Calibri Light" w:cs="Liberation Serif"/>
          <w:color w:val="000000"/>
          <w:sz w:val="21"/>
          <w:szCs w:val="21"/>
        </w:rPr>
      </w:pPr>
      <w:r>
        <w:rPr>
          <w:rFonts w:ascii="Liberation Serif" w:hAnsi="Liberation Serif" w:eastAsia="Calibri Light" w:cs="Liberation Serif"/>
          <w:color w:val="000000"/>
          <w:sz w:val="21"/>
          <w:szCs w:val="21"/>
        </w:rPr>
      </w:r>
      <w:r>
        <w:rPr>
          <w:rFonts w:ascii="Liberation Serif" w:hAnsi="Liberation Serif" w:eastAsia="Calibri Light" w:cs="Liberation Serif"/>
          <w:color w:val="000000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contextualSpacing/>
        <w:jc w:val="center"/>
        <w:rPr>
          <w:rFonts w:ascii="Liberation Serif" w:hAnsi="Liberation Serif" w:eastAsia="Times New Roman" w:cs="Liberation Serif"/>
          <w:b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СОГЛАШЕНИЕ</w:t>
      </w:r>
      <w:r>
        <w:rPr>
          <w:rFonts w:ascii="Liberation Serif" w:hAnsi="Liberation Serif" w:eastAsia="Times New Roman" w:cs="Liberation Serif"/>
          <w:b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contextualSpacing/>
        <w:jc w:val="center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ОБ ЭЛЕКТРОННОМ ДОКУМЕНТООБОРОТЕ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contextualSpacing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г. Томск                                                                </w:t>
      </w:r>
      <w:r>
        <w:rPr>
          <w:rFonts w:ascii="Liberation Serif" w:hAnsi="Liberation Serif" w:eastAsia="Times New Roman" w:cs="Liberation Serif"/>
          <w:sz w:val="21"/>
          <w:szCs w:val="21"/>
        </w:rPr>
        <w:tab/>
      </w:r>
      <w:r>
        <w:rPr>
          <w:rFonts w:ascii="Liberation Serif" w:hAnsi="Liberation Serif" w:eastAsia="Times New Roman" w:cs="Liberation Serif"/>
          <w:sz w:val="21"/>
          <w:szCs w:val="21"/>
        </w:rPr>
        <w:tab/>
      </w:r>
      <w:r>
        <w:rPr>
          <w:rFonts w:ascii="Liberation Serif" w:hAnsi="Liberation Serif" w:eastAsia="Times New Roman" w:cs="Liberation Serif"/>
          <w:sz w:val="21"/>
          <w:szCs w:val="21"/>
        </w:rPr>
        <w:tab/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contextualSpacing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b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Акционерное общество «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ТомскРТС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» (АО «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ТомскРТС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»)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, именуемое в дальнейшем 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«Сторона-1»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, в лице ________________________ (должность, ФИО уполномоченного лица), действующего на основании ___________ (уполномочивающий документ), с одной стороны, и</w:t>
      </w:r>
      <w:r>
        <w:rPr>
          <w:rFonts w:ascii="Liberation Serif" w:hAnsi="Liberation Serif" w:eastAsia="Times New Roman" w:cs="Liberation Serif"/>
          <w:b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______________________________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(полное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/краткое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наименование Стороны-2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), именуемое в дальнейшем 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«Сторона-2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»,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в лице __________________________ (должность, ФИО уполномоченного лица), действующего на основании ___________ (уполномочивающий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документ),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с другой стороны, совместно именуемые в дальнейшем «Стороны», заключили настоящее соглашение (далее – «Соглашение») о нижеследующем.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center"/>
        <w:rPr>
          <w:rFonts w:ascii="Liberation Serif" w:hAnsi="Liberation Serif" w:eastAsia="Times New Roman" w:cs="Liberation Serif"/>
          <w:b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1.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ab/>
        <w:t xml:space="preserve">Термины, определения и сокращения</w:t>
      </w:r>
      <w:r>
        <w:rPr>
          <w:rFonts w:ascii="Liberation Serif" w:hAnsi="Liberation Serif" w:eastAsia="Times New Roman" w:cs="Liberation Serif"/>
          <w:b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1.1.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Все термины и определения используются в настоящем Соглашении и при взаимодействии Сторон на основании Соглашения в следующем значении: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cs="Liberation Serif"/>
          <w:color w:val="000000"/>
          <w:sz w:val="21"/>
          <w:szCs w:val="21"/>
        </w:rPr>
      </w:pPr>
      <w:r>
        <w:rPr>
          <w:rFonts w:ascii="Liberation Serif" w:hAnsi="Liberation Serif" w:cs="Liberation Serif"/>
          <w:color w:val="000000"/>
          <w:sz w:val="21"/>
          <w:szCs w:val="21"/>
        </w:rPr>
      </w:r>
      <w:r>
        <w:rPr>
          <w:rFonts w:ascii="Liberation Serif" w:hAnsi="Liberation Serif" w:cs="Liberation Serif"/>
          <w:color w:val="000000"/>
          <w:sz w:val="21"/>
          <w:szCs w:val="21"/>
        </w:rPr>
      </w:r>
    </w:p>
    <w:tbl>
      <w:tblPr>
        <w:tblW w:w="1033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Look w:val="04A0" w:firstRow="1" w:lastRow="0" w:firstColumn="1" w:lastColumn="0" w:noHBand="0" w:noVBand="1"/>
      </w:tblPr>
      <w:tblGrid>
        <w:gridCol w:w="3104"/>
        <w:gridCol w:w="1559"/>
        <w:gridCol w:w="5670"/>
      </w:tblGrid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fbfbf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Наименование термина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fbfbf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Сокращение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bfbfbf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Определение термина (расшифровка сокращения)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Аккредитованный удостоверяющий центр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АУЦ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Удостоверяющие центры, получившие аккредитацию, а также удостоверяющий центр федерального органа исполнительной власти, уполномоченного на осуществление государственной регистрации юридических лиц, удостоверяющий центр федерального органа исполнительн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ой власти, уполномоченного на правоприменительные функции по обеспечению исполнения федерального бюджета, казначейскому обслуживанию исполнения бюджетов бюджетной системы Российской Федерации, и удостоверяющий центр Центрального банка Российской Федерации.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Аккредитованный удостоверяющий центр осуществляет создание и выдачу сертификата ключа проверки электронной подписи*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Перечень АУЦ, для целей приобретения сертификатов КЭП, определяется Обществом из числа аккредитованных центров, представленных в размещенном в сети Интернет актуальном перечне на сайте 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Минцифры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 России по 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адресу: 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 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https://digital.gov.ru/ru/activity/govservices/certification_authority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Владелец квалифицированного сертификата ключа проверки электронной подписи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Владелец КЭП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Лицо, которому в установленном действующим законодательством порядке выдан квалифицированный сертификат ключа проверки электронной подписи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Квалифицированная электронная подпись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КЭП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widowControl w:val="o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  <w:t xml:space="preserve">Электронная подпись, которая соответствует всем признакам неквалифицированной электронной подписи и следующим дополнительным признакам: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r>
          </w:p>
          <w:p>
            <w:pPr>
              <w:widowControl w:val="o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  <w:t xml:space="preserve">1) ключ проверки электронной подписи указан в квалифицированном сертификате;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  <w:t xml:space="preserve">2) для создания и проверки электронной подписи используются средства электронной подписи, имеющие подтверждение соответствия требованиям, установленным в соответствии Федеральным законом № 63-ФЗ «Об электронной подписи»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Квалифицированный сертификат ключа проверки электронной подписи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Сертификат КЭП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Сертификат ключа проверки электронной подписи, соответствующий требованиям, установленным Федеральным законом № 63-ФЗ «Об электронной подписи» и иными принимаемыми в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соответствии с ним нормативными правовыми актами, созданный аккредитованным удостоверяющим центром либо федеральным органом исполнительной власти, уполномоченным в сфере использования электронной подписи, и являющийся в связи с этим официальным документом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Ключ проверки электронной подписи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Открытый ключ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  <w:lang w:eastAsia="ru-RU"/>
              </w:rPr>
              <w:t xml:space="preserve">Уникальная последовательность символов, которая создается в паре с закрытым ключом электронной подписи с помощью криптографического алгоритма и используется для шифрования данных и проверки подлинности электронной подписи в электронном документе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Ключ электронной подписи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Закрытый ключ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Уникальная последовательность символов, предназначенная для создания электронной подписи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Компрометация ключа электронной подписи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Утрата доверия к тому факту, что используемые закрытые ключи электронной подписи неизвестны посторонним лицам.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Также под компрометацией ключа элек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тронной подписи понимается его утрата, хищение, разглашение, несанкционированное копирование, любые другие виды разглашения закрытого ключа ЭП, а также такие случаи, когда нельзя достоверно установить, что произошло с носителем, содержащим закрытый ключ ЭП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Направляющая Сторона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Сторона-1 или Сторона-2, направляющая электронный документ, подписанный ЭП по телекоммуникационным каналам связи другой Стороне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Неформализованный электронный документ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Электронный документ, исполненный в формате, не установленном законодательством РФ или в формате, самостоятельно разработанном Стороной настоящего Соглашения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Оператор электронного документооборота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Оператор ЭДО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Организация, соответствующая установленным действующим законодательством требованиям к оператору электр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онного документооборота и предоставляющая услуги по обмену открытой и конфиденциальной информацией по телекоммуникационным каналам связи в рамках обеспечения электронного документооборота между Компанией и третьими лицами с применением электронных подписей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Первичный учетный документ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Для целей настоящего документа: документ, которым оформляется факт хозяйственной операции для целей отражения в бухгалтерском и налоговом учете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Получающая Сторона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Сторона-1 или Сторона-2, получающая от направляющей Стороны электронный документ, подписанный ЭП, по телекоммуникационным каналам связи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Роуминг (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межоператорское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 взаимодействие)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Технология, обеспечивающая возможность обмена электронными документами между разными операторами электронного документооборота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Сертификат ключа проверки электронной подписи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Сертификат ЭП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Электронный документ или документ на бумажном носителе, выданные удостоверяющим центром и подтверждающий принадлежность ключа проверки электронной подписи Владельцу сертификата ключа проверки электронной подписи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Система электронного документооборота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СЭД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Совокупность ИТ-решений, разработанных в соответствии с требованиями законодательства РФ и внутренними нормативными документами Группы «Интер РАО» на базе АСУД, ТТС ЭА и других смежных корпоративных систем используемых во внешнем и внутреннем ЭДО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525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Уведомление об уточнении документа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tabs>
                <w:tab w:val="left" w:pos="720" w:leader="none"/>
              </w:tabs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  <w:t xml:space="preserve">УОУ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tabs>
                <w:tab w:val="left" w:pos="720" w:leader="none"/>
              </w:tabs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  <w:t xml:space="preserve">Электронный файл установленного формата, фиксирующий факт несогласия получающей Стороны с полученным электронным документом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r>
          </w:p>
        </w:tc>
      </w:tr>
      <w:tr>
        <w:trPr>
          <w:trHeight w:val="1427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Универсальный корректировочный документ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tabs>
                <w:tab w:val="left" w:pos="720" w:leader="none"/>
              </w:tabs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  <w:t xml:space="preserve">УКД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tabs>
                <w:tab w:val="left" w:pos="720" w:leader="none"/>
              </w:tabs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  <w:t xml:space="preserve">Электронный документ, применяемый при подтверждении факта согласования Сторонами соглаше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  <w:t xml:space="preserve">ния изменения (уведомления продавцом покупателя об изменении) стоимости договора в связи с изменением цены (тарифа) и (или) уточнения количества (объема) поставленных (отгруженных) товаров (выполненных работ, оказанных услуг), переданных имущественных прав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Универсальный передаточный документ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tabs>
                <w:tab w:val="left" w:pos="720" w:leader="none"/>
              </w:tabs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  <w:t xml:space="preserve">УПД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tabs>
                <w:tab w:val="left" w:pos="720" w:leader="none"/>
              </w:tabs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  <w:t xml:space="preserve">Электронный документ, применяемый для оформления фактов хозяйственной жизни и/или при расчетах по налогу на добавленную стоимость, формат которого утверждается Федеральной налоговой службой России, который может применяться в одной из следующих функций: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r>
          </w:p>
          <w:p>
            <w:pPr>
              <w:numPr>
                <w:numId w:val="39"/>
                <w:ilvl w:val="0"/>
              </w:numPr>
              <w:tabs>
                <w:tab w:val="left" w:pos="720" w:leader="none"/>
              </w:tabs>
              <w:spacing w:after="0" w:line="240" w:lineRule="auto"/>
              <w:ind w:left="0" w:firstLine="0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  <w:t xml:space="preserve">СЧФДОП - Счет-фактура, применяемый при расчетах по налогу на добавленную стоимость, и документ об отгрузке товара, выполнении работ, передаче имущественных прав, документ об оказании услуг;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r>
          </w:p>
          <w:p>
            <w:pPr>
              <w:numPr>
                <w:numId w:val="39"/>
                <w:ilvl w:val="0"/>
              </w:numPr>
              <w:tabs>
                <w:tab w:val="left" w:pos="720" w:leader="none"/>
              </w:tabs>
              <w:spacing w:after="0" w:line="240" w:lineRule="auto"/>
              <w:ind w:left="0" w:firstLine="0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  <w:t xml:space="preserve">СЧФ – Счет-фактура, применяемый при расчетах по налогу на добавленную стоимость;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r>
          </w:p>
          <w:p>
            <w:pPr>
              <w:numPr>
                <w:numId w:val="39"/>
                <w:ilvl w:val="0"/>
              </w:numPr>
              <w:tabs>
                <w:tab w:val="left" w:pos="720" w:leader="none"/>
              </w:tabs>
              <w:spacing w:after="0" w:line="240" w:lineRule="auto"/>
              <w:ind w:left="0" w:firstLine="0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  <w:t xml:space="preserve">ДОП – Документ об отгрузке товара, выполнении работ, передаче имущественных прав, документ об оказании услуг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Формализованный электронный документ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Электронный документ, исполненный в формате, установленном или рекомендованном законодательством РФ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Электронный документ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ЭД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Документированна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я информация, представленная в электронной форме, то есть в виде, пригодном для восприятия человеком с использованием электронных вычислительных машин, а также для передачи по информационно-телекоммуникационным сетям или обработки в информационных системах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Электронный документооборот  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ЭДО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Комплекс автоматизированных процессов, обеспечивающих движение электронных документов с момента их создания и/или получения до завершения их обработки, архивирования и/или уничтожения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  <w:tr>
        <w:trPr>
          <w:trHeight w:val="90"/>
        </w:trPr>
        <w:tblPrEx/>
        <w:tc>
          <w:tcPr>
            <w:tcW w:w="310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Электронная подпись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155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ЭП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  <w:tc>
          <w:tcPr>
            <w:tcW w:w="567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  <w:t xml:space="preserve">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применяется для определения лица, подписывающего информацию</w:t>
            </w:r>
            <w:r>
              <w:rPr>
                <w:rFonts w:ascii="Liberation Serif" w:hAnsi="Liberation Serif" w:eastAsia="Times New Roman" w:cs="Liberation Serif"/>
                <w:bCs/>
                <w:sz w:val="21"/>
                <w:szCs w:val="21"/>
                <w:lang w:eastAsia="ru-RU"/>
              </w:rPr>
            </w:r>
          </w:p>
        </w:tc>
      </w:tr>
    </w:tbl>
    <w:p>
      <w:pPr>
        <w:tabs>
          <w:tab w:val="left" w:pos="720" w:leader="none"/>
        </w:tabs>
        <w:spacing w:after="0" w:line="240" w:lineRule="auto"/>
        <w:ind w:firstLine="426"/>
        <w:jc w:val="center"/>
        <w:rPr>
          <w:rFonts w:ascii="Liberation Serif" w:hAnsi="Liberation Serif" w:eastAsia="Times New Roman" w:cs="Liberation Serif"/>
          <w:b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</w:r>
      <w:r>
        <w:rPr>
          <w:rFonts w:ascii="Liberation Serif" w:hAnsi="Liberation Serif" w:eastAsia="Times New Roman" w:cs="Liberation Serif"/>
          <w:b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center"/>
        <w:rPr>
          <w:rFonts w:ascii="Liberation Serif" w:hAnsi="Liberation Serif" w:eastAsia="Times New Roman" w:cs="Liberation Serif"/>
          <w:b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2.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ab/>
        <w:t xml:space="preserve">Предмет соглашения</w:t>
      </w:r>
      <w:r>
        <w:rPr>
          <w:rFonts w:ascii="Liberation Serif" w:hAnsi="Liberation Serif" w:eastAsia="Times New Roman" w:cs="Liberation Serif"/>
          <w:b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2.1.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Настоящим Соглашением Стороны устанавливают условия и порядок организации обмена электронными документами по телекоммуникационным каналам связи, подписанными КЭП в качестве аналога собственноручной подписи и печати организации.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2.2.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Стороны соглашаются признавать полученные (направленные) в рамках электронного документооборота электронные документы равнозначными аналогичным документам на бумажных носителях.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2.3.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Электронные документы, которыми обмениваются Стороны в рамках ЭДО, должны быть подписаны квалифицированной ЭП.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2.4.</w:t>
      </w:r>
      <w:r>
        <w:rPr>
          <w:rFonts w:ascii="Liberation Serif" w:hAnsi="Liberation Serif" w:eastAsia="Times New Roman" w:cs="Liberation Serif"/>
          <w:sz w:val="21"/>
          <w:szCs w:val="21"/>
        </w:rPr>
        <w:tab/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ЭДО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осуществляется Сторонами посредством обмена видами электронных документов, указанных в Приложении 1 к Соглашению.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2.4.1.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В случае если нор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мативно-правовые акты, указанные в Приложении 1 к Соглашению, будут отменены либо изменены, Стороны обязуются применять форматы формализованных документов, утвержденные действующими на соответствующую дату нормативно-правовыми актами Российской Федерации.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2.4.2.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В случае, если вступят в силу нормативно-правовые акты в отношении утверждения форматов документов, указанных в п. Приложения 1 к Соглашению, такие документы должны формироваться с учетом вступивших в силу нормативно-правовых актов.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2.5.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Документы, не перечисленные в Приложении 1 к Соглашению, переданные по электронным каналам связи,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не являются согласованными к переходу в ЭДО, даже если они отвечают всем требованиям, предъявляемым к ЭД и подписаны КЭП. В дальнейшем ни одна из Сторон не вправе ссылаться на указанные документы в качестве подтверждения исполнения ими своих обязательств.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center"/>
        <w:rPr>
          <w:rFonts w:ascii="Liberation Serif" w:hAnsi="Liberation Serif" w:eastAsia="Times New Roman" w:cs="Liberation Serif"/>
          <w:b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3.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ab/>
        <w:t xml:space="preserve">Общие принципы электронного документооборота и применения электронной подписи</w:t>
      </w:r>
      <w:r>
        <w:rPr>
          <w:rFonts w:ascii="Liberation Serif" w:hAnsi="Liberation Serif" w:eastAsia="Times New Roman" w:cs="Liberation Serif"/>
          <w:b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3.1.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Электронный докуме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нтооборот Стороны осуществляют в соответствии с нормами законодательства Российской Федерации, условиями настоящего Соглашения и иных соглашений и договоров, заключенных между Сторонами, а также с учетом положений регламентирующих документов Оператора ЭДО.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3.2.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При выставлении и получении УПД СЧФ / СЧФ ДОП в электронном виде Стороны руководствуются утвержденными нормативно-правовыми актами Российской Федерации, действующими на соответствующую дату.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3.3.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Квалифицированные сертификаты ключей проверки ЭП приобретаются Сторонами в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АУЦ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, ключи ЭП создаются сертифицированными Федеральной службой безопасности Российской Федерации средствами ЭП Сторон или с привлечением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АУЦ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, выпустившего квалифицированный сертификат ЭП.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3.4.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Документы формируются,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передаются и принимаются Сторонами в электронном виде без их последующего обязательного представления на бумажном носителе. Электронный документооборот между Сторонами не отменяет возможности использования иных способов обмена документами между Сторонами.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Обмен документами на бумажных носителях используется Сторонами лишь в случаях, указанных в п. 3.11, 3.20, 5.7 и 6.2.1 настоящего Соглашения.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3.5.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Стороны признают, что ответственность за обеспечение конфиденциальности, целостности и доступности информации с момента передачи электронного документа Оператору ЭДО любой из Сторон несет Оператор ЭДО/Операторы ЭДО.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3.6.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Стороны признают, что использование средств криптографической защиты информации достаточно для подтверждения того, что: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pStyle w:val="765"/>
        <w:numPr>
          <w:numId w:val="38"/>
          <w:ilvl w:val="0"/>
        </w:numPr>
        <w:tabs>
          <w:tab w:val="left" w:pos="720" w:leader="none"/>
          <w:tab w:val="left" w:pos="851" w:leader="none"/>
        </w:tabs>
        <w:spacing w:after="0" w:line="240" w:lineRule="auto"/>
        <w:ind w:left="0" w:firstLine="567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электронный документ исходит от Стороны, его передавшей (подтверждение авторства документа);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pStyle w:val="765"/>
        <w:numPr>
          <w:numId w:val="38"/>
          <w:ilvl w:val="0"/>
        </w:numPr>
        <w:tabs>
          <w:tab w:val="left" w:pos="720" w:leader="none"/>
          <w:tab w:val="left" w:pos="851" w:leader="none"/>
        </w:tabs>
        <w:spacing w:after="0" w:line="240" w:lineRule="auto"/>
        <w:ind w:left="0" w:firstLine="567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электронный документ не претерпел изменений при информационном взаимодействии Сторон (подтверждение целостности и подлинности документа) при положительном результате проверки ЭП.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3.7.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Датой направления электронного документа является дата его поступления Оператору ЭДО направляющей Стороной, указанная в протоколе передачи документа. Электронные докум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енты, направленные в рамках настоящего Соглашения, считаются полученными принимающей Стороной с даты присвоения им соответствующего статуса в системе Оператора ЭДО, подтверждающего их доставку принимающей Стороне, указанной в протоколе передачи документа.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3.8.</w:t>
      </w:r>
      <w:r>
        <w:rPr>
          <w:rFonts w:ascii="Liberation Serif" w:hAnsi="Liberation Serif" w:eastAsia="Times New Roman" w:cs="Liberation Serif"/>
          <w:sz w:val="21"/>
          <w:szCs w:val="21"/>
        </w:rPr>
        <w:tab/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Дата подписания Стороной электронного документа определяется на основании информации, указанной Оператором ЭДО в протоколе передачи документа. В случае отсутствия протокола передачи документа у Оператора ЭДО датой подписания признается д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ата подписания электронного документа второй Стороной, зафиксированная Оператором ЭДО. Стороны в нумерации договоров используют регистрационный номер договора, присваиваемый СЭД Группы Интер РАО.  Регистрационный номер договора также указывается во всех до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кументах, предусмотренных в рамках исполнения договора. Если каждая из Сторон имеет свои правила формирования номера договора, необходимые для их соблюдения, то допускается применение двойной нумерации (Стороны-1 и Стороны-2). В этом случае регистрационный</w:t>
      </w:r>
      <w:r>
        <w:rPr>
          <w:rFonts w:ascii="Liberation Serif" w:hAnsi="Liberation Serif" w:eastAsia="Times New Roman" w:cs="Liberation Serif"/>
          <w:sz w:val="21"/>
          <w:szCs w:val="21"/>
          <w:u w:val="single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номер договора будет определен следующим образом: номер договора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Поставщика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/регистрационный номер договора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Покупателя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9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Стороны обязаны незамедлительно информировать друг друга о невозможности обмена электронными документами, подписанными ЭП, в частности в следующих случаях: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недоступность системы Оператора ЭДО;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поврежденность или недоступность каналов связи;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сбой учетной системы Сторон;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истечение срока действия квалифицированного сертификата ЭП (до момента получения квалифицированного сертификата ЭП с новым сроком действия);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иные случаи, не позволяющие производить обмен электронными документами.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0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В период, когда обмен электронными документами невозможен, Стороны производят обмен документами на бумажных носителях, подписанными уполномоченными представителями Сторон собственноручной подписью.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Стороны обязаны незамедлительно информировать друг друга о прекращении обстоятельств, обусловливающих невозможность обмена электронными документами, после чего возобновить обмен электронными документами.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2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Информ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ирование Сторонами о невозможности обмена электронными документами, а также о прекращении обстоятельств, обусловливающих невозможность обмена электронными документами, осуществляется путем направления уведомления на адреса электронной почты, согласованные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Сторонами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в Договоре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3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В случае, если дата составления первичного учетного документа отличается от даты совершения факта хозяйственной жизни, первичный учетный документ должен содержать дату совершения факта хозяйственной жизни.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4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  <w:tab/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При обмене электронными документами Стороны обязуются заполнять в соответствующих полях и/или сопровождающих документ мета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данных адрес электронной почты П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олучателя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, указанный в Договоре,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документа у Принимающей Стороны, регистрационный номер договора при отправке всех документов, относящихся к конкретному договору, исходя из требований пункта 3.15 настоящего Соглашения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5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При оформлении документов через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web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-интерфейс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Контур.Диадок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данные поля заполняются следующим образом: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для формализованных документов, а также для неформализованных дополнительных соглашений и ценовых листов данные по договору указываются в поле «основание»,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для иных неформализованных документов данные по договору указываются в свободном поле для комментариев,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для всех видов документов адрес электронной почты получателя указывается в свободном поле для комментариев.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6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При оформлении документов иным способом подход к заполнению данных полей определяется Сторонами дополнительно.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7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В случае повторного составления электронного документа или составления электронного документа на отмененную </w:t>
      </w:r>
      <w:r>
        <w:rPr>
          <w:rFonts w:ascii="Liberation Serif" w:hAnsi="Liberation Serif" w:cs="Liberation Serif"/>
          <w:sz w:val="21"/>
          <w:szCs w:val="21"/>
        </w:rPr>
        <w:t xml:space="preserve">Сторонами (Стороной) операцию (выставление счета и т.п.)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Стороны применяют аннулирование документов, за исключением случаев корректировки или исправления документов, предусмотренных действующим законодательством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(например, счетов-фактур).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Также процесс аннулирования документов не применяется в случаях изменения, прекращения действия договоров и соглашений.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8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Процесс аннулирования электронных документов через Оператора ЭДО предполагает следующий порядок действий сторон: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принимающая/направляющая Сторона направляет второй Стороне предложение об аннулировании документа с указанием причины аннулирования документа;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если вторая Сторона согласна аннулировать документ и признает документ недействительным, то под соглашением необходима подпись второй Стороны. Когда вторая Сторона подпишет соглашение, аннулируемый документ потеряет юридическую силу.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если вторая Сторона не согласна с предложением об аннулировании, то она имеет право отказать в подписи соглашения. В этом случае электронный документ сохраняет свою юридическую силу.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19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В случае, если у Ст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орон нет возможности подписать соглашение об аннулировании в электронном виде через Оператора ЭДО, Стороны могут оформить данное соглашение на бумажном носителе в свободной форме, с указанием реквизитов аннулированного документа, причины его аннулирования.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3.2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0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В случае, когда электронный документ еще не подписан получающей Стороной, направляющая Сторона может аннулировать электронный документ в одностороннем порядке.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3.2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Подтверждение аннулирования/отказ от аннулирования должно осуществляться в срок не более 3 рабочих дней с момента получения второй Стороной предложения на аннулирование.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center"/>
        <w:rPr>
          <w:rFonts w:ascii="Liberation Serif" w:hAnsi="Liberation Serif" w:eastAsia="Times New Roman" w:cs="Liberation Serif"/>
          <w:b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4.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ab/>
        <w:t xml:space="preserve">Условия признания электронных документов равнозначными документам на бумажном носителе</w:t>
      </w:r>
      <w:r>
        <w:rPr>
          <w:rFonts w:ascii="Liberation Serif" w:hAnsi="Liberation Serif" w:eastAsia="Times New Roman" w:cs="Liberation Serif"/>
          <w:b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4.1.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Подписанный КЭП электронный документ признаетс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я равнозначным аналогичному подписанному собственноручно документу на бумажном носителе и порождает для Сторон юридические последствия в виде установления, изменения и прекращения взаимных прав и обязанностей при одновременном соблюдении следующих условий: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квалифицированный сертификат ключа проверки ЭП создан и выдан аккредитованным удостоверяющим центром, аккредитация которого действительна на момент выдачи указанного сертификата;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квалифицированный сертификат дей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ствителен на момент подписания электронного документа (при наличии достоверной информации о моменте подписания электронного документа) или на день проверки действительности указанного сертификата, если момент подписания электронного документа не определен;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имеется полож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ительный результат проверки принадлежности владельцу квалифицированного сертификата квалифицированной электронной подписи, с помощью которой подписан электронный документ, и подтверждено отсутствие изменений, внесенных в этот документ после его подписания.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4.2.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При соблюд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ении условий, приведенных в п. 4.1 настоящего Соглашения, электронный документ должен приниматься Сторонами к учету и может использоваться в качестве доказательства в судебных разбирательствах, представляться в государственные органы по запросам последних.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4.3.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Подписание одного электронного документа двумя Сторонами осуществляется путем последовательного подписания данного электронного документа каждой из Сторон.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center"/>
        <w:rPr>
          <w:rFonts w:ascii="Liberation Serif" w:hAnsi="Liberation Serif" w:eastAsia="Times New Roman" w:cs="Liberation Serif"/>
          <w:b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5.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ab/>
        <w:t xml:space="preserve">Взаимодействие с операторами электронного документооборота</w:t>
      </w:r>
      <w:r>
        <w:rPr>
          <w:rFonts w:ascii="Liberation Serif" w:hAnsi="Liberation Serif" w:eastAsia="Times New Roman" w:cs="Liberation Serif"/>
          <w:b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5.1.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Оператором электронного документооборота [Стороны-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2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] / [Сторон] является АО «П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Ф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«СКБ Контур» программа для ЭВМ «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Диадок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».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5.2.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До начала осущест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вления обмена электронными документами каждая из Сторон обязуется в установленном порядке обеспечить подключение (обеспечить наличие подключения) к системе электронного документооборота Оператора, в том числе заключить соответствующие договоры, оформить и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представить Оператору заявление об участии в электронном документообороте, получить у Оператора идентификаторы участника обмена, реквизиты доступа и другие необходимые данные, уведомить об этом другую Сторону (с указанием идентификатора участника обмена).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5.3.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По результатам тестового обмена, проверки работоспособности и/или совместимости своих технических сред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ств, Стороны подтверждают факт проведения успешного тестового обмена различными электронными документами, подтверждающего устойчивую работоспособность и/или совместимость технических средств Сторон, в том числе возможность передачи данных в соответствии с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пп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3.15 - 3.18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настоящего Соглашения, возможность передачи применяемых форматов.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5.4.</w:t>
      </w:r>
      <w:r>
        <w:rPr>
          <w:rFonts w:ascii="Liberation Serif" w:hAnsi="Liberation Serif" w:eastAsia="Times New Roman" w:cs="Liberation Serif"/>
          <w:sz w:val="21"/>
          <w:szCs w:val="21"/>
        </w:rPr>
        <w:tab/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Сторона-2 может использова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ть услуги Оператора, отличного от указанного в п. 5.1. В этом случае обмен электронными документами между Сторонами осуществляется с использованием роуминга – технологии, обеспечивающей возможность обмена электронными документами между разными Операторами.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5.5.</w:t>
      </w:r>
      <w:r>
        <w:rPr>
          <w:rFonts w:ascii="Liberation Serif" w:hAnsi="Liberation Serif" w:eastAsia="Times New Roman" w:cs="Liberation Serif"/>
          <w:sz w:val="21"/>
          <w:szCs w:val="21"/>
        </w:rPr>
        <w:tab/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В случае, если Сторона-2 пользуется услугами Оператора, отличного от указанного в п.5.1, то такой Оператор должен соответствовать следующим критериям: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между Оператором Стороны-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2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, указанным в п. 5.1 настоящего Соглашения, и Оператором Стороны-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обеспечено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роуминговое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взаимодействие;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•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оператором Стороны-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2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, указанным в п. 5.1 настоящего Соглашения, и Оператором Стороны-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подтверждена техническая возможность для приема и передачи всех документов, перечень и форматы которых определены в п. 2.4. настоящего Соглашения.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5.6.</w:t>
      </w:r>
      <w:r>
        <w:rPr>
          <w:rFonts w:ascii="Liberation Serif" w:hAnsi="Liberation Serif" w:eastAsia="Times New Roman" w:cs="Liberation Serif"/>
          <w:sz w:val="21"/>
          <w:szCs w:val="21"/>
        </w:rPr>
        <w:tab/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Сторона-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1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обязуется не позднее [15 календарных дней] после подписания настоящего Соглаше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ния и в дальнейшем – по мере необходимости, самостоятельно получать в аккредитованном удостоверяющем центре квалифицированные сертификаты ключа проверки ЭП, и обеспечить наличие действующих сертификатов ЭП в течение всего срока действия данного Соглашения.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5.7.</w:t>
      </w:r>
      <w:r>
        <w:rPr>
          <w:rFonts w:ascii="Liberation Serif" w:hAnsi="Liberation Serif" w:eastAsia="Times New Roman" w:cs="Liberation Serif"/>
          <w:sz w:val="21"/>
          <w:szCs w:val="21"/>
        </w:rPr>
        <w:tab/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В случае прекращения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роумингового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взаимодействия между Операт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орами Сторон, равно как и в случае невозможности обмена электронными документами вследствие прекращения таких отношений, Стороны осуществляют обмен документами на бумажном носителе с подписанием их собственноручной подписью и печатью, при ее необходимости.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5.8.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В случае, если Сторона намеревается сменить Оператора, услугами которого она пользуется в рамках настоящего Соглашения,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такая Сторона обязана не позднее чем за 15 календарных дней до начала обмена электронными документами посредством нового Оператора предоставить другой Стороне документы и сведения, предусмотренные настоящим Соглашением, а также осуществить тестовый обмен.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center"/>
        <w:rPr>
          <w:rFonts w:ascii="Liberation Serif" w:hAnsi="Liberation Serif" w:eastAsia="Times New Roman" w:cs="Liberation Serif"/>
          <w:b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6.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ab/>
        <w:t xml:space="preserve">Права и обязанности сторон</w:t>
      </w:r>
      <w:r>
        <w:rPr>
          <w:rFonts w:ascii="Liberation Serif" w:hAnsi="Liberation Serif" w:eastAsia="Times New Roman" w:cs="Liberation Serif"/>
          <w:b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6.1.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Стороны обязуются: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6.1.1.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Обеспечить укомплектованность необходимыми программно-техническими средствами для организации работы с электронными документами, включая создание, изменение и обработку, а также обеспечить взаимодействие с системой Оператора ЭДО.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6.1.2.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Назначить лиц, ответственных за работу с программно-техническими средствами в соответствии с п. 6.1.1, а также организовать внутренний режим функционирования ра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бочих мест ответственных лиц таким образом, чтобы исключить возможность взаимодействия с системой Оператора ЭДО лицами, не имеющими допуска к работе с ней, а также исключить возможность использования ключей ЭП и средств ЭП не уполномоченными на это лицами.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6.1.3.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Своевременно производить плановый выпуск ключей ЭП и соответствующих квалифицированных сертификатов ключей проверки ЭП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, а также машиночитаемых доверенностей, выпускаемых к КЭП физического лица, уполномоченного Стороной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6.1.4.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Принимать на себя все риски, связанные с работоспособностью своего оборудования и каналов связи.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6.1.5.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Не предпринимать действий, способных нанести ущерб другой Стороне вследствие использования ЭДО.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6.1.6.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Обмениваться электронными документами, не содержащими компьютерных вирусов и (или) иных вредоносных программ.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6.2.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Стороны вправе: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6.2.1.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В случае возникновения обстоятельств непреодолимой силы, повлекших нарушение установленного настоящим Соглашением порядка выставления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документов в электронном виде, использовать бумажный документооборот, при этом исполнение обязательств и оплата производится в порядке и сроки, установленные соответствующим договором, в рамках исполнения которого происходит обмен электронными документами.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6.2.2.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Ограничивать и приостанавливать исп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ользование ЭДО в случаях ненадлежащего исполнения другой Стороной Соглашения с уведомлением не позднее дня приостановления и по требованию компетентных государственных органов – в случаях и в порядке, предусмотренных законодательством Российской Федерации.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993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6.2.3.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Остановить работу Системы ЭДО по техническим причинам до восстановления ее работоспособности.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center"/>
        <w:rPr>
          <w:rFonts w:ascii="Liberation Serif" w:hAnsi="Liberation Serif" w:eastAsia="Times New Roman" w:cs="Liberation Serif"/>
          <w:b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7.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ab/>
        <w:t xml:space="preserve">Ответственность сторон и риски</w:t>
      </w:r>
      <w:r>
        <w:rPr>
          <w:rFonts w:ascii="Liberation Serif" w:hAnsi="Liberation Serif" w:eastAsia="Times New Roman" w:cs="Liberation Serif"/>
          <w:b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7.1.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Стороны несут ответственность за содержание любого электронного документа, подписанного КЭП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,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при условии подтверждения подлинности КЭП в соответствии с разделом 4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Соглашения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7.2.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Стороны несут ответственность за конфиденциальность и порядок использования ключей ЭП.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7.3.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Сторона, допустившая компрометацию ключа ЭП, несет ответственность за электронные документы, подписа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нные с использованием скомпрометированного ключа ЭП, до момента официального уведомления об аннулировании (отзыве) соответствующего квалифицированного сертификата ЭП и конкретных документов, подписанных указанным ключом ЭП. Уполномоченное лицо каждой из Ст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орон, наделенное правами использования ЭП, несет полную ответственность за любые действия, совершаемые с использованием ЭП, включая действия, совершаемые другими лицами, если ключ ЭП стал доступен другим лицам по вине уполномоченного лица каждой из Сторон.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7.4.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Сторона, несвоевременно сообщившая о случаях утраты или компрометации ключа ЭП, несет связанные с этим риски.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7.5.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Стороны могут быть освобождены от ответственности за неисполнение своих обязательств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по Соглашению при наступлении обстоятельств непреодолимой силы, под которыми подразумеваются внешние, чрезвычайные и непредотвратимые при данных обстоятельствах события, которые не существовали во время подписания Соглашения и возникли помимо воли Сторон.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7.6.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Сторона, подвергшаяся действию обстоятельств непреодолимой силы, должна в течени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е [5 (пяти)] календарных дней уведомить другую Сторону о возникновении и возможной продолжительности действия обстоятельств непреодолимой силы. Сторона, своевременно не сообщившая о наступлении вышеупомянутых обстоятельств, лишается права ссылаться на них.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7.7.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Факт возникновения обстоятельств непреодолимой силы должен быть документально подтвержден компетентным органом.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7.8.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В случае невозможности полного или ч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астичного исполнения обязательств вследствие действия обстоятельств непреодолимой силы, фактическая или возможная продолжительность которых составит один месяц или более, Сторона, исполнение обязательств которой не затронуто действием непреодолимой силы, б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удет иметь право расторгнуть Соглашение полностью или частично без обязательств по возмещению убытков, связанных с его расторжением. Стороны несут ответственность по настоящему Соглашению в соответствии с действующим законодательством Российской Федерации.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pStyle w:val="765"/>
        <w:numPr>
          <w:numId w:val="40"/>
          <w:ilvl w:val="0"/>
        </w:numPr>
        <w:tabs>
          <w:tab w:val="left" w:pos="720" w:leader="none"/>
        </w:tabs>
        <w:spacing w:after="0" w:line="240" w:lineRule="auto"/>
        <w:jc w:val="center"/>
        <w:rPr>
          <w:rFonts w:ascii="Liberation Serif" w:hAnsi="Liberation Serif" w:eastAsia="Times New Roman" w:cs="Liberation Serif"/>
          <w:b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Действие соглашения и его прекращение</w:t>
      </w:r>
      <w:r>
        <w:rPr>
          <w:rFonts w:ascii="Liberation Serif" w:hAnsi="Liberation Serif" w:eastAsia="Times New Roman" w:cs="Liberation Serif"/>
          <w:b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i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8.1.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Настоящее Соглашение вступает в силу с даты его подписания Сторонами и действует до полного прекращения обязательств по Договору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i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i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8.2.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Настоящее Соглашение составлено и подписано в 2 (двух) подлинных идентичных экземплярах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,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имеющих одинаковую юридическую силу, – по одному для каждой из Сторон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</w:t>
      </w:r>
      <w:r>
        <w:rPr>
          <w:rFonts w:ascii="Liberation Serif" w:hAnsi="Liberation Serif" w:eastAsia="Times New Roman" w:cs="Liberation Serif"/>
          <w:i/>
          <w:sz w:val="21"/>
          <w:szCs w:val="21"/>
        </w:rPr>
        <w:t xml:space="preserve">[</w:t>
      </w:r>
      <w:r>
        <w:rPr>
          <w:rFonts w:ascii="Liberation Serif" w:hAnsi="Liberation Serif" w:eastAsia="Times New Roman" w:cs="Liberation Serif"/>
          <w:b/>
          <w:sz w:val="21"/>
          <w:szCs w:val="21"/>
        </w:rPr>
        <w:t xml:space="preserve">либо</w:t>
      </w:r>
      <w:r>
        <w:rPr>
          <w:rFonts w:ascii="Liberation Serif" w:hAnsi="Liberation Serif" w:eastAsia="Times New Roman" w:cs="Liberation Serif"/>
          <w:i/>
          <w:sz w:val="21"/>
          <w:szCs w:val="21"/>
        </w:rPr>
        <w:t xml:space="preserve"> в электронной форме с использованием квалифицированной электронной подписи]</w:t>
      </w:r>
      <w:r>
        <w:rPr>
          <w:rFonts w:ascii="Liberation Serif" w:hAnsi="Liberation Serif" w:eastAsia="Times New Roman" w:cs="Liberation Serif"/>
          <w:i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i/>
          <w:sz w:val="21"/>
          <w:szCs w:val="21"/>
        </w:rPr>
      </w:r>
    </w:p>
    <w:p>
      <w:pPr>
        <w:tabs>
          <w:tab w:val="left" w:pos="720" w:leader="none"/>
          <w:tab w:val="left" w:pos="851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8.3.</w:t>
      </w:r>
      <w:r>
        <w:rPr>
          <w:rFonts w:ascii="Liberation Serif" w:hAnsi="Liberation Serif" w:eastAsia="Times New Roman" w:cs="Liberation Serif"/>
          <w:sz w:val="21"/>
          <w:szCs w:val="21"/>
        </w:rPr>
        <w:tab/>
        <w:t xml:space="preserve">Любая из Сторон имеет право в одностороннем внесудебном порядке отказаться от исполнения настоящего Соглашения, письменно уведомив об этом другую Сторону не менее чем [за 1 (один) календарный месяц] до даты расторжения Соглашения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в соответствии с порядком обмена документами, установленным настоящим Соглашением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center"/>
        <w:rPr>
          <w:rFonts w:ascii="Liberation Serif" w:hAnsi="Liberation Serif" w:cs="Liberation Serif"/>
          <w:b/>
          <w:sz w:val="21"/>
          <w:szCs w:val="21"/>
        </w:rPr>
      </w:pPr>
      <w:r>
        <w:rPr>
          <w:rFonts w:ascii="Liberation Serif" w:hAnsi="Liberation Serif" w:eastAsia="Liberation Serif" w:cs="Liberation Serif"/>
          <w:b/>
          <w:sz w:val="21"/>
          <w:szCs w:val="21"/>
        </w:rPr>
        <w:t xml:space="preserve">9.</w:t>
      </w:r>
      <w:r>
        <w:rPr>
          <w:rFonts w:ascii="Liberation Serif" w:hAnsi="Liberation Serif" w:eastAsia="Liberation Serif" w:cs="Liberation Serif"/>
          <w:b/>
          <w:sz w:val="21"/>
          <w:szCs w:val="21"/>
        </w:rPr>
        <w:tab/>
        <w:t xml:space="preserve">Реквизиты и подписи сторон</w:t>
      </w:r>
      <w:r>
        <w:rPr>
          <w:rFonts w:ascii="Liberation Serif" w:hAnsi="Liberation Serif" w:cs="Liberation Serif"/>
          <w:b/>
          <w:sz w:val="21"/>
          <w:szCs w:val="21"/>
        </w:rPr>
      </w:r>
    </w:p>
    <w:tbl>
      <w:tblPr>
        <w:tblW w:w="10760" w:type="dxa"/>
        <w:tblLook w:val="0000" w:firstRow="0" w:lastRow="0" w:firstColumn="0" w:lastColumn="0" w:noHBand="0" w:noVBand="0"/>
      </w:tblPr>
      <w:tblGrid>
        <w:gridCol w:w="5245"/>
        <w:gridCol w:w="135"/>
        <w:gridCol w:w="5110"/>
        <w:gridCol w:w="270"/>
      </w:tblGrid>
      <w:tr>
        <w:trPr>
          <w:trHeight w:val="247"/>
        </w:trPr>
        <w:tblPrEx/>
        <w:tc>
          <w:tcPr>
            <w:tcW w:w="5380" w:type="dxa"/>
            <w:gridSpan w:val="2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b/>
                <w:bCs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b/>
                <w:sz w:val="21"/>
                <w:szCs w:val="21"/>
                <w:lang w:eastAsia="ru-RU"/>
              </w:rPr>
              <w:t xml:space="preserve">Сторона-</w:t>
            </w:r>
            <w:r>
              <w:rPr>
                <w:rFonts w:ascii="Liberation Serif" w:hAnsi="Liberation Serif" w:eastAsia="Liberation Serif" w:cs="Liberation Serif"/>
                <w:b/>
                <w:sz w:val="21"/>
                <w:szCs w:val="21"/>
                <w:lang w:eastAsia="ru-RU"/>
              </w:rPr>
              <w:t xml:space="preserve">2</w:t>
            </w:r>
            <w:r>
              <w:rPr>
                <w:rFonts w:ascii="Liberation Serif" w:hAnsi="Liberation Serif" w:eastAsia="Liberation Serif" w:cs="Liberation Serif"/>
                <w:b/>
                <w:sz w:val="21"/>
                <w:szCs w:val="21"/>
                <w:lang w:eastAsia="ru-RU"/>
              </w:rPr>
              <w:t xml:space="preserve">:</w:t>
            </w:r>
            <w:r>
              <w:rPr>
                <w:rFonts w:ascii="Liberation Serif" w:hAnsi="Liberation Serif" w:cs="Liberation Serif"/>
                <w:b/>
                <w:bCs/>
                <w:sz w:val="21"/>
                <w:szCs w:val="21"/>
              </w:rPr>
            </w:r>
          </w:p>
        </w:tc>
        <w:tc>
          <w:tcPr>
            <w:tcW w:w="5380" w:type="dxa"/>
            <w:gridSpan w:val="2"/>
            <w:noWrap w:val="false"/>
            <w:textDirection w:val="lrTb"/>
          </w:tcPr>
          <w:p>
            <w:pPr>
              <w:spacing w:after="0" w:line="240" w:lineRule="auto"/>
              <w:ind w:left="184"/>
              <w:rPr>
                <w:rFonts w:ascii="Liberation Serif" w:hAnsi="Liberation Serif" w:eastAsia="Liberation Serif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Liberation Serif" w:cs="Liberation Serif"/>
                <w:b/>
                <w:sz w:val="21"/>
                <w:szCs w:val="21"/>
                <w:lang w:eastAsia="ru-RU"/>
              </w:rPr>
              <w:t xml:space="preserve">Сторона-</w:t>
            </w:r>
            <w:r>
              <w:rPr>
                <w:rFonts w:ascii="Liberation Serif" w:hAnsi="Liberation Serif" w:eastAsia="Liberation Serif" w:cs="Liberation Serif"/>
                <w:b/>
                <w:sz w:val="21"/>
                <w:szCs w:val="21"/>
                <w:lang w:eastAsia="ru-RU"/>
              </w:rPr>
              <w:t xml:space="preserve">1</w:t>
            </w:r>
            <w:r>
              <w:rPr>
                <w:rFonts w:ascii="Liberation Serif" w:hAnsi="Liberation Serif" w:eastAsia="Liberation Serif" w:cs="Liberation Serif"/>
                <w:b/>
                <w:sz w:val="21"/>
                <w:szCs w:val="21"/>
                <w:lang w:eastAsia="ru-RU"/>
              </w:rPr>
              <w:t xml:space="preserve">:</w:t>
            </w:r>
            <w:r>
              <w:rPr>
                <w:rFonts w:ascii="Liberation Serif" w:hAnsi="Liberation Serif" w:eastAsia="Liberation Serif" w:cs="Liberation Serif"/>
                <w:b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ind w:left="184"/>
              <w:rPr>
                <w:rFonts w:ascii="Liberation Serif" w:hAnsi="Liberation Serif" w:cs="Liberation Serif"/>
                <w:b/>
                <w:bCs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b/>
                <w:bCs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b/>
                <w:bCs/>
                <w:sz w:val="21"/>
                <w:szCs w:val="21"/>
              </w:rPr>
            </w:r>
          </w:p>
        </w:tc>
      </w:tr>
      <w:tr>
        <w:trPr>
          <w:gridAfter w:val="1"/>
          <w:trHeight w:val="4197"/>
        </w:trPr>
        <w:tblPrEx/>
        <w:tc>
          <w:tcPr>
            <w:tcW w:w="5245" w:type="dxa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________ «___________________ »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______________________________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ОКПО 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Юр.адрес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 (индекс), __________________________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Почтовый адрес (индекс) ____________________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Телефон _________Факс 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val="en-US" w:eastAsia="ru-RU"/>
              </w:rPr>
              <w:t xml:space="preserve">e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-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val="en-US" w:eastAsia="ru-RU"/>
              </w:rPr>
              <w:t xml:space="preserve">mail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ОГРН _____________________________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ИНН ________ КПП ________ (</w:t>
            </w:r>
            <w:r>
              <w:rPr>
                <w:rFonts w:ascii="Liberation Serif" w:hAnsi="Liberation Serif" w:eastAsia="Times New Roman" w:cs="Liberation Serif"/>
                <w:i/>
                <w:sz w:val="21"/>
                <w:szCs w:val="21"/>
                <w:lang w:eastAsia="ru-RU"/>
              </w:rPr>
              <w:t xml:space="preserve">для счетов-фактур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)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КПП ________________ (</w:t>
            </w:r>
            <w:r>
              <w:rPr>
                <w:rFonts w:ascii="Liberation Serif" w:hAnsi="Liberation Serif" w:eastAsia="Times New Roman" w:cs="Liberation Serif"/>
                <w:i/>
                <w:sz w:val="21"/>
                <w:szCs w:val="21"/>
                <w:lang w:eastAsia="ru-RU"/>
              </w:rPr>
              <w:t xml:space="preserve">для первичных документов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)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ОКПО ____________ </w:t>
            </w:r>
            <w:r>
              <w:rPr>
                <w:rFonts w:ascii="Liberation Serif" w:hAnsi="Liberation Serif" w:eastAsia="Times New Roman" w:cs="Liberation Serif"/>
                <w:i/>
                <w:sz w:val="21"/>
                <w:szCs w:val="21"/>
                <w:lang w:eastAsia="ru-RU"/>
              </w:rPr>
              <w:t xml:space="preserve">(филиала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)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ОКАТО _________ ОКОНХ 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  <w:t xml:space="preserve">Банковские реквизиты: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Р/с _________________ в __________________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К/с ________________ БИК ______________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5245" w:type="dxa"/>
            <w:gridSpan w:val="2"/>
            <w:noWrap w:val="false"/>
            <w:textDirection w:val="lrTb"/>
          </w:tcPr>
          <w:p>
            <w:pPr>
              <w:widowControl w:val="off"/>
              <w:spacing w:after="0" w:line="240" w:lineRule="auto"/>
              <w:rPr>
                <w:rFonts w:ascii="Liberation Serif" w:hAnsi="Liberation Serif" w:eastAsia="Times New Roman" w:cs="Liberation Serif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/>
                <w:bCs/>
                <w:color w:val="000000"/>
                <w:sz w:val="21"/>
                <w:szCs w:val="21"/>
              </w:rPr>
              <w:t xml:space="preserve">Акционерное общество «</w:t>
            </w:r>
            <w:r>
              <w:rPr>
                <w:rFonts w:ascii="Liberation Serif" w:hAnsi="Liberation Serif" w:eastAsia="Times New Roman" w:cs="Liberation Serif"/>
                <w:b/>
                <w:bCs/>
                <w:color w:val="000000"/>
                <w:sz w:val="21"/>
                <w:szCs w:val="21"/>
              </w:rPr>
              <w:t xml:space="preserve">ТомскРТС</w:t>
            </w:r>
            <w:r>
              <w:rPr>
                <w:rFonts w:ascii="Liberation Serif" w:hAnsi="Liberation Serif" w:eastAsia="Times New Roman" w:cs="Liberation Serif"/>
                <w:b/>
                <w:bCs/>
                <w:color w:val="000000"/>
                <w:sz w:val="21"/>
                <w:szCs w:val="21"/>
              </w:rPr>
              <w:t xml:space="preserve">»</w:t>
            </w:r>
            <w:r>
              <w:rPr>
                <w:rFonts w:ascii="Liberation Serif" w:hAnsi="Liberation Serif" w:eastAsia="Times New Roman" w:cs="Liberation Serif"/>
                <w:b/>
                <w:bCs/>
                <w:color w:val="000000"/>
                <w:sz w:val="21"/>
                <w:szCs w:val="21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  <w:lang w:eastAsia="ru-RU"/>
              </w:rPr>
              <w:t xml:space="preserve">Адрес (место нахождения):</w:t>
            </w: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634050, г. Томск, пер. 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Нахановича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, д. 4А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ИНН 7017351521, КПП 701701001,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ОГРН 1145543013880, 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Р/с 407 028 105 000 000 198 22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Банк ГПБ (АО)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к/с 301 018 102 000 000 00 823 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БИК 044525823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Тел.: ____________________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Телефакс: ___________________________________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hd w:val="clear" w:color="auto" w:fill="ffffff"/>
              <w:spacing w:after="0" w:line="240" w:lineRule="auto"/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val="en-US" w:eastAsia="ru-RU"/>
              </w:rPr>
              <w:t xml:space="preserve">e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-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val="en-US" w:eastAsia="ru-RU"/>
              </w:rPr>
              <w:t xml:space="preserve">mail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: _________________________</w:t>
            </w: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widowControl w:val="off"/>
              <w:spacing w:after="0" w:line="240" w:lineRule="auto"/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color w:val="000000"/>
                <w:sz w:val="21"/>
                <w:szCs w:val="21"/>
                <w:lang w:eastAsia="ru-RU"/>
              </w:rPr>
              <w:t xml:space="preserve">_________________________</w:t>
            </w: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</w:p>
          <w:p>
            <w:pPr>
              <w:widowControl w:val="off"/>
              <w:spacing w:after="0" w:line="240" w:lineRule="auto"/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</w:p>
          <w:p>
            <w:pPr>
              <w:widowControl w:val="off"/>
              <w:spacing w:after="0" w:line="240" w:lineRule="auto"/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</w:p>
          <w:p>
            <w:pPr>
              <w:widowControl w:val="off"/>
              <w:spacing w:after="0" w:line="240" w:lineRule="auto"/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  <w:t xml:space="preserve">__________________________ должность</w:t>
            </w: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</w:p>
          <w:p>
            <w:pPr>
              <w:widowControl w:val="off"/>
              <w:spacing w:after="0" w:line="240" w:lineRule="auto"/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  <w:r>
              <w:rPr>
                <w:rFonts w:ascii="Liberation Serif" w:hAnsi="Liberation Serif" w:eastAsia="Times New Roman" w:cs="Liberation Serif"/>
                <w:bCs/>
                <w:color w:val="000000"/>
                <w:sz w:val="21"/>
                <w:szCs w:val="21"/>
              </w:rPr>
            </w:r>
          </w:p>
          <w:p>
            <w:pPr>
              <w:widowControl w:val="off"/>
              <w:tabs>
                <w:tab w:val="left" w:pos="993" w:leader="none"/>
              </w:tabs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  <w:tr>
        <w:trPr>
          <w:gridAfter w:val="1"/>
          <w:trHeight w:val="624"/>
        </w:trPr>
        <w:tblPrEx/>
        <w:tc>
          <w:tcPr>
            <w:tcW w:w="5245" w:type="dxa"/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__________________/___________________/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М.П.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«__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_»_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________20__г.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5245" w:type="dxa"/>
            <w:gridSpan w:val="2"/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______________________/___________________/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М.П.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jc w:val="both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«__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_»_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___________20___г.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</w:tbl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  <w:sectPr>
          <w:footnotePr/>
          <w:endnotePr/>
          <w:type w:val="nextPage"/>
          <w:pgSz w:w="11906" w:h="16838" w:orient="portrait"/>
          <w:pgMar w:top="720" w:right="720" w:bottom="720" w:left="720" w:header="709" w:footer="709" w:gutter="0"/>
          <w:cols w:num="1" w:sep="0" w:space="708" w:equalWidth="1"/>
          <w:docGrid w:linePitch="360"/>
        </w:sectPr>
      </w:pPr>
      <w:r>
        <w:rPr>
          <w:rFonts w:ascii="Liberation Serif" w:hAnsi="Liberation Serif" w:eastAsia="Times New Roman" w:cs="Liberation Serif"/>
          <w:sz w:val="21"/>
          <w:szCs w:val="21"/>
        </w:rPr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right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Приложение № 1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right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к Соглашению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об электронном документообороте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tabs>
          <w:tab w:val="left" w:pos="720" w:leader="none"/>
        </w:tabs>
        <w:spacing w:after="0" w:line="240" w:lineRule="auto"/>
        <w:ind w:firstLine="426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spacing w:after="0" w:line="240" w:lineRule="auto"/>
        <w:rPr>
          <w:rFonts w:ascii="Liberation Serif" w:hAnsi="Liberation Serif" w:eastAsia="Times New Roman" w:cs="Liberation Serif"/>
          <w:color w:val="000000"/>
          <w:sz w:val="21"/>
          <w:szCs w:val="21"/>
        </w:rPr>
      </w:pPr>
      <w:r>
        <w:rPr>
          <w:rFonts w:ascii="Liberation Serif" w:hAnsi="Liberation Serif" w:eastAsia="Times New Roman" w:cs="Liberation Serif"/>
          <w:color w:val="000000"/>
          <w:sz w:val="21"/>
          <w:szCs w:val="21"/>
        </w:rPr>
      </w:r>
      <w:r>
        <w:rPr>
          <w:rFonts w:ascii="Liberation Serif" w:hAnsi="Liberation Serif" w:eastAsia="Times New Roman" w:cs="Liberation Serif"/>
          <w:color w:val="000000"/>
          <w:sz w:val="21"/>
          <w:szCs w:val="21"/>
        </w:rPr>
      </w:r>
    </w:p>
    <w:p>
      <w:pPr>
        <w:spacing w:after="0" w:line="240" w:lineRule="auto"/>
        <w:jc w:val="center"/>
        <w:rPr>
          <w:rFonts w:ascii="Liberation Serif" w:hAnsi="Liberation Serif" w:eastAsia="Times New Roman" w:cs="Liberation Serif"/>
          <w:b/>
          <w:color w:val="000000"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color w:val="000000"/>
          <w:sz w:val="21"/>
          <w:szCs w:val="21"/>
        </w:rPr>
        <w:t xml:space="preserve">Перечень документов, включаемых в состав ЭДО</w:t>
      </w:r>
      <w:r>
        <w:rPr>
          <w:rFonts w:ascii="Liberation Serif" w:hAnsi="Liberation Serif" w:eastAsia="Times New Roman" w:cs="Liberation Serif"/>
          <w:b/>
          <w:color w:val="000000"/>
          <w:sz w:val="21"/>
          <w:szCs w:val="21"/>
        </w:rPr>
      </w:r>
    </w:p>
    <w:p>
      <w:pPr>
        <w:spacing w:after="0" w:line="240" w:lineRule="auto"/>
        <w:jc w:val="center"/>
        <w:rPr>
          <w:rFonts w:ascii="Liberation Serif" w:hAnsi="Liberation Serif" w:eastAsia="Times New Roman" w:cs="Liberation Serif"/>
          <w:b/>
          <w:color w:val="000000"/>
          <w:sz w:val="21"/>
          <w:szCs w:val="21"/>
        </w:rPr>
      </w:pPr>
      <w:r>
        <w:rPr>
          <w:rFonts w:ascii="Liberation Serif" w:hAnsi="Liberation Serif" w:eastAsia="Times New Roman" w:cs="Liberation Serif"/>
          <w:b/>
          <w:color w:val="000000"/>
          <w:sz w:val="21"/>
          <w:szCs w:val="21"/>
        </w:rPr>
      </w:r>
      <w:r>
        <w:rPr>
          <w:rFonts w:ascii="Liberation Serif" w:hAnsi="Liberation Serif" w:eastAsia="Times New Roman" w:cs="Liberation Serif"/>
          <w:b/>
          <w:color w:val="000000"/>
          <w:sz w:val="21"/>
          <w:szCs w:val="21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63"/>
        <w:gridCol w:w="4303"/>
        <w:gridCol w:w="4479"/>
      </w:tblGrid>
      <w:tr>
        <w:trPr/>
        <w:tblPrEx/>
        <w:tc>
          <w:tcPr>
            <w:tcW w:w="93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1"/>
                <w:szCs w:val="21"/>
                <w:lang w:eastAsia="ru-RU"/>
              </w:rPr>
              <w:t xml:space="preserve">Формализованные документы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</w:tr>
      <w:tr>
        <w:trPr/>
        <w:tblPrEx/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1"/>
                <w:szCs w:val="21"/>
                <w:lang w:eastAsia="ru-RU"/>
              </w:rPr>
              <w:t xml:space="preserve">1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4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Документ об отгрузке товаров (выполнении работ), передаче имущественных прав (документ об оказании услуг), в т. ч. исправленный, в электронной форме, в формате XML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4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</w:rPr>
              <w:t xml:space="preserve">Приказ ФНС России от 19.12.2023 N ЕД-7-26/970@.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</w:tr>
      <w:tr>
        <w:trPr/>
        <w:tblPrEx/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1"/>
                <w:szCs w:val="21"/>
                <w:lang w:eastAsia="ru-RU"/>
              </w:rPr>
              <w:t xml:space="preserve">2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4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Счет-фактура, в т. ч. исправленный, в электронной форме, в формате XML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4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</w:rPr>
              <w:t xml:space="preserve">Приказ ФНС России от 19.12.2023 N ЕД-7-26/970@.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</w:tr>
      <w:tr>
        <w:trPr/>
        <w:tblPrEx/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Liberation Serif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1"/>
                <w:szCs w:val="21"/>
                <w:lang w:eastAsia="ru-RU"/>
              </w:rPr>
              <w:t xml:space="preserve">3</w:t>
            </w:r>
            <w:r>
              <w:rPr>
                <w:rFonts w:ascii="Liberation Serif" w:hAnsi="Liberation Serif" w:eastAsia="Liberation Serif" w:cs="Liberation Serif"/>
                <w:color w:val="000000"/>
                <w:sz w:val="21"/>
                <w:szCs w:val="21"/>
                <w:lang w:eastAsia="ru-RU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Liberation Serif" w:cs="Liberation Serif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Liberation Serif" w:cs="Liberation Serif"/>
                <w:color w:val="000000"/>
                <w:sz w:val="21"/>
                <w:szCs w:val="21"/>
                <w:lang w:eastAsia="ru-RU"/>
              </w:rPr>
            </w:r>
          </w:p>
        </w:tc>
        <w:tc>
          <w:tcPr>
            <w:tcW w:w="4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Универсальный передаточный документ (УПД), в электронной форме, в формате XML </w:t>
            </w: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</w:r>
          </w:p>
        </w:tc>
        <w:tc>
          <w:tcPr>
            <w:tcW w:w="4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</w:rPr>
              <w:t xml:space="preserve">Приказ ФНС России от 19.12.2023 N ЕД-7-26/970@.</w:t>
            </w:r>
            <w:r>
              <w:rPr>
                <w:rFonts w:ascii="Liberation Serif" w:hAnsi="Liberation Serif" w:eastAsia="Liberation Serif" w:cs="Liberation Serif"/>
                <w:sz w:val="21"/>
                <w:szCs w:val="21"/>
              </w:rPr>
            </w:r>
          </w:p>
        </w:tc>
      </w:tr>
      <w:tr>
        <w:trPr/>
        <w:tblPrEx/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4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4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Документ об изменении стоимости отгруженных товаров (выполненных работ, оказанных услуг), переданных имущественных прав, в электронной форме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4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Приказ ФНС России от 12.10.2020 № ЕД-7-26/736@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</w:tr>
      <w:tr>
        <w:trPr/>
        <w:tblPrEx/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5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4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Корректировочный счет-фактура, в т. ч. исправленный, в электронной форме, в формате XML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4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Приказ ФНС России от 12.10.2020 № ЕД-7-26/736@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</w:tr>
      <w:tr>
        <w:trPr/>
        <w:tblPrEx/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6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4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Документ об изменении стоимости отгруженных товаров (выполненных работ, оказанных услуг), переданных имущественных прав, включающий в себя корректировочный счет-фактуру, в электронной форме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4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Приказ ФНС России от 12.10.2020 № ЕД-7-26/736@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</w:tr>
      <w:tr>
        <w:trPr/>
        <w:tblPrEx/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7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4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Корректировочный счет-фактура и/или документ, подтверждающего согласие (факт уведомления) покупателя на изменение стоимости отгруженных товаров, в электронном форме, в формате XML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4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Приказ ФНС России от 12.10.2020 № ЕД-7-26/736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</w:tr>
      <w:tr>
        <w:trPr/>
        <w:tblPrEx/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8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4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Универсальный корректировочный документ (УКД), в электронном форме, в формате XML</w:t>
            </w: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</w:r>
          </w:p>
        </w:tc>
        <w:tc>
          <w:tcPr>
            <w:tcW w:w="4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Приказ ФНС России от 08.07.2022 № ЕД-7-15/636@</w:t>
            </w: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</w:r>
          </w:p>
        </w:tc>
      </w:tr>
      <w:tr>
        <w:trPr/>
        <w:tblPrEx/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  <w:t xml:space="preserve">9</w:t>
            </w:r>
            <w:r>
              <w:rPr>
                <w:rFonts w:ascii="Liberation Serif" w:hAnsi="Liberation Serif" w:cs="Liberation Serif"/>
                <w:color w:val="000000"/>
                <w:sz w:val="21"/>
                <w:szCs w:val="21"/>
              </w:rPr>
            </w:r>
          </w:p>
        </w:tc>
        <w:tc>
          <w:tcPr>
            <w:tcW w:w="4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Документ по приемке товарно-материальных ценностей и выявленных расхождений, в электронной форме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4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Приказ ФНС России от 27.08.2019 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N ММВ-7-15/423@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</w:tr>
      <w:tr>
        <w:trPr/>
        <w:tblPrEx/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  <w:t xml:space="preserve">10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4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Уведомление об уточнении электронного документа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  <w:tc>
          <w:tcPr>
            <w:tcW w:w="4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jc w:val="both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eastAsia="Liberation Serif" w:cs="Liberation Serif"/>
                <w:sz w:val="21"/>
                <w:szCs w:val="21"/>
                <w:lang w:eastAsia="ru-RU"/>
              </w:rPr>
              <w:t xml:space="preserve">Приказ ФНС России от 30.01.2012 № ММВ-7-6/36@</w:t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cs="Liberation Serif"/>
                <w:sz w:val="21"/>
                <w:szCs w:val="21"/>
              </w:rPr>
            </w:pPr>
            <w:r>
              <w:rPr>
                <w:rFonts w:ascii="Liberation Serif" w:hAnsi="Liberation Serif" w:cs="Liberation Serif"/>
                <w:sz w:val="21"/>
                <w:szCs w:val="21"/>
              </w:rPr>
            </w:r>
            <w:r>
              <w:rPr>
                <w:rFonts w:ascii="Liberation Serif" w:hAnsi="Liberation Serif" w:cs="Liberation Serif"/>
                <w:sz w:val="21"/>
                <w:szCs w:val="21"/>
              </w:rPr>
            </w:r>
          </w:p>
        </w:tc>
      </w:tr>
    </w:tbl>
    <w:p>
      <w:pPr>
        <w:tabs>
          <w:tab w:val="left" w:pos="3821" w:leader="none"/>
        </w:tabs>
        <w:spacing w:after="0" w:line="240" w:lineRule="auto"/>
        <w:jc w:val="both"/>
        <w:rPr>
          <w:rFonts w:ascii="Liberation Serif" w:hAnsi="Liberation Serif" w:cs="Liberation Serif"/>
          <w:color w:val="000000"/>
          <w:sz w:val="21"/>
          <w:szCs w:val="21"/>
        </w:rPr>
      </w:pPr>
      <w:r>
        <w:rPr>
          <w:rFonts w:ascii="Liberation Serif" w:hAnsi="Liberation Serif" w:cs="Liberation Serif"/>
          <w:color w:val="000000"/>
          <w:sz w:val="21"/>
          <w:szCs w:val="21"/>
        </w:rPr>
        <w:tab/>
      </w:r>
      <w:r>
        <w:rPr>
          <w:rFonts w:ascii="Liberation Serif" w:hAnsi="Liberation Serif" w:cs="Liberation Serif"/>
          <w:color w:val="000000"/>
          <w:sz w:val="21"/>
          <w:szCs w:val="21"/>
        </w:rPr>
      </w:r>
    </w:p>
    <w:p>
      <w:pPr>
        <w:tabs>
          <w:tab w:val="left" w:pos="3821" w:leader="none"/>
        </w:tabs>
        <w:spacing w:after="0" w:line="240" w:lineRule="auto"/>
        <w:jc w:val="both"/>
        <w:rPr>
          <w:rFonts w:ascii="Liberation Serif" w:hAnsi="Liberation Serif" w:cs="Liberation Serif"/>
          <w:color w:val="000000"/>
          <w:sz w:val="21"/>
          <w:szCs w:val="21"/>
        </w:rPr>
      </w:pPr>
      <w:r>
        <w:rPr>
          <w:rFonts w:ascii="Liberation Serif" w:hAnsi="Liberation Serif" w:cs="Liberation Serif"/>
          <w:color w:val="000000"/>
          <w:sz w:val="21"/>
          <w:szCs w:val="21"/>
        </w:rPr>
      </w:r>
      <w:r>
        <w:rPr>
          <w:rFonts w:ascii="Liberation Serif" w:hAnsi="Liberation Serif" w:cs="Liberation Serif"/>
          <w:color w:val="000000"/>
          <w:sz w:val="21"/>
          <w:szCs w:val="21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43"/>
        <w:gridCol w:w="4743"/>
      </w:tblGrid>
      <w:tr>
        <w:trPr/>
        <w:tblPrEx/>
        <w:tc>
          <w:tcPr>
            <w:tcW w:w="9486" w:type="dxa"/>
            <w:gridSpan w:val="2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Неформализованные документы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  <w:tr>
        <w:trPr/>
        <w:tblPrEx/>
        <w:tc>
          <w:tcPr>
            <w:tcW w:w="4743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Вид документа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743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jc w:val="center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Применяемый вид ЭП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  <w:tr>
        <w:trPr>
          <w:trHeight w:val="143"/>
        </w:trPr>
        <w:tblPrEx/>
        <w:tc>
          <w:tcPr>
            <w:tcW w:w="4743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счета на оплату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743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  <w:tr>
        <w:trPr/>
        <w:tblPrEx/>
        <w:tc>
          <w:tcPr>
            <w:tcW w:w="4743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акты-сверки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743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  <w:tr>
        <w:trPr/>
        <w:tblPrEx/>
        <w:tc>
          <w:tcPr>
            <w:tcW w:w="4743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договоры и дополнительные соглашения, за исключением трудовых договоров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 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и дополнительных соглашений к трудовым договорам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, договоров, требующих нотариального удостоверения и/или государственной регистрации, биржевых сделок, сделок на ОРЭМ, в отношении которого заключено настоящее Соглашение об ЭДО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743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  <w:tr>
        <w:trPr/>
        <w:tblPrEx/>
        <w:tc>
          <w:tcPr>
            <w:tcW w:w="4743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документы, сопровождающие формализованные электронные документы, в том числе приложения к ним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743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  <w:tr>
        <w:trPr/>
        <w:tblPrEx/>
        <w:tc>
          <w:tcPr>
            <w:tcW w:w="4743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  <w:t xml:space="preserve">иные документы, подтверждающие исполнение хозяйственного Договора, в отношении которого заключено настоящее Соглашение об ЭДО.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  <w:tc>
          <w:tcPr>
            <w:tcW w:w="4743" w:type="dxa"/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eastAsia="ru-RU"/>
              </w:rPr>
            </w:r>
          </w:p>
        </w:tc>
      </w:tr>
    </w:tbl>
    <w:p>
      <w:pPr>
        <w:tabs>
          <w:tab w:val="left" w:pos="3821" w:leader="none"/>
        </w:tabs>
        <w:spacing w:after="0" w:line="240" w:lineRule="auto"/>
        <w:jc w:val="both"/>
        <w:rPr>
          <w:rFonts w:ascii="Liberation Serif" w:hAnsi="Liberation Serif" w:cs="Liberation Serif"/>
          <w:color w:val="000000"/>
          <w:sz w:val="21"/>
          <w:szCs w:val="21"/>
        </w:rPr>
      </w:pPr>
      <w:r>
        <w:rPr>
          <w:rFonts w:ascii="Liberation Serif" w:hAnsi="Liberation Serif" w:cs="Liberation Serif"/>
          <w:color w:val="000000"/>
          <w:sz w:val="21"/>
          <w:szCs w:val="21"/>
        </w:rPr>
      </w:r>
      <w:r>
        <w:rPr>
          <w:rFonts w:ascii="Liberation Serif" w:hAnsi="Liberation Serif" w:cs="Liberation Serif"/>
          <w:color w:val="000000"/>
          <w:sz w:val="21"/>
          <w:szCs w:val="21"/>
        </w:rPr>
      </w:r>
    </w:p>
    <w:p>
      <w:pPr>
        <w:spacing w:after="0" w:line="240" w:lineRule="auto"/>
        <w:jc w:val="both"/>
        <w:rPr>
          <w:rFonts w:ascii="Liberation Serif" w:hAnsi="Liberation Serif" w:cs="Liberation Serif"/>
          <w:sz w:val="21"/>
          <w:szCs w:val="21"/>
        </w:rPr>
      </w:pPr>
      <w:r>
        <w:rPr>
          <w:rFonts w:ascii="Liberation Serif" w:hAnsi="Liberation Serif" w:cs="Liberation Serif"/>
          <w:color w:val="000000"/>
          <w:sz w:val="21"/>
          <w:szCs w:val="21"/>
        </w:rPr>
        <w:tab/>
      </w:r>
      <w:r>
        <w:rPr>
          <w:rFonts w:ascii="Liberation Serif" w:hAnsi="Liberation Serif" w:cs="Liberation Serif"/>
          <w:color w:val="0d0d0d"/>
          <w:sz w:val="21"/>
          <w:szCs w:val="21"/>
        </w:rPr>
        <w:t xml:space="preserve">Обмен неформализованными документами осуществляется </w:t>
      </w:r>
      <w:r>
        <w:rPr>
          <w:rFonts w:ascii="Liberation Serif" w:hAnsi="Liberation Serif" w:cs="Liberation Serif"/>
          <w:sz w:val="21"/>
          <w:szCs w:val="21"/>
        </w:rPr>
        <w:t xml:space="preserve">в следующих форматах: </w:t>
      </w:r>
      <w:r>
        <w:rPr>
          <w:rFonts w:ascii="Liberation Serif" w:hAnsi="Liberation Serif" w:cs="Liberation Serif"/>
          <w:sz w:val="21"/>
          <w:szCs w:val="21"/>
        </w:rPr>
      </w:r>
    </w:p>
    <w:p>
      <w:pPr>
        <w:numPr>
          <w:numId w:val="32"/>
          <w:ilvl w:val="0"/>
        </w:numPr>
        <w:spacing w:after="0" w:line="240" w:lineRule="auto"/>
        <w:ind w:left="0" w:firstLine="0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Microsoft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Word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97-2010 (.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doc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); 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numPr>
          <w:numId w:val="32"/>
          <w:ilvl w:val="0"/>
        </w:numPr>
        <w:spacing w:after="0" w:line="240" w:lineRule="auto"/>
        <w:ind w:left="0" w:firstLine="0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Microsoft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Excel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97-2010 (.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xls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);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numPr>
          <w:numId w:val="32"/>
          <w:ilvl w:val="0"/>
        </w:numPr>
        <w:spacing w:after="0" w:line="240" w:lineRule="auto"/>
        <w:ind w:left="0" w:firstLine="0"/>
        <w:jc w:val="both"/>
        <w:rPr>
          <w:rFonts w:ascii="Liberation Serif" w:hAnsi="Liberation Serif" w:eastAsia="Times New Roman" w:cs="Liberation Serif"/>
          <w:sz w:val="21"/>
          <w:szCs w:val="21"/>
          <w:lang w:val="en-US"/>
        </w:rPr>
      </w:pPr>
      <w:r>
        <w:rPr>
          <w:rFonts w:ascii="Liberation Serif" w:hAnsi="Liberation Serif" w:eastAsia="Times New Roman" w:cs="Liberation Serif"/>
          <w:sz w:val="21"/>
          <w:szCs w:val="21"/>
          <w:lang w:val="en-US"/>
        </w:rPr>
        <w:t xml:space="preserve">Office Open XML (.docx,.xlsx);</w:t>
      </w:r>
      <w:r>
        <w:rPr>
          <w:rFonts w:ascii="Liberation Serif" w:hAnsi="Liberation Serif" w:eastAsia="Times New Roman" w:cs="Liberation Serif"/>
          <w:sz w:val="21"/>
          <w:szCs w:val="21"/>
          <w:lang w:val="en-US"/>
        </w:rPr>
      </w:r>
    </w:p>
    <w:p>
      <w:pPr>
        <w:numPr>
          <w:numId w:val="32"/>
          <w:ilvl w:val="0"/>
        </w:numPr>
        <w:spacing w:after="0" w:line="240" w:lineRule="auto"/>
        <w:ind w:left="0" w:firstLine="0"/>
        <w:jc w:val="both"/>
        <w:rPr>
          <w:rFonts w:ascii="Liberation Serif" w:hAnsi="Liberation Serif" w:eastAsia="Times New Roman" w:cs="Liberation Serif"/>
          <w:sz w:val="21"/>
          <w:szCs w:val="21"/>
          <w:lang w:val="en-US"/>
        </w:rPr>
      </w:pPr>
      <w:r>
        <w:rPr>
          <w:rFonts w:ascii="Liberation Serif" w:hAnsi="Liberation Serif" w:eastAsia="Times New Roman" w:cs="Liberation Serif"/>
          <w:sz w:val="21"/>
          <w:szCs w:val="21"/>
          <w:lang w:val="en-US"/>
        </w:rPr>
        <w:t xml:space="preserve">Joint Photographic Experts Group (.jpeg</w:t>
      </w:r>
      <w:r>
        <w:rPr>
          <w:rFonts w:ascii="Liberation Serif" w:hAnsi="Liberation Serif" w:eastAsia="Times New Roman" w:cs="Liberation Serif"/>
          <w:sz w:val="21"/>
          <w:szCs w:val="21"/>
          <w:lang w:val="en-US"/>
        </w:rPr>
        <w:t xml:space="preserve">,.jfif</w:t>
      </w:r>
      <w:r>
        <w:rPr>
          <w:rFonts w:ascii="Liberation Serif" w:hAnsi="Liberation Serif" w:eastAsia="Times New Roman" w:cs="Liberation Serif"/>
          <w:sz w:val="21"/>
          <w:szCs w:val="21"/>
          <w:lang w:val="en-US"/>
        </w:rPr>
        <w:t xml:space="preserve">,.jpg);</w:t>
      </w:r>
      <w:r>
        <w:rPr>
          <w:rFonts w:ascii="Liberation Serif" w:hAnsi="Liberation Serif" w:eastAsia="Times New Roman" w:cs="Liberation Serif"/>
          <w:sz w:val="21"/>
          <w:szCs w:val="21"/>
          <w:lang w:val="en-US"/>
        </w:rPr>
      </w:r>
    </w:p>
    <w:p>
      <w:pPr>
        <w:numPr>
          <w:numId w:val="32"/>
          <w:ilvl w:val="0"/>
        </w:numPr>
        <w:spacing w:after="0" w:line="240" w:lineRule="auto"/>
        <w:ind w:left="0" w:firstLine="0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Rich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Text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Format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(.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rtf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);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numPr>
          <w:numId w:val="32"/>
          <w:ilvl w:val="0"/>
        </w:numPr>
        <w:spacing w:after="0" w:line="240" w:lineRule="auto"/>
        <w:ind w:left="0" w:firstLine="0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Portable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Document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Format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 (.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pdf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);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numPr>
          <w:numId w:val="32"/>
          <w:ilvl w:val="0"/>
        </w:numPr>
        <w:spacing w:after="0" w:line="240" w:lineRule="auto"/>
        <w:ind w:left="0" w:firstLine="0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Текстовый файл (.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txt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)</w:t>
      </w:r>
      <w:r>
        <w:rPr>
          <w:rFonts w:ascii="Liberation Serif" w:hAnsi="Liberation Serif" w:eastAsia="Times New Roman" w:cs="Liberation Serif"/>
          <w:sz w:val="21"/>
          <w:szCs w:val="21"/>
        </w:rPr>
        <w:t xml:space="preserve">;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numPr>
          <w:numId w:val="32"/>
          <w:ilvl w:val="0"/>
        </w:numPr>
        <w:spacing w:after="0" w:line="240" w:lineRule="auto"/>
        <w:ind w:left="0" w:firstLine="0"/>
        <w:jc w:val="both"/>
        <w:rPr>
          <w:rFonts w:ascii="Liberation Serif" w:hAnsi="Liberation Serif" w:eastAsia="Times New Roman" w:cs="Liberation Serif"/>
          <w:sz w:val="21"/>
          <w:szCs w:val="21"/>
          <w:lang w:val="en-US"/>
        </w:rPr>
      </w:pPr>
      <w:r>
        <w:rPr>
          <w:rFonts w:ascii="Liberation Serif" w:hAnsi="Liberation Serif" w:eastAsia="Times New Roman" w:cs="Liberation Serif"/>
          <w:sz w:val="21"/>
          <w:szCs w:val="21"/>
          <w:lang w:val="en-US"/>
        </w:rPr>
        <w:t xml:space="preserve">ПО Р7 и LibreOffice (*.</w:t>
      </w:r>
      <w:r>
        <w:rPr>
          <w:rFonts w:ascii="Liberation Serif" w:hAnsi="Liberation Serif" w:eastAsia="Times New Roman" w:cs="Liberation Serif"/>
          <w:sz w:val="21"/>
          <w:szCs w:val="21"/>
          <w:lang w:val="en-US"/>
        </w:rPr>
        <w:t xml:space="preserve">odt</w:t>
      </w:r>
      <w:r>
        <w:rPr>
          <w:rFonts w:ascii="Liberation Serif" w:hAnsi="Liberation Serif" w:eastAsia="Times New Roman" w:cs="Liberation Serif"/>
          <w:sz w:val="21"/>
          <w:szCs w:val="21"/>
          <w:lang w:val="en-US"/>
        </w:rPr>
        <w:t xml:space="preserve">, *.</w:t>
      </w:r>
      <w:r>
        <w:rPr>
          <w:rFonts w:ascii="Liberation Serif" w:hAnsi="Liberation Serif" w:eastAsia="Times New Roman" w:cs="Liberation Serif"/>
          <w:sz w:val="21"/>
          <w:szCs w:val="21"/>
          <w:lang w:val="en-US"/>
        </w:rPr>
        <w:t xml:space="preserve">ott</w:t>
      </w:r>
      <w:r>
        <w:rPr>
          <w:rFonts w:ascii="Liberation Serif" w:hAnsi="Liberation Serif" w:eastAsia="Times New Roman" w:cs="Liberation Serif"/>
          <w:sz w:val="21"/>
          <w:szCs w:val="21"/>
          <w:lang w:val="en-US"/>
        </w:rPr>
        <w:t xml:space="preserve">, *.</w:t>
      </w:r>
      <w:r>
        <w:rPr>
          <w:rFonts w:ascii="Liberation Serif" w:hAnsi="Liberation Serif" w:eastAsia="Times New Roman" w:cs="Liberation Serif"/>
          <w:sz w:val="21"/>
          <w:szCs w:val="21"/>
          <w:lang w:val="en-US"/>
        </w:rPr>
        <w:t xml:space="preserve">ods</w:t>
      </w:r>
      <w:r>
        <w:rPr>
          <w:rFonts w:ascii="Liberation Serif" w:hAnsi="Liberation Serif" w:eastAsia="Times New Roman" w:cs="Liberation Serif"/>
          <w:sz w:val="21"/>
          <w:szCs w:val="21"/>
          <w:lang w:val="en-US"/>
        </w:rPr>
        <w:t xml:space="preserve">, *.</w:t>
      </w:r>
      <w:r>
        <w:rPr>
          <w:rFonts w:ascii="Liberation Serif" w:hAnsi="Liberation Serif" w:eastAsia="Times New Roman" w:cs="Liberation Serif"/>
          <w:sz w:val="21"/>
          <w:szCs w:val="21"/>
          <w:lang w:val="en-US"/>
        </w:rPr>
        <w:t xml:space="preserve">ots</w:t>
      </w:r>
      <w:r>
        <w:rPr>
          <w:rFonts w:ascii="Liberation Serif" w:hAnsi="Liberation Serif" w:eastAsia="Times New Roman" w:cs="Liberation Serif"/>
          <w:sz w:val="21"/>
          <w:szCs w:val="21"/>
          <w:lang w:val="en-US"/>
        </w:rPr>
        <w:t xml:space="preserve">).</w:t>
      </w:r>
      <w:r>
        <w:rPr>
          <w:rFonts w:ascii="Liberation Serif" w:hAnsi="Liberation Serif" w:eastAsia="Times New Roman" w:cs="Liberation Serif"/>
          <w:sz w:val="21"/>
          <w:szCs w:val="21"/>
          <w:lang w:val="en-US"/>
        </w:rPr>
      </w:r>
    </w:p>
    <w:p>
      <w:pPr>
        <w:spacing w:after="0" w:line="240" w:lineRule="auto"/>
        <w:rPr>
          <w:rFonts w:ascii="Liberation Serif" w:hAnsi="Liberation Serif" w:eastAsia="Times New Roman" w:cs="Liberation Serif"/>
          <w:color w:val="c00000"/>
          <w:sz w:val="21"/>
          <w:szCs w:val="21"/>
          <w:lang w:val="en-US"/>
        </w:rPr>
      </w:pPr>
      <w:r>
        <w:rPr>
          <w:rFonts w:ascii="Liberation Serif" w:hAnsi="Liberation Serif" w:eastAsia="Times New Roman" w:cs="Liberation Serif"/>
          <w:color w:val="c00000"/>
          <w:sz w:val="21"/>
          <w:szCs w:val="21"/>
          <w:lang w:val="en-US"/>
        </w:rPr>
      </w:r>
      <w:r>
        <w:rPr>
          <w:rFonts w:ascii="Liberation Serif" w:hAnsi="Liberation Serif" w:eastAsia="Times New Roman" w:cs="Liberation Serif"/>
          <w:color w:val="c00000"/>
          <w:sz w:val="21"/>
          <w:szCs w:val="21"/>
          <w:lang w:val="en-US"/>
        </w:rPr>
      </w:r>
    </w:p>
    <w:p>
      <w:pPr>
        <w:spacing w:after="0" w:line="240" w:lineRule="auto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Обмен неформализованными документами в форматах, не указанных выше, подлежит дополнительному согласованию Сторонами.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spacing w:after="0" w:line="240" w:lineRule="auto"/>
        <w:jc w:val="both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spacing w:after="0" w:line="240" w:lineRule="auto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  <w:t xml:space="preserve">Подписи сторон:</w:t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spacing w:after="0" w:line="240" w:lineRule="auto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>
        <w:trPr/>
        <w:tblPrEx/>
        <w:tc>
          <w:tcPr>
            <w:tcW w:w="4672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</w:rPr>
              <w:t xml:space="preserve">Сторона-2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</w:rPr>
              <w:t xml:space="preserve">: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____________________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______________ (должность)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________/_____________ (И.О. Фамилия)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М.П.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</w:p>
        </w:tc>
        <w:tc>
          <w:tcPr>
            <w:tcW w:w="4673" w:type="dxa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shd w:val="clear" w:color="auto" w:fill="auto"/>
            <w:noWrap w:val="false"/>
            <w:textDirection w:val="lrTb"/>
          </w:tcPr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b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</w:rPr>
              <w:t xml:space="preserve">Сторона-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</w:rPr>
              <w:t xml:space="preserve">1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</w:rPr>
              <w:t xml:space="preserve">:</w:t>
            </w:r>
            <w:r>
              <w:rPr>
                <w:rFonts w:ascii="Liberation Serif" w:hAnsi="Liberation Serif" w:eastAsia="Times New Roman" w:cs="Liberation Serif"/>
                <w:b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_____________________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______________ (должность)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  <w:t xml:space="preserve">________/______________ (И.О. Фамилия)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</w:rPr>
            </w:r>
          </w:p>
          <w:p>
            <w:pPr>
              <w:spacing w:after="0" w:line="240" w:lineRule="auto"/>
              <w:rPr>
                <w:rFonts w:ascii="Liberation Serif" w:hAnsi="Liberation Serif" w:eastAsia="Times New Roman" w:cs="Liberation Serif"/>
                <w:sz w:val="21"/>
                <w:szCs w:val="21"/>
                <w:lang w:val="en-US"/>
              </w:rPr>
            </w:pPr>
            <w:r>
              <w:rPr>
                <w:rFonts w:ascii="Liberation Serif" w:hAnsi="Liberation Serif" w:eastAsia="Times New Roman" w:cs="Liberation Serif"/>
                <w:sz w:val="21"/>
                <w:szCs w:val="21"/>
                <w:lang w:val="en-US"/>
              </w:rPr>
              <w:t xml:space="preserve">М.П.</w:t>
            </w:r>
            <w:r>
              <w:rPr>
                <w:rFonts w:ascii="Liberation Serif" w:hAnsi="Liberation Serif" w:eastAsia="Times New Roman" w:cs="Liberation Serif"/>
                <w:sz w:val="21"/>
                <w:szCs w:val="21"/>
                <w:lang w:val="en-US"/>
              </w:rPr>
            </w:r>
          </w:p>
        </w:tc>
      </w:tr>
    </w:tbl>
    <w:p>
      <w:pPr>
        <w:spacing w:after="0" w:line="240" w:lineRule="auto"/>
        <w:rPr>
          <w:rFonts w:ascii="Liberation Serif" w:hAnsi="Liberation Serif" w:eastAsia="Times New Roman" w:cs="Liberation Serif"/>
          <w:sz w:val="21"/>
          <w:szCs w:val="21"/>
        </w:rPr>
      </w:pPr>
      <w:r>
        <w:rPr>
          <w:rFonts w:ascii="Liberation Serif" w:hAnsi="Liberation Serif" w:eastAsia="Times New Roman" w:cs="Liberation Serif"/>
          <w:sz w:val="21"/>
          <w:szCs w:val="21"/>
        </w:rPr>
      </w:r>
      <w:r>
        <w:rPr>
          <w:rFonts w:ascii="Liberation Serif" w:hAnsi="Liberation Serif" w:eastAsia="Times New Roman" w:cs="Liberation Serif"/>
          <w:sz w:val="21"/>
          <w:szCs w:val="21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p>
      <w:pPr>
        <w:spacing w:after="0" w:line="240" w:lineRule="auto"/>
        <w:jc w:val="right"/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pP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  <w:r>
        <w:rPr>
          <w:rFonts w:ascii="Liberation Serif" w:hAnsi="Liberation Serif" w:eastAsia="Times New Roman" w:cs="Liberation Serif"/>
          <w:b/>
          <w:sz w:val="21"/>
          <w:szCs w:val="21"/>
          <w:lang w:eastAsia="ru-RU"/>
        </w:rPr>
      </w:r>
    </w:p>
    <w:sectPr>
      <w:footnotePr/>
      <w:endnotePr/>
      <w:type w:val="nextPage"/>
      <w:pgSz w:w="11906" w:h="16838" w:orient="portrait"/>
      <w:pgMar w:top="720" w:right="720" w:bottom="720" w:left="720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Mincho">
    <w:panose1 w:val="02020503050405090304"/>
  </w:font>
  <w:font w:name="Calibri Light">
    <w:panose1 w:val="020F0502020204030204"/>
  </w:font>
  <w:font w:name="Liberation Serif">
    <w:panose1 w:val="02020603050405020304"/>
  </w:font>
  <w:font w:name="Courier New">
    <w:panose1 w:val="02070409020205020404"/>
  </w:font>
  <w:font w:name="Symbol">
    <w:panose1 w:val="05010000000000000000"/>
  </w:font>
  <w:font w:name="PMingLiU">
    <w:panose1 w:val="02020502040504020204"/>
  </w:font>
  <w:font w:name="Segoe UI">
    <w:panose1 w:val="020B0502040504020204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9"/>
      <w:jc w:val="right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fldChar w:fldCharType="begin"/>
    </w:r>
    <w:r>
      <w:rPr>
        <w:rFonts w:ascii="Times New Roman" w:hAnsi="Times New Roman"/>
        <w:sz w:val="18"/>
        <w:szCs w:val="18"/>
      </w:rPr>
      <w:instrText xml:space="preserve">PAGE   \* MERGEFORMAT</w:instrText>
    </w:r>
    <w:r>
      <w:rPr>
        <w:rFonts w:ascii="Times New Roman" w:hAnsi="Times New Roman"/>
        <w:sz w:val="18"/>
        <w:szCs w:val="18"/>
      </w:rPr>
      <w:fldChar w:fldCharType="separate"/>
    </w:r>
    <w:r>
      <w:rPr>
        <w:rFonts w:ascii="Times New Roman" w:hAnsi="Times New Roman"/>
        <w:sz w:val="18"/>
        <w:szCs w:val="18"/>
      </w:rPr>
      <w:t xml:space="preserve">2</w:t>
    </w:r>
    <w:r>
      <w:rPr>
        <w:rFonts w:ascii="Times New Roman" w:hAnsi="Times New Roman"/>
        <w:sz w:val="18"/>
        <w:szCs w:val="18"/>
      </w:rPr>
      <w:fldChar w:fldCharType="end"/>
    </w:r>
    <w:r>
      <w:rPr>
        <w:rFonts w:ascii="Times New Roman" w:hAnsi="Times New Roman"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tabs>
          <w:tab w:val="num" w:pos="360" w:leader="none"/>
        </w:tabs>
        <w:ind w:left="360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tabs>
          <w:tab w:val="num" w:pos="644" w:leader="none"/>
        </w:tabs>
        <w:ind w:left="644" w:hanging="360"/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tabs>
          <w:tab w:val="num" w:pos="2160" w:leader="none"/>
        </w:tabs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tabs>
          <w:tab w:val="num" w:pos="2880" w:leader="none"/>
        </w:tabs>
        <w:ind w:left="288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tabs>
          <w:tab w:val="num" w:pos="3960" w:leader="none"/>
        </w:tabs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tabs>
          <w:tab w:val="num" w:pos="4680" w:leader="none"/>
        </w:tabs>
        <w:ind w:left="46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tabs>
          <w:tab w:val="num" w:pos="5760" w:leader="none"/>
        </w:tabs>
        <w:ind w:left="576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tabs>
          <w:tab w:val="num" w:pos="6480" w:leader="none"/>
        </w:tabs>
        <w:ind w:left="648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tabs>
          <w:tab w:val="num" w:pos="7560" w:leader="none"/>
        </w:tabs>
        <w:ind w:left="7560" w:hanging="1800"/>
      </w:pPr>
      <w:rPr>
        <w:rFonts w:hint="default"/>
      </w:rPr>
    </w:lvl>
  </w:abstractNum>
  <w:abstractNum w:abstractNumId="1">
    <w:multiLevelType w:val="hybridMultilevel"/>
    <w:lvl w:ilvl="0">
      <w:start w:val="1"/>
      <w:numFmt w:val="lowerLetter"/>
      <w:isLgl w:val="false"/>
      <w:suff w:val="nothing"/>
      <w:lvlText w:val="%1)"/>
      <w:lvlJc w:val="left"/>
      <w:pPr>
        <w:ind w:left="57" w:firstLine="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tabs>
          <w:tab w:val="num" w:pos="1440" w:leader="none"/>
        </w:tabs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tabs>
          <w:tab w:val="num" w:pos="2160" w:leader="none"/>
        </w:tabs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tabs>
          <w:tab w:val="num" w:pos="2880" w:leader="none"/>
        </w:tabs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tabs>
          <w:tab w:val="num" w:pos="3600" w:leader="none"/>
        </w:tabs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tabs>
          <w:tab w:val="num" w:pos="4320" w:leader="none"/>
        </w:tabs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tabs>
          <w:tab w:val="num" w:pos="5040" w:leader="none"/>
        </w:tabs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tabs>
          <w:tab w:val="num" w:pos="5760" w:leader="none"/>
        </w:tabs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tabs>
          <w:tab w:val="num" w:pos="6480" w:leader="none"/>
        </w:tabs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tabs>
          <w:tab w:val="num" w:pos="786" w:leader="none"/>
        </w:tabs>
        <w:ind w:left="78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tabs>
          <w:tab w:val="num" w:pos="786" w:leader="none"/>
        </w:tabs>
        <w:ind w:left="78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tabs>
          <w:tab w:val="num" w:pos="1506" w:leader="none"/>
        </w:tabs>
        <w:ind w:left="150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tabs>
          <w:tab w:val="num" w:pos="2226" w:leader="none"/>
        </w:tabs>
        <w:ind w:left="222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tabs>
          <w:tab w:val="num" w:pos="2946" w:leader="none"/>
        </w:tabs>
        <w:ind w:left="294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tabs>
          <w:tab w:val="num" w:pos="3666" w:leader="none"/>
        </w:tabs>
        <w:ind w:left="366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tabs>
          <w:tab w:val="num" w:pos="4386" w:leader="none"/>
        </w:tabs>
        <w:ind w:left="438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tabs>
          <w:tab w:val="num" w:pos="5106" w:leader="none"/>
        </w:tabs>
        <w:ind w:left="510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tabs>
          <w:tab w:val="num" w:pos="5826" w:leader="none"/>
        </w:tabs>
        <w:ind w:left="5826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space"/>
      <w:lvlText w:val=""/>
      <w:lvlJc w:val="left"/>
      <w:pPr>
        <w:ind w:left="569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6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2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tabs>
          <w:tab w:val="num" w:pos="360" w:leader="none"/>
        </w:tabs>
        <w:ind w:left="360" w:hanging="360"/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tabs>
          <w:tab w:val="num" w:pos="792" w:leader="none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tabs>
          <w:tab w:val="num" w:pos="1440" w:leader="none"/>
        </w:tabs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tabs>
          <w:tab w:val="num" w:pos="2160" w:leader="none"/>
        </w:tabs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tabs>
          <w:tab w:val="num" w:pos="2520" w:leader="none"/>
        </w:tabs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tabs>
          <w:tab w:val="num" w:pos="3240" w:leader="none"/>
        </w:tabs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tabs>
          <w:tab w:val="num" w:pos="3960" w:leader="none"/>
        </w:tabs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tabs>
          <w:tab w:val="num" w:pos="4320" w:leader="none"/>
        </w:tabs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tabs>
          <w:tab w:val="num" w:pos="5040" w:leader="none"/>
        </w:tabs>
        <w:ind w:left="4320" w:hanging="1440"/>
      </w:pPr>
      <w:rPr>
        <w:rFonts w:hint="default"/>
      </w:rPr>
    </w:lvl>
  </w:abstractNum>
  <w:abstractNum w:abstractNumId="5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tabs>
          <w:tab w:val="num" w:pos="765" w:leader="none"/>
        </w:tabs>
        <w:ind w:left="765" w:hanging="765"/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tabs>
          <w:tab w:val="num" w:pos="765" w:leader="none"/>
        </w:tabs>
        <w:ind w:left="765" w:hanging="765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tabs>
          <w:tab w:val="num" w:pos="765" w:leader="none"/>
        </w:tabs>
        <w:ind w:left="765" w:hanging="765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tabs>
          <w:tab w:val="num" w:pos="765" w:leader="none"/>
        </w:tabs>
        <w:ind w:left="765" w:hanging="765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tabs>
          <w:tab w:val="num" w:pos="1080" w:leader="none"/>
        </w:tabs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tabs>
          <w:tab w:val="num" w:pos="1080" w:leader="none"/>
        </w:tabs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tabs>
          <w:tab w:val="num" w:pos="1440" w:leader="none"/>
        </w:tabs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tabs>
          <w:tab w:val="num" w:pos="1440" w:leader="none"/>
        </w:tabs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tabs>
          <w:tab w:val="num" w:pos="1800" w:leader="none"/>
        </w:tabs>
        <w:ind w:left="1800" w:hanging="180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767" w:hanging="360"/>
      </w:pPr>
      <w:rPr>
        <w:rFonts w:hint="default"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48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20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92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64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6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08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80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527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tabs>
          <w:tab w:val="num" w:pos="360" w:leader="none"/>
        </w:tabs>
        <w:ind w:left="360" w:hanging="360"/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tabs>
          <w:tab w:val="num" w:pos="858" w:leader="none"/>
        </w:tabs>
        <w:ind w:left="858" w:hanging="432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tabs>
          <w:tab w:val="num" w:pos="1440" w:leader="none"/>
        </w:tabs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tabs>
          <w:tab w:val="num" w:pos="2160" w:leader="none"/>
        </w:tabs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tabs>
          <w:tab w:val="num" w:pos="2520" w:leader="none"/>
        </w:tabs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tabs>
          <w:tab w:val="num" w:pos="3240" w:leader="none"/>
        </w:tabs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tabs>
          <w:tab w:val="num" w:pos="3960" w:leader="none"/>
        </w:tabs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tabs>
          <w:tab w:val="num" w:pos="4320" w:leader="none"/>
        </w:tabs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tabs>
          <w:tab w:val="num" w:pos="5040" w:leader="none"/>
        </w:tabs>
        <w:ind w:left="4320" w:hanging="1440"/>
      </w:pPr>
      <w:rPr>
        <w:rFonts w:hint="default"/>
      </w:rPr>
    </w:lvl>
  </w:abstractNum>
  <w:abstractNum w:abstractNumId="9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tabs>
          <w:tab w:val="num" w:pos="360" w:leader="none"/>
        </w:tabs>
        <w:ind w:left="360" w:hanging="360"/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tabs>
          <w:tab w:val="num" w:pos="792" w:leader="none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tabs>
          <w:tab w:val="num" w:pos="1440" w:leader="none"/>
        </w:tabs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tabs>
          <w:tab w:val="num" w:pos="2160" w:leader="none"/>
        </w:tabs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tabs>
          <w:tab w:val="num" w:pos="2520" w:leader="none"/>
        </w:tabs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tabs>
          <w:tab w:val="num" w:pos="3240" w:leader="none"/>
        </w:tabs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tabs>
          <w:tab w:val="num" w:pos="3960" w:leader="none"/>
        </w:tabs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tabs>
          <w:tab w:val="num" w:pos="4320" w:leader="none"/>
        </w:tabs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tabs>
          <w:tab w:val="num" w:pos="5040" w:leader="none"/>
        </w:tabs>
        <w:ind w:left="4320" w:hanging="1440"/>
      </w:pPr>
      <w:rPr>
        <w:rFonts w:hint="default"/>
      </w:rPr>
    </w:lvl>
  </w:abstractNum>
  <w:abstractNum w:abstractNumId="12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tabs>
          <w:tab w:val="num" w:pos="360" w:leader="none"/>
        </w:tabs>
        <w:ind w:left="360" w:hanging="360"/>
      </w:pPr>
      <w:rPr>
        <w:rFonts w:hint="default"/>
      </w:rPr>
    </w:lvl>
    <w:lvl w:ilvl="1">
      <w:start w:val="5"/>
      <w:numFmt w:val="decimal"/>
      <w:isLgl w:val="false"/>
      <w:suff w:val="tab"/>
      <w:lvlText w:val="%1.%2."/>
      <w:lvlJc w:val="left"/>
      <w:pPr>
        <w:tabs>
          <w:tab w:val="num" w:pos="792" w:leader="none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tabs>
          <w:tab w:val="num" w:pos="1440" w:leader="none"/>
        </w:tabs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tabs>
          <w:tab w:val="num" w:pos="2160" w:leader="none"/>
        </w:tabs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tabs>
          <w:tab w:val="num" w:pos="2520" w:leader="none"/>
        </w:tabs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tabs>
          <w:tab w:val="num" w:pos="3240" w:leader="none"/>
        </w:tabs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tabs>
          <w:tab w:val="num" w:pos="3960" w:leader="none"/>
        </w:tabs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tabs>
          <w:tab w:val="num" w:pos="4320" w:leader="none"/>
        </w:tabs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tabs>
          <w:tab w:val="num" w:pos="5040" w:leader="none"/>
        </w:tabs>
        <w:ind w:left="4320" w:hanging="1440"/>
      </w:pPr>
      <w:rPr>
        <w:rFonts w:hint="default"/>
      </w:rPr>
    </w:lvl>
  </w:abstractNum>
  <w:abstractNum w:abstractNumId="13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tabs>
          <w:tab w:val="num" w:pos="2148" w:leader="none"/>
        </w:tabs>
        <w:ind w:left="2148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tabs>
          <w:tab w:val="num" w:pos="1440" w:leader="none"/>
        </w:tabs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tabs>
          <w:tab w:val="num" w:pos="2160" w:leader="none"/>
        </w:tabs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tabs>
          <w:tab w:val="num" w:pos="2880" w:leader="none"/>
        </w:tabs>
        <w:ind w:left="2880" w:hanging="360"/>
      </w:pPr>
      <w:rPr>
        <w:rFonts w:hint="default" w:ascii="Liberation Serif" w:hAnsi="Liberation Serif" w:cs="Liberation Serif"/>
        <w:sz w:val="21"/>
        <w:szCs w:val="21"/>
      </w:rPr>
    </w:lvl>
    <w:lvl w:ilvl="4">
      <w:start w:val="1"/>
      <w:numFmt w:val="lowerLetter"/>
      <w:isLgl w:val="false"/>
      <w:suff w:val="tab"/>
      <w:lvlText w:val="%5."/>
      <w:lvlJc w:val="left"/>
      <w:pPr>
        <w:tabs>
          <w:tab w:val="num" w:pos="3600" w:leader="none"/>
        </w:tabs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tabs>
          <w:tab w:val="num" w:pos="4320" w:leader="none"/>
        </w:tabs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tabs>
          <w:tab w:val="num" w:pos="5040" w:leader="none"/>
        </w:tabs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tabs>
          <w:tab w:val="num" w:pos="5760" w:leader="none"/>
        </w:tabs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tabs>
          <w:tab w:val="num" w:pos="6480" w:leader="none"/>
        </w:tabs>
        <w:ind w:left="6480" w:hanging="180"/>
      </w:pPr>
    </w:lvl>
  </w:abstractNum>
  <w:abstractNum w:abstractNumId="14">
    <w:multiLevelType w:val="hybridMultilevel"/>
    <w:lvl w:ilvl="0">
      <w:start w:val="1"/>
      <w:numFmt w:val="bullet"/>
      <w:isLgl w:val="false"/>
      <w:suff w:val="space"/>
      <w:lvlText w:val=""/>
      <w:lvlJc w:val="left"/>
      <w:pPr>
        <w:ind w:left="8231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8951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9671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10391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11111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11831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2551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3271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3991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tabs>
          <w:tab w:val="num" w:pos="720" w:leader="none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tabs>
          <w:tab w:val="num" w:pos="1440" w:leader="none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tabs>
          <w:tab w:val="num" w:pos="2160" w:leader="none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tabs>
          <w:tab w:val="num" w:pos="2880" w:leader="none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tabs>
          <w:tab w:val="num" w:pos="3600" w:leader="none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tabs>
          <w:tab w:val="num" w:pos="4320" w:leader="none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tabs>
          <w:tab w:val="num" w:pos="5040" w:leader="none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tabs>
          <w:tab w:val="num" w:pos="5760" w:leader="none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tabs>
          <w:tab w:val="num" w:pos="6480" w:leader="none"/>
        </w:tabs>
        <w:ind w:left="6480" w:hanging="360"/>
      </w:pPr>
      <w:rPr>
        <w:rFonts w:hint="default" w:ascii="Wingdings" w:hAnsi="Wingdings" w:cs="Wingdings"/>
      </w:rPr>
    </w:lvl>
  </w:abstractNum>
  <w:abstractNum w:abstractNumId="16">
    <w:multiLevelType w:val="hybridMultilevel"/>
    <w:lvl w:ilvl="0">
      <w:start w:val="13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7383" w:hanging="720"/>
      </w:pPr>
      <w:rPr>
        <w:rFonts w:hint="default"/>
        <w:i w:val="0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720" w:leader="none"/>
        </w:tabs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tabs>
          <w:tab w:val="num" w:pos="1440" w:leader="none"/>
        </w:tabs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tabs>
          <w:tab w:val="num" w:pos="2160" w:leader="none"/>
        </w:tabs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tabs>
          <w:tab w:val="num" w:pos="2880" w:leader="none"/>
        </w:tabs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tabs>
          <w:tab w:val="num" w:pos="3600" w:leader="none"/>
        </w:tabs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tabs>
          <w:tab w:val="num" w:pos="4320" w:leader="none"/>
        </w:tabs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tabs>
          <w:tab w:val="num" w:pos="5040" w:leader="none"/>
        </w:tabs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tabs>
          <w:tab w:val="num" w:pos="5760" w:leader="none"/>
        </w:tabs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tabs>
          <w:tab w:val="num" w:pos="6480" w:leader="none"/>
        </w:tabs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9">
    <w:multiLevelType w:val="hybridMultilevel"/>
    <w:lvl w:ilvl="0">
      <w:start w:val="1"/>
      <w:numFmt w:val="lowerLetter"/>
      <w:isLgl w:val="false"/>
      <w:suff w:val="nothing"/>
      <w:lvlText w:val="%1)"/>
      <w:lvlJc w:val="left"/>
      <w:pPr>
        <w:ind w:left="57" w:firstLine="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tabs>
          <w:tab w:val="num" w:pos="1440" w:leader="none"/>
        </w:tabs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tabs>
          <w:tab w:val="num" w:pos="2160" w:leader="none"/>
        </w:tabs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tabs>
          <w:tab w:val="num" w:pos="2880" w:leader="none"/>
        </w:tabs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tabs>
          <w:tab w:val="num" w:pos="3600" w:leader="none"/>
        </w:tabs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tabs>
          <w:tab w:val="num" w:pos="4320" w:leader="none"/>
        </w:tabs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tabs>
          <w:tab w:val="num" w:pos="5040" w:leader="none"/>
        </w:tabs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tabs>
          <w:tab w:val="num" w:pos="5760" w:leader="none"/>
        </w:tabs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tabs>
          <w:tab w:val="num" w:pos="6480" w:leader="none"/>
        </w:tabs>
        <w:ind w:left="6480" w:hanging="180"/>
      </w:pPr>
    </w:lvl>
  </w:abstractNum>
  <w:abstractNum w:abstractNumId="20">
    <w:multiLevelType w:val="hybridMultilevel"/>
    <w:lvl w:ilvl="0">
      <w:start w:val="8"/>
      <w:numFmt w:val="decimal"/>
      <w:isLgl w:val="false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tabs>
          <w:tab w:val="num" w:pos="1287" w:leader="none"/>
        </w:tabs>
        <w:ind w:left="128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tabs>
          <w:tab w:val="num" w:pos="2007" w:leader="none"/>
        </w:tabs>
        <w:ind w:left="200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tabs>
          <w:tab w:val="num" w:pos="2727" w:leader="none"/>
        </w:tabs>
        <w:ind w:left="272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tabs>
          <w:tab w:val="num" w:pos="3447" w:leader="none"/>
        </w:tabs>
        <w:ind w:left="344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tabs>
          <w:tab w:val="num" w:pos="4167" w:leader="none"/>
        </w:tabs>
        <w:ind w:left="416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tabs>
          <w:tab w:val="num" w:pos="4887" w:leader="none"/>
        </w:tabs>
        <w:ind w:left="488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tabs>
          <w:tab w:val="num" w:pos="5607" w:leader="none"/>
        </w:tabs>
        <w:ind w:left="560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tabs>
          <w:tab w:val="num" w:pos="6327" w:leader="none"/>
        </w:tabs>
        <w:ind w:left="632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tabs>
          <w:tab w:val="num" w:pos="7047" w:leader="none"/>
        </w:tabs>
        <w:ind w:left="7047" w:hanging="36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1440" w:leader="none"/>
        </w:tabs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tabs>
          <w:tab w:val="num" w:pos="2160" w:leader="none"/>
        </w:tabs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tabs>
          <w:tab w:val="num" w:pos="2880" w:leader="none"/>
        </w:tabs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tabs>
          <w:tab w:val="num" w:pos="3600" w:leader="none"/>
        </w:tabs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tabs>
          <w:tab w:val="num" w:pos="4320" w:leader="none"/>
        </w:tabs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tabs>
          <w:tab w:val="num" w:pos="5040" w:leader="none"/>
        </w:tabs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tabs>
          <w:tab w:val="num" w:pos="5760" w:leader="none"/>
        </w:tabs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tabs>
          <w:tab w:val="num" w:pos="6480" w:leader="none"/>
        </w:tabs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tabs>
          <w:tab w:val="num" w:pos="7200" w:leader="none"/>
        </w:tabs>
        <w:ind w:left="7200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1"/>
      <w:numFmt w:val="decimal"/>
      <w:isLgl w:val="false"/>
      <w:suff w:val="tab"/>
      <w:lvlText w:val="%1."/>
      <w:lvlJc w:val="left"/>
      <w:pPr>
        <w:tabs>
          <w:tab w:val="num" w:pos="360" w:leader="none"/>
        </w:tabs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tabs>
          <w:tab w:val="num" w:pos="1080" w:leader="none"/>
        </w:tabs>
        <w:ind w:left="108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tabs>
          <w:tab w:val="num" w:pos="2160" w:leader="none"/>
        </w:tabs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tabs>
          <w:tab w:val="num" w:pos="2880" w:leader="none"/>
        </w:tabs>
        <w:ind w:left="288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tabs>
          <w:tab w:val="num" w:pos="3960" w:leader="none"/>
        </w:tabs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tabs>
          <w:tab w:val="num" w:pos="4680" w:leader="none"/>
        </w:tabs>
        <w:ind w:left="46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tabs>
          <w:tab w:val="num" w:pos="5400" w:leader="none"/>
        </w:tabs>
        <w:ind w:left="540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tabs>
          <w:tab w:val="num" w:pos="6480" w:leader="none"/>
        </w:tabs>
        <w:ind w:left="648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tabs>
          <w:tab w:val="num" w:pos="7200" w:leader="none"/>
        </w:tabs>
        <w:ind w:left="7200" w:hanging="1440"/>
      </w:pPr>
      <w:rPr>
        <w:rFonts w:hint="default"/>
      </w:rPr>
    </w:lvl>
  </w:abstractNum>
  <w:abstractNum w:abstractNumId="25">
    <w:multiLevelType w:val="hybridMultilevel"/>
    <w:lvl w:ilvl="0">
      <w:start w:val="8"/>
      <w:numFmt w:val="decimal"/>
      <w:isLgl w:val="false"/>
      <w:suff w:val="tab"/>
      <w:lvlText w:val="%1."/>
      <w:lvlJc w:val="left"/>
      <w:pPr>
        <w:tabs>
          <w:tab w:val="num" w:pos="360" w:leader="none"/>
        </w:tabs>
        <w:ind w:left="360" w:hanging="360"/>
      </w:pPr>
      <w:rPr>
        <w:rFonts w:hint="default"/>
      </w:rPr>
    </w:lvl>
    <w:lvl w:ilvl="1">
      <w:start w:val="1"/>
      <w:numFmt w:val="decimal"/>
      <w:isLgl w:val="false"/>
      <w:suff w:val="tab"/>
      <w:lvlText w:val="%1.%2."/>
      <w:lvlJc w:val="left"/>
      <w:pPr>
        <w:tabs>
          <w:tab w:val="num" w:pos="928" w:leader="none"/>
        </w:tabs>
        <w:ind w:left="928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tabs>
          <w:tab w:val="num" w:pos="2160" w:leader="none"/>
        </w:tabs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tabs>
          <w:tab w:val="num" w:pos="2880" w:leader="none"/>
        </w:tabs>
        <w:ind w:left="288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tabs>
          <w:tab w:val="num" w:pos="3960" w:leader="none"/>
        </w:tabs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tabs>
          <w:tab w:val="num" w:pos="4680" w:leader="none"/>
        </w:tabs>
        <w:ind w:left="46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tabs>
          <w:tab w:val="num" w:pos="5400" w:leader="none"/>
        </w:tabs>
        <w:ind w:left="540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tabs>
          <w:tab w:val="num" w:pos="6480" w:leader="none"/>
        </w:tabs>
        <w:ind w:left="648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tabs>
          <w:tab w:val="num" w:pos="7200" w:leader="none"/>
        </w:tabs>
        <w:ind w:left="7200" w:hanging="1440"/>
      </w:pPr>
      <w:rPr>
        <w:rFonts w:hint="default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0" w:hanging="360"/>
      </w:pPr>
      <w:rPr>
        <w:rFonts w:hint="default" w:ascii="Symbol" w:hAnsi="Symbol"/>
      </w:rPr>
    </w:lvl>
    <w:lvl w:ilvl="1">
      <w:start w:val="1"/>
      <w:numFmt w:val="decimal"/>
      <w:isLgl/>
      <w:suff w:val="tab"/>
      <w:lvlText w:val="%1.%2."/>
      <w:lvlJc w:val="left"/>
      <w:pPr>
        <w:ind w:left="360" w:hanging="720"/>
      </w:pPr>
      <w:rPr>
        <w:rFonts w:hint="default"/>
        <w:b w:val="0"/>
      </w:rPr>
    </w:lvl>
    <w:lvl w:ilvl="2">
      <w:start w:val="1"/>
      <w:numFmt w:val="bullet"/>
      <w:isLgl w:val="false"/>
      <w:suff w:val="tab"/>
      <w:lvlText w:val=""/>
      <w:lvlJc w:val="left"/>
      <w:pPr>
        <w:ind w:left="360" w:hanging="720"/>
      </w:pPr>
      <w:rPr>
        <w:rFonts w:hint="default" w:ascii="Symbol" w:hAnsi="Symbol"/>
      </w:rPr>
    </w:lvl>
    <w:lvl w:ilvl="3">
      <w:start w:val="1"/>
      <w:numFmt w:val="decimal"/>
      <w:isLgl/>
      <w:suff w:val="tab"/>
      <w:lvlText w:val="%1.%2.%3.%4."/>
      <w:lvlJc w:val="left"/>
      <w:pPr>
        <w:ind w:left="720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080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08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440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1800" w:hanging="2160"/>
      </w:pPr>
      <w:rPr>
        <w:rFonts w:hint="default"/>
      </w:rPr>
    </w:lvl>
  </w:abstractNum>
  <w:abstractNum w:abstractNumId="27">
    <w:multiLevelType w:val="hybridMultilevel"/>
    <w:lvl w:ilvl="0">
      <w:start w:val="14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1"/>
      <w:numFmt w:val="decimal"/>
      <w:isLgl/>
      <w:suff w:val="tab"/>
      <w:lvlText w:val="%1.%2.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3839" w:hanging="720"/>
      </w:pPr>
      <w:rPr>
        <w:rFonts w:hint="default"/>
        <w:i w:val="0"/>
      </w:rPr>
    </w:lvl>
    <w:lvl w:ilvl="3">
      <w:start w:val="1"/>
      <w:numFmt w:val="decimal"/>
      <w:isLgl/>
      <w:suff w:val="tab"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8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tabs>
          <w:tab w:val="num" w:pos="360" w:leader="none"/>
        </w:tabs>
        <w:ind w:left="360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tabs>
          <w:tab w:val="num" w:pos="502" w:leader="none"/>
        </w:tabs>
        <w:ind w:left="502" w:hanging="360"/>
      </w:pPr>
      <w:rPr>
        <w:rFonts w:hint="default"/>
        <w:b w:val="0"/>
        <w:i w:val="0"/>
      </w:rPr>
    </w:lvl>
    <w:lvl w:ilvl="2">
      <w:start w:val="1"/>
      <w:numFmt w:val="decimal"/>
      <w:isLgl w:val="false"/>
      <w:suff w:val="tab"/>
      <w:lvlText w:val="%1.%2.%3."/>
      <w:lvlJc w:val="left"/>
      <w:pPr>
        <w:tabs>
          <w:tab w:val="num" w:pos="2160" w:leader="none"/>
        </w:tabs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tabs>
          <w:tab w:val="num" w:pos="2880" w:leader="none"/>
        </w:tabs>
        <w:ind w:left="288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tabs>
          <w:tab w:val="num" w:pos="3960" w:leader="none"/>
        </w:tabs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tabs>
          <w:tab w:val="num" w:pos="4680" w:leader="none"/>
        </w:tabs>
        <w:ind w:left="46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tabs>
          <w:tab w:val="num" w:pos="5760" w:leader="none"/>
        </w:tabs>
        <w:ind w:left="576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tabs>
          <w:tab w:val="num" w:pos="6480" w:leader="none"/>
        </w:tabs>
        <w:ind w:left="648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tabs>
          <w:tab w:val="num" w:pos="7560" w:leader="none"/>
        </w:tabs>
        <w:ind w:left="7560" w:hanging="1800"/>
      </w:pPr>
      <w:rPr>
        <w:rFonts w:hint="default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14"/>
      <w:numFmt w:val="decimal"/>
      <w:isLgl w:val="false"/>
      <w:suff w:val="tab"/>
      <w:lvlText w:val="%1."/>
      <w:lvlJc w:val="left"/>
      <w:pPr>
        <w:ind w:left="660" w:hanging="660"/>
      </w:pPr>
      <w:rPr>
        <w:rFonts w:hint="default"/>
      </w:rPr>
    </w:lvl>
    <w:lvl w:ilvl="1">
      <w:start w:val="10"/>
      <w:numFmt w:val="decimal"/>
      <w:isLgl w:val="false"/>
      <w:suff w:val="tab"/>
      <w:lvlText w:val="%1.%2.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isLgl w:val="false"/>
      <w:suff w:val="tab"/>
      <w:lvlText w:val="%1.%2.%3."/>
      <w:lvlJc w:val="left"/>
      <w:pPr>
        <w:ind w:left="38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5397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73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8875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0434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2353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3912" w:hanging="1440"/>
      </w:pPr>
      <w:rPr>
        <w:rFonts w:hint="default"/>
      </w:r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tabs>
          <w:tab w:val="num" w:pos="360" w:leader="none"/>
        </w:tabs>
        <w:ind w:left="360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tabs>
          <w:tab w:val="num" w:pos="792" w:leader="none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tabs>
          <w:tab w:val="num" w:pos="1440" w:leader="none"/>
        </w:tabs>
        <w:ind w:left="1224" w:hanging="504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tabs>
          <w:tab w:val="num" w:pos="2160" w:leader="none"/>
        </w:tabs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tabs>
          <w:tab w:val="num" w:pos="2520" w:leader="none"/>
        </w:tabs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tabs>
          <w:tab w:val="num" w:pos="3240" w:leader="none"/>
        </w:tabs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tabs>
          <w:tab w:val="num" w:pos="3960" w:leader="none"/>
        </w:tabs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tabs>
          <w:tab w:val="num" w:pos="4320" w:leader="none"/>
        </w:tabs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tabs>
          <w:tab w:val="num" w:pos="5040" w:leader="none"/>
        </w:tabs>
        <w:ind w:left="4320" w:hanging="1440"/>
      </w:pPr>
      <w:rPr>
        <w:rFonts w:hint="default"/>
      </w:rPr>
    </w:lvl>
  </w:abstractNum>
  <w:abstractNum w:abstractNumId="32">
    <w:multiLevelType w:val="hybridMultilevel"/>
    <w:lvl w:ilvl="0">
      <w:start w:val="1"/>
      <w:numFmt w:val="lowerLetter"/>
      <w:isLgl w:val="false"/>
      <w:suff w:val="space"/>
      <w:lvlText w:val="%1)"/>
      <w:lvlJc w:val="left"/>
      <w:pPr>
        <w:ind w:left="417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tabs>
          <w:tab w:val="num" w:pos="1931" w:leader="none"/>
        </w:tabs>
        <w:ind w:left="1931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tabs>
          <w:tab w:val="num" w:pos="2651" w:leader="none"/>
        </w:tabs>
        <w:ind w:left="2651" w:hanging="180"/>
      </w:pPr>
    </w:lvl>
    <w:lvl w:ilvl="3">
      <w:start w:val="1"/>
      <w:numFmt w:val="decimal"/>
      <w:isLgl w:val="false"/>
      <w:suff w:val="tab"/>
      <w:lvlText w:val="%4."/>
      <w:lvlJc w:val="left"/>
      <w:pPr>
        <w:tabs>
          <w:tab w:val="num" w:pos="3371" w:leader="none"/>
        </w:tabs>
        <w:ind w:left="3371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tabs>
          <w:tab w:val="num" w:pos="4091" w:leader="none"/>
        </w:tabs>
        <w:ind w:left="4091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tabs>
          <w:tab w:val="num" w:pos="4811" w:leader="none"/>
        </w:tabs>
        <w:ind w:left="4811" w:hanging="180"/>
      </w:pPr>
    </w:lvl>
    <w:lvl w:ilvl="6">
      <w:start w:val="1"/>
      <w:numFmt w:val="decimal"/>
      <w:isLgl w:val="false"/>
      <w:suff w:val="tab"/>
      <w:lvlText w:val="%7."/>
      <w:lvlJc w:val="left"/>
      <w:pPr>
        <w:tabs>
          <w:tab w:val="num" w:pos="5531" w:leader="none"/>
        </w:tabs>
        <w:ind w:left="5531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tabs>
          <w:tab w:val="num" w:pos="6251" w:leader="none"/>
        </w:tabs>
        <w:ind w:left="6251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tabs>
          <w:tab w:val="num" w:pos="6971" w:leader="none"/>
        </w:tabs>
        <w:ind w:left="6971" w:hanging="180"/>
      </w:pPr>
    </w:lvl>
  </w:abstractNum>
  <w:abstractNum w:abstractNumId="33">
    <w:multiLevelType w:val="hybridMultilevel"/>
    <w:lvl w:ilvl="0">
      <w:start w:val="14"/>
      <w:numFmt w:val="decimal"/>
      <w:isLgl w:val="false"/>
      <w:suff w:val="tab"/>
      <w:lvlText w:val="%1."/>
      <w:lvlJc w:val="left"/>
      <w:pPr>
        <w:ind w:left="705" w:hanging="705"/>
      </w:pPr>
      <w:rPr>
        <w:rFonts w:hint="default"/>
      </w:rPr>
    </w:lvl>
    <w:lvl w:ilvl="1">
      <w:start w:val="11"/>
      <w:numFmt w:val="decimal"/>
      <w:isLgl w:val="false"/>
      <w:suff w:val="tab"/>
      <w:lvlText w:val="%1.%2."/>
      <w:lvlJc w:val="left"/>
      <w:pPr>
        <w:ind w:left="847" w:hanging="705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2576" w:hanging="1440"/>
      </w:pPr>
      <w:rPr>
        <w:rFonts w:hint="default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−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>
    <w:multiLevelType w:val="hybridMultilevel"/>
    <w:lvl w:ilvl="0">
      <w:start w:val="3"/>
      <w:numFmt w:val="decimal"/>
      <w:isLgl w:val="false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tabs>
          <w:tab w:val="num" w:pos="644" w:leader="none"/>
        </w:tabs>
        <w:ind w:left="644" w:hanging="360"/>
      </w:pPr>
      <w:rPr>
        <w:rFonts w:hint="default"/>
        <w:b w:val="0"/>
        <w:i w:val="0"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tabs>
          <w:tab w:val="num" w:pos="2160" w:leader="none"/>
        </w:tabs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tabs>
          <w:tab w:val="num" w:pos="2880" w:leader="none"/>
        </w:tabs>
        <w:ind w:left="288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tabs>
          <w:tab w:val="num" w:pos="3960" w:leader="none"/>
        </w:tabs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tabs>
          <w:tab w:val="num" w:pos="4680" w:leader="none"/>
        </w:tabs>
        <w:ind w:left="46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tabs>
          <w:tab w:val="num" w:pos="5760" w:leader="none"/>
        </w:tabs>
        <w:ind w:left="576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tabs>
          <w:tab w:val="num" w:pos="6480" w:leader="none"/>
        </w:tabs>
        <w:ind w:left="648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tabs>
          <w:tab w:val="num" w:pos="7560" w:leader="none"/>
        </w:tabs>
        <w:ind w:left="7560" w:hanging="1800"/>
      </w:pPr>
      <w:rPr>
        <w:rFonts w:hint="default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space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decimal"/>
      <w:isLgl w:val="false"/>
      <w:suff w:val="tab"/>
      <w:lvlText w:val="%2."/>
      <w:lvlJc w:val="left"/>
      <w:pPr>
        <w:tabs>
          <w:tab w:val="num" w:pos="1440" w:leader="none"/>
        </w:tabs>
        <w:ind w:left="1440" w:hanging="360"/>
      </w:pPr>
    </w:lvl>
    <w:lvl w:ilvl="2">
      <w:start w:val="1"/>
      <w:numFmt w:val="bullet"/>
      <w:isLgl w:val="false"/>
      <w:suff w:val="tab"/>
      <w:lvlText w:val=""/>
      <w:lvlJc w:val="left"/>
      <w:pPr>
        <w:tabs>
          <w:tab w:val="num" w:pos="2160" w:leader="none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tabs>
          <w:tab w:val="num" w:pos="2880" w:leader="none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tabs>
          <w:tab w:val="num" w:pos="3600" w:leader="none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tabs>
          <w:tab w:val="num" w:pos="4320" w:leader="none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tabs>
          <w:tab w:val="num" w:pos="5040" w:leader="none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tabs>
          <w:tab w:val="num" w:pos="5760" w:leader="none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tabs>
          <w:tab w:val="num" w:pos="6480" w:leader="none"/>
        </w:tabs>
        <w:ind w:left="6480" w:hanging="360"/>
      </w:pPr>
      <w:rPr>
        <w:rFonts w:hint="default" w:ascii="Wingdings" w:hAnsi="Wingdings"/>
      </w:rPr>
    </w:lvl>
  </w:abstractNum>
  <w:abstractNum w:abstractNumId="39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tabs>
          <w:tab w:val="num" w:pos="360" w:leader="none"/>
        </w:tabs>
        <w:ind w:left="360" w:hanging="360"/>
      </w:pPr>
      <w:rPr>
        <w:rFonts w:hint="default"/>
      </w:rPr>
    </w:lvl>
    <w:lvl w:ilvl="1">
      <w:start w:val="4"/>
      <w:numFmt w:val="decimal"/>
      <w:isLgl w:val="false"/>
      <w:suff w:val="tab"/>
      <w:lvlText w:val="%1.%2."/>
      <w:lvlJc w:val="left"/>
      <w:pPr>
        <w:tabs>
          <w:tab w:val="num" w:pos="360" w:leader="none"/>
        </w:tabs>
        <w:ind w:left="360" w:hanging="36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tabs>
          <w:tab w:val="num" w:pos="3839" w:leader="none"/>
        </w:tabs>
        <w:ind w:left="3839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tabs>
          <w:tab w:val="num" w:pos="720" w:leader="none"/>
        </w:tabs>
        <w:ind w:left="72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tabs>
          <w:tab w:val="num" w:pos="1080" w:leader="none"/>
        </w:tabs>
        <w:ind w:left="108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tabs>
          <w:tab w:val="num" w:pos="1080" w:leader="none"/>
        </w:tabs>
        <w:ind w:left="10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tabs>
          <w:tab w:val="num" w:pos="1440" w:leader="none"/>
        </w:tabs>
        <w:ind w:left="144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tabs>
          <w:tab w:val="num" w:pos="1440" w:leader="none"/>
        </w:tabs>
        <w:ind w:left="144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tabs>
          <w:tab w:val="num" w:pos="1800" w:leader="none"/>
        </w:tabs>
        <w:ind w:left="1800" w:hanging="1800"/>
      </w:pPr>
      <w:rPr>
        <w:rFonts w:hint="default"/>
      </w:rPr>
    </w:lvl>
  </w:abstractNum>
  <w:abstractNum w:abstractNumId="40">
    <w:multiLevelType w:val="hybridMultilevel"/>
    <w:lvl w:ilvl="0">
      <w:start w:val="1"/>
      <w:numFmt w:val="bullet"/>
      <w:isLgl w:val="false"/>
      <w:suff w:val="space"/>
      <w:lvlText w:val=""/>
      <w:lvlJc w:val="left"/>
      <w:pPr>
        <w:ind w:left="100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6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2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>
    <w:multiLevelType w:val="hybridMultilevel"/>
    <w:lvl w:ilvl="0">
      <w:start w:val="10"/>
      <w:numFmt w:val="decimal"/>
      <w:isLgl w:val="false"/>
      <w:suff w:val="tab"/>
      <w:lvlText w:val="%1"/>
      <w:lvlJc w:val="left"/>
      <w:pPr>
        <w:ind w:left="480" w:hanging="480"/>
      </w:pPr>
    </w:lvl>
    <w:lvl w:ilvl="1">
      <w:start w:val="13"/>
      <w:numFmt w:val="decimal"/>
      <w:isLgl w:val="false"/>
      <w:suff w:val="tab"/>
      <w:lvlText w:val="%1.%2"/>
      <w:lvlJc w:val="left"/>
      <w:pPr>
        <w:ind w:left="1200" w:hanging="480"/>
      </w:pPr>
    </w:lvl>
    <w:lvl w:ilvl="2">
      <w:start w:val="1"/>
      <w:numFmt w:val="decimal"/>
      <w:isLgl w:val="false"/>
      <w:suff w:val="tab"/>
      <w:lvlText w:val="%1.%2.%3"/>
      <w:lvlJc w:val="left"/>
      <w:pPr>
        <w:ind w:left="2160" w:hanging="720"/>
      </w:pPr>
    </w:lvl>
    <w:lvl w:ilvl="3">
      <w:start w:val="1"/>
      <w:numFmt w:val="decimal"/>
      <w:isLgl w:val="false"/>
      <w:suff w:val="tab"/>
      <w:lvlText w:val="%1.%2.%3.%4"/>
      <w:lvlJc w:val="left"/>
      <w:pPr>
        <w:ind w:left="2880" w:hanging="720"/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3960" w:hanging="1080"/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4680" w:hanging="1080"/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5760" w:hanging="1440"/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6480" w:hanging="1440"/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200" w:hanging="1440"/>
      </w:pPr>
    </w:lvl>
  </w:abstractNum>
  <w:abstractNum w:abstractNumId="43">
    <w:multiLevelType w:val="hybridMultilevel"/>
    <w:lvl w:ilvl="0">
      <w:start w:val="3"/>
      <w:numFmt w:val="decimal"/>
      <w:isLgl w:val="false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 w:val="false"/>
      <w:suff w:val="tab"/>
      <w:lvlText w:val="%1.%2."/>
      <w:lvlJc w:val="left"/>
      <w:pPr>
        <w:tabs>
          <w:tab w:val="num" w:pos="644" w:leader="none"/>
        </w:tabs>
        <w:ind w:left="644" w:hanging="360"/>
      </w:pPr>
      <w:rPr>
        <w:rFonts w:hint="default"/>
        <w:b w:val="0"/>
        <w:i w:val="0"/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tabs>
          <w:tab w:val="num" w:pos="2160" w:leader="none"/>
        </w:tabs>
        <w:ind w:left="2160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tabs>
          <w:tab w:val="num" w:pos="2880" w:leader="none"/>
        </w:tabs>
        <w:ind w:left="2880" w:hanging="72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tabs>
          <w:tab w:val="num" w:pos="3960" w:leader="none"/>
        </w:tabs>
        <w:ind w:left="3960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tabs>
          <w:tab w:val="num" w:pos="4680" w:leader="none"/>
        </w:tabs>
        <w:ind w:left="4680" w:hanging="108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tabs>
          <w:tab w:val="num" w:pos="5760" w:leader="none"/>
        </w:tabs>
        <w:ind w:left="5760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tabs>
          <w:tab w:val="num" w:pos="6480" w:leader="none"/>
        </w:tabs>
        <w:ind w:left="6480" w:hanging="144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tabs>
          <w:tab w:val="num" w:pos="7560" w:leader="none"/>
        </w:tabs>
        <w:ind w:left="7560" w:hanging="1800"/>
      </w:pPr>
      <w:rPr>
        <w:rFonts w:hint="default"/>
      </w:rPr>
    </w:lvl>
  </w:abstractNum>
  <w:num w:numId="1">
    <w:abstractNumId w:val="21"/>
  </w:num>
  <w:num w:numId="2">
    <w:abstractNumId w:val="15"/>
  </w:num>
  <w:num w:numId="3">
    <w:abstractNumId w:val="31"/>
  </w:num>
  <w:num w:numId="4">
    <w:abstractNumId w:val="36"/>
  </w:num>
  <w:num w:numId="5">
    <w:abstractNumId w:val="22"/>
  </w:num>
  <w:num w:numId="6">
    <w:abstractNumId w:val="39"/>
  </w:num>
  <w:num w:numId="7">
    <w:abstractNumId w:val="17"/>
  </w:num>
  <w:num w:numId="8">
    <w:abstractNumId w:val="8"/>
  </w:num>
  <w:num w:numId="9">
    <w:abstractNumId w:val="2"/>
  </w:num>
  <w:num w:numId="10">
    <w:abstractNumId w:val="12"/>
  </w:num>
  <w:num w:numId="11">
    <w:abstractNumId w:val="5"/>
  </w:num>
  <w:num w:numId="12">
    <w:abstractNumId w:val="25"/>
  </w:num>
  <w:num w:numId="13">
    <w:abstractNumId w:val="13"/>
  </w:num>
  <w:num w:numId="14">
    <w:abstractNumId w:val="7"/>
  </w:num>
  <w:num w:numId="15">
    <w:abstractNumId w:val="4"/>
  </w:num>
  <w:num w:numId="16">
    <w:abstractNumId w:val="11"/>
  </w:num>
  <w:num w:numId="17">
    <w:abstractNumId w:val="3"/>
  </w:num>
  <w:num w:numId="18">
    <w:abstractNumId w:val="32"/>
  </w:num>
  <w:num w:numId="19">
    <w:abstractNumId w:val="20"/>
  </w:num>
  <w:num w:numId="20">
    <w:abstractNumId w:val="19"/>
  </w:num>
  <w:num w:numId="21">
    <w:abstractNumId w:val="16"/>
  </w:num>
  <w:num w:numId="22">
    <w:abstractNumId w:val="24"/>
  </w:num>
  <w:num w:numId="23">
    <w:abstractNumId w:val="27"/>
  </w:num>
  <w:num w:numId="24">
    <w:abstractNumId w:val="38"/>
    <w:lvlOverride w:ilvl="1">
      <w:startOverride w:val="1"/>
    </w:lvlOverride>
  </w:num>
  <w:num w:numId="25">
    <w:abstractNumId w:val="29"/>
  </w:num>
  <w:num w:numId="26">
    <w:abstractNumId w:val="0"/>
  </w:num>
  <w:num w:numId="27">
    <w:abstractNumId w:val="14"/>
  </w:num>
  <w:num w:numId="28">
    <w:abstractNumId w:val="40"/>
  </w:num>
  <w:num w:numId="29">
    <w:abstractNumId w:val="28"/>
  </w:num>
  <w:num w:numId="30">
    <w:abstractNumId w:val="6"/>
  </w:num>
  <w:num w:numId="31">
    <w:abstractNumId w:val="41"/>
  </w:num>
  <w:num w:numId="32">
    <w:abstractNumId w:val="23"/>
  </w:num>
  <w:num w:numId="33">
    <w:abstractNumId w:val="34"/>
  </w:num>
  <w:num w:numId="34">
    <w:abstractNumId w:val="26"/>
  </w:num>
  <w:num w:numId="35">
    <w:abstractNumId w:val="35"/>
  </w:num>
  <w:num w:numId="3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8"/>
  </w:num>
  <w:num w:numId="38">
    <w:abstractNumId w:val="10"/>
  </w:num>
  <w:num w:numId="39">
    <w:abstractNumId w:val="37"/>
  </w:num>
  <w:num w:numId="40">
    <w:abstractNumId w:val="9"/>
  </w:num>
  <w:num w:numId="41">
    <w:abstractNumId w:val="1"/>
  </w:num>
  <w:num w:numId="42">
    <w:abstractNumId w:val="42"/>
    <w:lvlOverride w:ilvl="0">
      <w:startOverride w:val="10"/>
    </w:lvlOverride>
    <w:lvlOverride w:ilvl="1">
      <w:startOverride w:val="1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0"/>
  </w:num>
  <w:num w:numId="44">
    <w:abstractNumId w:val="38"/>
  </w:num>
  <w:num w:numId="45">
    <w:abstractNumId w:val="33"/>
  </w:num>
  <w:num w:numId="4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756"/>
    <w:next w:val="756"/>
    <w:link w:val="15"/>
    <w:uiPriority w:val="9"/>
    <w:qFormat/>
    <w:pPr>
      <w:keepNext/>
      <w:keepLines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757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756"/>
    <w:next w:val="756"/>
    <w:link w:val="17"/>
    <w:uiPriority w:val="9"/>
    <w:unhideWhenUsed/>
    <w:qFormat/>
    <w:pPr>
      <w:keepNext/>
      <w:keepLines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757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756"/>
    <w:next w:val="756"/>
    <w:link w:val="19"/>
    <w:uiPriority w:val="9"/>
    <w:unhideWhenUsed/>
    <w:qFormat/>
    <w:pPr>
      <w:keepNext/>
      <w:keepLines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757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756"/>
    <w:next w:val="756"/>
    <w:link w:val="21"/>
    <w:uiPriority w:val="9"/>
    <w:unhideWhenUsed/>
    <w:qFormat/>
    <w:pPr>
      <w:keepNext/>
      <w:keepLines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757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756"/>
    <w:next w:val="756"/>
    <w:link w:val="23"/>
    <w:uiPriority w:val="9"/>
    <w:unhideWhenUsed/>
    <w:qFormat/>
    <w:pPr>
      <w:keepNext/>
      <w:keepLines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757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756"/>
    <w:next w:val="756"/>
    <w:link w:val="25"/>
    <w:uiPriority w:val="9"/>
    <w:unhideWhenUsed/>
    <w:qFormat/>
    <w:pPr>
      <w:keepNext/>
      <w:keepLines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757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756"/>
    <w:next w:val="756"/>
    <w:link w:val="27"/>
    <w:uiPriority w:val="9"/>
    <w:unhideWhenUsed/>
    <w:qFormat/>
    <w:pPr>
      <w:keepNext/>
      <w:keepLines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757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756"/>
    <w:next w:val="756"/>
    <w:link w:val="29"/>
    <w:uiPriority w:val="9"/>
    <w:unhideWhenUsed/>
    <w:qFormat/>
    <w:pPr>
      <w:keepNext/>
      <w:keepLines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757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756"/>
    <w:next w:val="756"/>
    <w:link w:val="31"/>
    <w:uiPriority w:val="9"/>
    <w:unhideWhenUsed/>
    <w:qFormat/>
    <w:pPr>
      <w:keepNext/>
      <w:keepLines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757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756"/>
    <w:next w:val="756"/>
    <w:link w:val="36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36">
    <w:name w:val="Title Char"/>
    <w:basedOn w:val="757"/>
    <w:link w:val="35"/>
    <w:uiPriority w:val="10"/>
    <w:rPr>
      <w:sz w:val="48"/>
      <w:szCs w:val="48"/>
    </w:rPr>
  </w:style>
  <w:style w:type="paragraph" w:styleId="37">
    <w:name w:val="Subtitle"/>
    <w:basedOn w:val="756"/>
    <w:next w:val="756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757"/>
    <w:link w:val="37"/>
    <w:uiPriority w:val="11"/>
    <w:rPr>
      <w:sz w:val="24"/>
      <w:szCs w:val="24"/>
    </w:rPr>
  </w:style>
  <w:style w:type="paragraph" w:styleId="39">
    <w:name w:val="Quote"/>
    <w:basedOn w:val="756"/>
    <w:next w:val="756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756"/>
    <w:next w:val="756"/>
    <w:link w:val="4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  <w:contextualSpacing w:val="0"/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757"/>
    <w:link w:val="767"/>
    <w:uiPriority w:val="99"/>
  </w:style>
  <w:style w:type="character" w:styleId="46">
    <w:name w:val="Footer Char"/>
    <w:basedOn w:val="757"/>
    <w:link w:val="769"/>
    <w:uiPriority w:val="99"/>
  </w:style>
  <w:style w:type="paragraph" w:styleId="47">
    <w:name w:val="Caption"/>
    <w:basedOn w:val="756"/>
    <w:next w:val="756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757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7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7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75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6">
    <w:name w:val="Grid Table 1 Light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2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3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7">
    <w:name w:val="Grid Table 4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67a4d8" w:themeFill="accent1" w:themeFillTint="E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7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</w:style>
  <w:style w:type="table" w:styleId="85">
    <w:name w:val="Grid Table 5 Dark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</w:style>
  <w:style w:type="table" w:styleId="86">
    <w:name w:val="Grid Table 5 Dark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</w:style>
  <w:style w:type="table" w:styleId="87">
    <w:name w:val="Grid Table 5 Dark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</w:style>
  <w:style w:type="table" w:styleId="88">
    <w:name w:val="Grid Table 5 Dark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</w:style>
  <w:style w:type="table" w:styleId="89">
    <w:name w:val="Grid Table 5 Dark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</w:style>
  <w:style w:type="table" w:styleId="90">
    <w:name w:val="Grid Table 5 Dark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</w:style>
  <w:style w:type="table" w:styleId="91">
    <w:name w:val="Grid Table 6 Colorful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99">
    <w:name w:val="Grid Table 7 Colorful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100">
    <w:name w:val="Grid Table 7 Colorful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101">
    <w:name w:val="Grid Table 7 Colorful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102">
    <w:name w:val="Grid Table 7 Colorful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103">
    <w:name w:val="Grid Table 7 Colorful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104">
    <w:name w:val="Grid Table 7 Colorful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</w:style>
  <w:style w:type="table" w:styleId="105">
    <w:name w:val="List Table 1 Light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bdb" w:themeFill="accent5" w:themeFillTint="9A"/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7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7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7">
    <w:name w:val="Footnote Text Char"/>
    <w:link w:val="760"/>
    <w:uiPriority w:val="99"/>
    <w:rPr>
      <w:sz w:val="18"/>
    </w:rPr>
  </w:style>
  <w:style w:type="paragraph" w:styleId="179">
    <w:name w:val="endnote text"/>
    <w:basedOn w:val="756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757"/>
    <w:uiPriority w:val="99"/>
    <w:semiHidden/>
    <w:unhideWhenUsed/>
    <w:rPr>
      <w:vertAlign w:val="superscript"/>
    </w:rPr>
  </w:style>
  <w:style w:type="paragraph" w:styleId="182">
    <w:name w:val="toc 1"/>
    <w:basedOn w:val="756"/>
    <w:next w:val="756"/>
    <w:uiPriority w:val="39"/>
    <w:unhideWhenUsed/>
    <w:pPr>
      <w:spacing w:after="57"/>
      <w:ind w:left="0" w:right="0" w:firstLine="0"/>
    </w:pPr>
  </w:style>
  <w:style w:type="paragraph" w:styleId="183">
    <w:name w:val="toc 2"/>
    <w:basedOn w:val="756"/>
    <w:next w:val="756"/>
    <w:uiPriority w:val="39"/>
    <w:unhideWhenUsed/>
    <w:pPr>
      <w:spacing w:after="57"/>
      <w:ind w:left="283" w:right="0" w:firstLine="0"/>
    </w:pPr>
  </w:style>
  <w:style w:type="paragraph" w:styleId="184">
    <w:name w:val="toc 3"/>
    <w:basedOn w:val="756"/>
    <w:next w:val="756"/>
    <w:uiPriority w:val="39"/>
    <w:unhideWhenUsed/>
    <w:pPr>
      <w:spacing w:after="57"/>
      <w:ind w:left="567" w:right="0" w:firstLine="0"/>
    </w:pPr>
  </w:style>
  <w:style w:type="paragraph" w:styleId="185">
    <w:name w:val="toc 4"/>
    <w:basedOn w:val="756"/>
    <w:next w:val="756"/>
    <w:uiPriority w:val="39"/>
    <w:unhideWhenUsed/>
    <w:pPr>
      <w:spacing w:after="57"/>
      <w:ind w:left="850" w:right="0" w:firstLine="0"/>
    </w:pPr>
  </w:style>
  <w:style w:type="paragraph" w:styleId="186">
    <w:name w:val="toc 5"/>
    <w:basedOn w:val="756"/>
    <w:next w:val="756"/>
    <w:uiPriority w:val="39"/>
    <w:unhideWhenUsed/>
    <w:pPr>
      <w:spacing w:after="57"/>
      <w:ind w:left="1134" w:right="0" w:firstLine="0"/>
    </w:pPr>
  </w:style>
  <w:style w:type="paragraph" w:styleId="187">
    <w:name w:val="toc 6"/>
    <w:basedOn w:val="756"/>
    <w:next w:val="756"/>
    <w:uiPriority w:val="39"/>
    <w:unhideWhenUsed/>
    <w:pPr>
      <w:spacing w:after="57"/>
      <w:ind w:left="1417" w:right="0" w:firstLine="0"/>
    </w:pPr>
  </w:style>
  <w:style w:type="paragraph" w:styleId="188">
    <w:name w:val="toc 7"/>
    <w:basedOn w:val="756"/>
    <w:next w:val="756"/>
    <w:uiPriority w:val="39"/>
    <w:unhideWhenUsed/>
    <w:pPr>
      <w:spacing w:after="57"/>
      <w:ind w:left="1701" w:right="0" w:firstLine="0"/>
    </w:pPr>
  </w:style>
  <w:style w:type="paragraph" w:styleId="189">
    <w:name w:val="toc 8"/>
    <w:basedOn w:val="756"/>
    <w:next w:val="756"/>
    <w:uiPriority w:val="39"/>
    <w:unhideWhenUsed/>
    <w:pPr>
      <w:spacing w:after="57"/>
      <w:ind w:left="1984" w:right="0" w:firstLine="0"/>
    </w:pPr>
  </w:style>
  <w:style w:type="paragraph" w:styleId="190">
    <w:name w:val="toc 9"/>
    <w:basedOn w:val="756"/>
    <w:next w:val="756"/>
    <w:uiPriority w:val="39"/>
    <w:unhideWhenUsed/>
    <w:pPr>
      <w:spacing w:after="57"/>
      <w:ind w:left="2268" w:right="0" w:firstLine="0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756"/>
    <w:next w:val="756"/>
    <w:uiPriority w:val="99"/>
    <w:unhideWhenUsed/>
    <w:pPr>
      <w:spacing w:after="0" w:afterAutospacing="0"/>
    </w:pPr>
  </w:style>
  <w:style w:type="paragraph" w:styleId="756" w:default="1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styleId="757" w:default="1">
    <w:name w:val="Default Paragraph Font"/>
    <w:uiPriority w:val="1"/>
    <w:semiHidden/>
    <w:unhideWhenUsed/>
  </w:style>
  <w:style w:type="table" w:styleId="75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9" w:default="1">
    <w:name w:val="No List"/>
    <w:uiPriority w:val="99"/>
    <w:semiHidden/>
    <w:unhideWhenUsed/>
  </w:style>
  <w:style w:type="paragraph" w:styleId="760">
    <w:name w:val="footnote text"/>
    <w:basedOn w:val="756"/>
    <w:link w:val="761"/>
    <w:pPr>
      <w:spacing w:after="0" w:line="240" w:lineRule="auto"/>
    </w:pPr>
    <w:rPr>
      <w:rFonts w:ascii="Times New Roman" w:hAnsi="Times New Roman" w:eastAsia="Times New Roman"/>
      <w:sz w:val="20"/>
      <w:szCs w:val="20"/>
      <w:lang w:eastAsia="ru-RU"/>
    </w:rPr>
  </w:style>
  <w:style w:type="character" w:styleId="761" w:customStyle="1">
    <w:name w:val="Текст сноски Знак"/>
    <w:link w:val="76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62">
    <w:name w:val="footnote reference"/>
    <w:uiPriority w:val="99"/>
    <w:rPr>
      <w:vertAlign w:val="superscript"/>
    </w:rPr>
  </w:style>
  <w:style w:type="character" w:styleId="763">
    <w:name w:val="Hyperlink"/>
    <w:uiPriority w:val="99"/>
    <w:unhideWhenUsed/>
    <w:rPr>
      <w:color w:val="0563c1"/>
      <w:u w:val="single"/>
    </w:rPr>
  </w:style>
  <w:style w:type="character" w:styleId="764" w:customStyle="1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paragraph" w:styleId="765">
    <w:name w:val="List Paragraph"/>
    <w:basedOn w:val="756"/>
    <w:uiPriority w:val="34"/>
    <w:qFormat/>
    <w:pPr>
      <w:ind w:left="720"/>
      <w:contextualSpacing/>
    </w:pPr>
  </w:style>
  <w:style w:type="table" w:styleId="766">
    <w:name w:val="Table Grid"/>
    <w:basedOn w:val="758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67">
    <w:name w:val="Header"/>
    <w:basedOn w:val="756"/>
    <w:link w:val="768"/>
    <w:uiPriority w:val="99"/>
    <w:unhideWhenUsed/>
    <w:pPr>
      <w:tabs>
        <w:tab w:val="center" w:pos="4677" w:leader="none"/>
        <w:tab w:val="right" w:pos="9355" w:leader="none"/>
      </w:tabs>
      <w:spacing w:after="0" w:line="240" w:lineRule="auto"/>
    </w:pPr>
  </w:style>
  <w:style w:type="character" w:styleId="768" w:customStyle="1">
    <w:name w:val="Верхний колонтитул Знак"/>
    <w:basedOn w:val="757"/>
    <w:link w:val="767"/>
    <w:uiPriority w:val="99"/>
  </w:style>
  <w:style w:type="paragraph" w:styleId="769">
    <w:name w:val="Footer"/>
    <w:basedOn w:val="756"/>
    <w:link w:val="770"/>
    <w:uiPriority w:val="99"/>
    <w:unhideWhenUsed/>
    <w:pPr>
      <w:tabs>
        <w:tab w:val="center" w:pos="4677" w:leader="none"/>
        <w:tab w:val="right" w:pos="9355" w:leader="none"/>
      </w:tabs>
      <w:spacing w:after="0" w:line="240" w:lineRule="auto"/>
    </w:pPr>
  </w:style>
  <w:style w:type="character" w:styleId="770" w:customStyle="1">
    <w:name w:val="Нижний колонтитул Знак"/>
    <w:basedOn w:val="757"/>
    <w:link w:val="769"/>
    <w:uiPriority w:val="99"/>
  </w:style>
  <w:style w:type="paragraph" w:styleId="771">
    <w:name w:val="Balloon Text"/>
    <w:basedOn w:val="756"/>
    <w:link w:val="772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772" w:customStyle="1">
    <w:name w:val="Текст выноски Знак"/>
    <w:link w:val="771"/>
    <w:uiPriority w:val="99"/>
    <w:semiHidden/>
    <w:rPr>
      <w:rFonts w:ascii="Segoe UI" w:hAnsi="Segoe UI" w:cs="Segoe UI"/>
      <w:sz w:val="18"/>
      <w:szCs w:val="18"/>
    </w:rPr>
  </w:style>
  <w:style w:type="table" w:styleId="773" w:customStyle="1">
    <w:name w:val="Сетка таблицы1"/>
    <w:basedOn w:val="758"/>
    <w:next w:val="766"/>
    <w:rPr>
      <w:rFonts w:ascii="Times New Roman" w:hAnsi="Times New Roman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74" w:customStyle="1">
    <w:name w:val="Сетка таблицы2"/>
    <w:basedOn w:val="758"/>
    <w:next w:val="766"/>
    <w:rPr>
      <w:rFonts w:ascii="Times New Roman" w:hAnsi="Times New Roman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75" w:customStyle="1">
    <w:name w:val="Сетка таблицы3"/>
    <w:basedOn w:val="758"/>
    <w:next w:val="766"/>
    <w:rPr>
      <w:rFonts w:ascii="Times New Roman" w:hAnsi="Times New Roman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76" w:customStyle="1">
    <w:name w:val="Сетка таблицы4"/>
    <w:basedOn w:val="758"/>
    <w:next w:val="766"/>
    <w:rPr>
      <w:rFonts w:ascii="Times New Roman" w:hAnsi="Times New Roman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77" w:customStyle="1">
    <w:name w:val="Сетка таблицы5"/>
    <w:basedOn w:val="758"/>
    <w:next w:val="766"/>
    <w:rPr>
      <w:rFonts w:ascii="Times New Roman" w:hAnsi="Times New Roman" w:eastAsia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://energo.tom.ru/treads/legal_acts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7453FD-78B5-41D9-A33A-312C20DF5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Тадеушева Ольга Борисовна</dc:creator>
  <cp:keywords/>
  <dc:description/>
  <cp:lastModifiedBy>shishkova_iv</cp:lastModifiedBy>
  <cp:revision>7</cp:revision>
  <dcterms:created xsi:type="dcterms:W3CDTF">2026-02-27T08:39:00Z</dcterms:created>
  <dcterms:modified xsi:type="dcterms:W3CDTF">2026-09-01T02:06:52Z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gic_key">
    <vt:lpwstr/>
  </property>
  <property fmtid="{D5CDD505-2E9C-101B-9397-08002B2CF9AE}" pid="3" name="CustomObjectId">
    <vt:lpwstr/>
  </property>
  <property fmtid="{D5CDD505-2E9C-101B-9397-08002B2CF9AE}" pid="4" name="CustomServerURL">
    <vt:lpwstr/>
  </property>
  <property fmtid="{D5CDD505-2E9C-101B-9397-08002B2CF9AE}" pid="5" name="CustomUserId">
    <vt:lpwstr/>
  </property>
  <property fmtid="{D5CDD505-2E9C-101B-9397-08002B2CF9AE}" pid="6" name="CustomObjectState">
    <vt:lpwstr/>
  </property>
  <property fmtid="{D5CDD505-2E9C-101B-9397-08002B2CF9AE}" pid="7" name="MacrosDisabled">
    <vt:lpwstr/>
  </property>
  <property fmtid="{D5CDD505-2E9C-101B-9397-08002B2CF9AE}" pid="8" name="ConfirmationToolBarEnabled">
    <vt:lpwstr/>
  </property>
</Properties>
</file>