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b/>
        </w:rPr>
      </w:pPr>
      <w:r>
        <w:rPr>
          <w:b/>
        </w:rPr>
        <w:t xml:space="preserve">ТЕХНИЧЕСКОЕ ЗАДАНИЕ</w:t>
      </w:r>
      <w:r>
        <w:rPr>
          <w:b/>
        </w:rPr>
      </w:r>
      <w:r>
        <w:rPr>
          <w:b/>
        </w:rPr>
      </w:r>
    </w:p>
    <w:p>
      <w:pPr>
        <w:jc w:val="center"/>
      </w:pPr>
      <w:r>
        <w:t xml:space="preserve">по открытым конкурентным переговорам </w:t>
      </w:r>
      <w:r>
        <w:t xml:space="preserve">(ЭТП) на право заключения договора на поставку труб большого диаметра для нужд</w:t>
      </w:r>
      <w:r>
        <w:t xml:space="preserve"> </w:t>
      </w:r>
      <w:bookmarkStart w:id="0" w:name="_Hlk204673111"/>
      <w:r>
        <w:t xml:space="preserve">ООО «БГК»</w:t>
      </w:r>
      <w:r>
        <w:t xml:space="preserve">, </w:t>
      </w:r>
      <w:r>
        <w:t xml:space="preserve">ООО «</w:t>
      </w:r>
      <w:r>
        <w:t xml:space="preserve">БашРТС</w:t>
      </w:r>
      <w:r>
        <w:t xml:space="preserve">»</w:t>
      </w:r>
      <w:bookmarkEnd w:id="0"/>
      <w:r>
        <w:t xml:space="preserve">, АО «</w:t>
      </w:r>
      <w:r>
        <w:t xml:space="preserve">ТомскРТС</w:t>
      </w:r>
      <w:r>
        <w:t xml:space="preserve">», </w:t>
      </w:r>
      <w:r>
        <w:t xml:space="preserve">АО «Омск РТС», </w:t>
      </w:r>
      <w:r>
        <w:t xml:space="preserve">АО</w:t>
      </w:r>
      <w:r>
        <w:t xml:space="preserve"> </w:t>
      </w:r>
      <w:r>
        <w:t xml:space="preserve">«ТГК-11</w:t>
      </w:r>
      <w:r>
        <w:t xml:space="preserve">»</w:t>
      </w:r>
      <w:r>
        <w:t xml:space="preserve">, </w:t>
      </w:r>
      <w:r>
        <w:rPr>
          <w:color w:val="000000" w:themeColor="text1"/>
        </w:rPr>
        <w:t xml:space="preserve">АО «Томская генерация»</w:t>
      </w:r>
      <w:r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фил</w:t>
      </w:r>
      <w:r>
        <w:t xml:space="preserve">иал</w:t>
      </w:r>
      <w:r>
        <w:t xml:space="preserve">а</w:t>
      </w:r>
      <w:r>
        <w:t xml:space="preserve"> </w:t>
      </w:r>
      <w:r>
        <w:t xml:space="preserve">«Гусиноозёрская ГРЭС»</w:t>
      </w:r>
      <w:r>
        <w:t xml:space="preserve"> АО «Интер РАО – </w:t>
      </w:r>
      <w:r>
        <w:t xml:space="preserve">Электрогенерация</w:t>
      </w:r>
      <w:r>
        <w:t xml:space="preserve">»</w:t>
      </w:r>
      <w:bookmarkStart w:id="1" w:name="_Hlk207885842"/>
      <w:r/>
      <w:bookmarkEnd w:id="1"/>
      <w:r>
        <w:t xml:space="preserve">.</w:t>
      </w:r>
      <w:r/>
    </w:p>
    <w:p>
      <w:pPr>
        <w:jc w:val="both"/>
        <w:rPr>
          <w:rFonts w:eastAsiaTheme="minorEastAsia"/>
          <w:b/>
        </w:rPr>
      </w:pPr>
      <w:r>
        <w:rPr>
          <w:rFonts w:eastAsiaTheme="minorEastAsia"/>
          <w:b/>
        </w:rPr>
      </w:r>
      <w:r>
        <w:rPr>
          <w:rFonts w:eastAsiaTheme="minorEastAsia"/>
          <w:b/>
        </w:rPr>
      </w:r>
      <w:r>
        <w:rPr>
          <w:rFonts w:eastAsiaTheme="minorEastAsia"/>
          <w:b/>
        </w:rPr>
      </w:r>
    </w:p>
    <w:p>
      <w:pPr>
        <w:pStyle w:val="884"/>
        <w:numPr>
          <w:ilvl w:val="0"/>
          <w:numId w:val="3"/>
        </w:numPr>
        <w:ind w:left="0" w:firstLine="0"/>
        <w:jc w:val="both"/>
        <w:spacing w:after="240"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КРАТКОЕ ОПИСАНИЕ ЗАКУПАЕМЫХ ТОВАРОВ </w:t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pStyle w:val="884"/>
        <w:numPr>
          <w:ilvl w:val="3"/>
          <w:numId w:val="1"/>
        </w:numPr>
        <w:ind w:left="0" w:firstLine="0"/>
        <w:jc w:val="both"/>
        <w:spacing w:after="240"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Наименование и объем закупаемых товаров</w:t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/>
          <w:sz w:val="24"/>
        </w:rPr>
        <w:t xml:space="preserve">Труба большого диаметра (далее – Продукция) для нужд </w:t>
      </w:r>
      <w:r>
        <w:rPr>
          <w:rFonts w:ascii="Times New Roman" w:hAnsi="Times New Roman" w:cs="Times New Roman"/>
          <w:sz w:val="24"/>
          <w:szCs w:val="24"/>
        </w:rPr>
        <w:t xml:space="preserve">ООО «БГК», ООО «</w:t>
      </w:r>
      <w:r>
        <w:rPr>
          <w:rFonts w:ascii="Times New Roman" w:hAnsi="Times New Roman" w:cs="Times New Roman"/>
          <w:sz w:val="24"/>
          <w:szCs w:val="24"/>
        </w:rPr>
        <w:t xml:space="preserve">БашРТС</w:t>
      </w:r>
      <w:r>
        <w:rPr>
          <w:rFonts w:ascii="Times New Roman" w:hAnsi="Times New Roman" w:cs="Times New Roman"/>
          <w:sz w:val="24"/>
          <w:szCs w:val="24"/>
        </w:rPr>
        <w:t xml:space="preserve">», </w:t>
      </w:r>
      <w:r>
        <w:rPr>
          <w:rFonts w:ascii="Times New Roman" w:hAnsi="Times New Roman" w:cs="Times New Roman"/>
          <w:sz w:val="24"/>
          <w:szCs w:val="24"/>
        </w:rPr>
        <w:t xml:space="preserve">АО «</w:t>
      </w:r>
      <w:r>
        <w:rPr>
          <w:rFonts w:ascii="Times New Roman" w:hAnsi="Times New Roman" w:cs="Times New Roman"/>
          <w:sz w:val="24"/>
          <w:szCs w:val="24"/>
        </w:rPr>
        <w:t xml:space="preserve">ТомскРТС</w:t>
      </w:r>
      <w:r>
        <w:rPr>
          <w:rFonts w:ascii="Times New Roman" w:hAnsi="Times New Roman" w:cs="Times New Roman"/>
          <w:sz w:val="24"/>
          <w:szCs w:val="24"/>
        </w:rPr>
        <w:t xml:space="preserve">», </w:t>
      </w:r>
      <w:r>
        <w:rPr>
          <w:rFonts w:ascii="Times New Roman" w:hAnsi="Times New Roman"/>
          <w:sz w:val="24"/>
        </w:rPr>
        <w:t xml:space="preserve">АО «Омск РТС</w:t>
      </w:r>
      <w:r>
        <w:rPr>
          <w:rFonts w:ascii="Times New Roman" w:hAnsi="Times New Roman" w:cs="Times New Roman"/>
          <w:sz w:val="24"/>
          <w:szCs w:val="24"/>
        </w:rPr>
        <w:t xml:space="preserve">», АО «ТГК-11»,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АО «Томская генерация»,</w:t>
      </w:r>
      <w:r>
        <w:rPr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филиал «Г</w:t>
      </w:r>
      <w:r>
        <w:rPr>
          <w:rFonts w:ascii="Times New Roman" w:hAnsi="Times New Roman" w:cs="Times New Roman"/>
          <w:sz w:val="24"/>
          <w:szCs w:val="24"/>
        </w:rPr>
        <w:t xml:space="preserve">усиноозёрская ГРЭС» </w:t>
      </w:r>
      <w:r>
        <w:rPr>
          <w:rFonts w:ascii="Times New Roman" w:hAnsi="Times New Roman" w:cs="Times New Roman"/>
          <w:sz w:val="24"/>
          <w:szCs w:val="24"/>
        </w:rPr>
        <w:t xml:space="preserve">АО «Интер РАО – </w:t>
      </w:r>
      <w:r>
        <w:rPr>
          <w:rFonts w:ascii="Times New Roman" w:hAnsi="Times New Roman" w:cs="Times New Roman"/>
          <w:sz w:val="24"/>
          <w:szCs w:val="24"/>
        </w:rPr>
        <w:t xml:space="preserve">Электрогенерация</w:t>
      </w:r>
      <w:r>
        <w:rPr>
          <w:rFonts w:ascii="Times New Roman" w:hAnsi="Times New Roman" w:cs="Times New Roman"/>
          <w:sz w:val="24"/>
          <w:szCs w:val="24"/>
        </w:rPr>
        <w:t xml:space="preserve">»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Номенклатура продукции указана в Приложении </w:t>
      </w:r>
      <w:r>
        <w:rPr>
          <w:rFonts w:ascii="Times New Roman" w:hAnsi="Times New Roman"/>
          <w:sz w:val="24"/>
        </w:rPr>
        <w:t xml:space="preserve">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1</w:t>
      </w:r>
      <w:r>
        <w:rPr>
          <w:rFonts w:ascii="Times New Roman" w:hAnsi="Times New Roman"/>
          <w:sz w:val="24"/>
        </w:rPr>
        <w:t xml:space="preserve"> к Техническому заданию (Спецификации).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ри поставке последней партии продукции каждой позиции в договоре продукции допускается отклонение не более +/- 5% от заявленного количества при условии отклонения от 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толеранса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изготавливаемого заводом изделия. Данная продукция подлежит приему и оплате на общих основаниях, при сохранении общего объёма поставки.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pStyle w:val="884"/>
        <w:numPr>
          <w:ilvl w:val="3"/>
          <w:numId w:val="1"/>
        </w:numPr>
        <w:ind w:left="0" w:firstLine="0"/>
        <w:jc w:val="both"/>
        <w:spacing w:after="240"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Сроки поставки товаров</w:t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Продукция должна быть поставлена Заказчику в соответствии со спецификациями (Приложение № 1 к ТЗ), Приложением № 2 к ТЗ «Адреса поставки», Приложением № 3 к ТЗ «Объем поставки для филиалов ООО «</w:t>
      </w:r>
      <w:r>
        <w:rPr>
          <w:rFonts w:ascii="Times New Roman" w:hAnsi="Times New Roman" w:cs="Times New Roman"/>
          <w:sz w:val="24"/>
          <w:szCs w:val="24"/>
        </w:rPr>
        <w:t xml:space="preserve">БашРТС</w:t>
      </w:r>
      <w:r>
        <w:rPr>
          <w:rFonts w:ascii="Times New Roman" w:hAnsi="Times New Roman" w:cs="Times New Roman"/>
          <w:sz w:val="24"/>
          <w:szCs w:val="24"/>
        </w:rPr>
        <w:t xml:space="preserve">»», Приложением № 4 к ТЗ «Объём поставки для филиалов ООО «БГК»».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Возможна досрочная поставка продукции по согласованию с заказчиком после заключения договора на поставку.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 xml:space="preserve">Для АО «</w:t>
      </w:r>
      <w:r>
        <w:rPr>
          <w:rFonts w:ascii="Times New Roman" w:hAnsi="Times New Roman"/>
          <w:sz w:val="24"/>
        </w:rPr>
        <w:t xml:space="preserve">ТомскРТС</w:t>
      </w:r>
      <w:r>
        <w:rPr>
          <w:rFonts w:ascii="Times New Roman" w:hAnsi="Times New Roman"/>
          <w:sz w:val="24"/>
        </w:rPr>
        <w:t xml:space="preserve">» поставка продукции осуществляется в течение 10 календарных дней после получения заявки.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84"/>
        <w:numPr>
          <w:ilvl w:val="3"/>
          <w:numId w:val="1"/>
        </w:numPr>
        <w:ind w:left="0" w:firstLine="0"/>
        <w:jc w:val="both"/>
        <w:spacing w:after="240"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Возможность поставки эквивалента</w:t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Применение эквивалента возможно при условии соответствия товара по функциональным, техническим характеристикам и условиям применения не ниже</w:t>
      </w:r>
      <w:r>
        <w:rPr>
          <w:rFonts w:ascii="Times New Roman" w:hAnsi="Times New Roman" w:cs="Times New Roman"/>
          <w:sz w:val="24"/>
          <w:szCs w:val="24"/>
        </w:rPr>
        <w:t xml:space="preserve">/хуже</w:t>
      </w:r>
      <w:r>
        <w:rPr>
          <w:rFonts w:ascii="Times New Roman" w:hAnsi="Times New Roman" w:cs="Times New Roman"/>
          <w:sz w:val="24"/>
          <w:szCs w:val="24"/>
        </w:rPr>
        <w:t xml:space="preserve"> требуемых в </w:t>
      </w:r>
      <w:r>
        <w:rPr>
          <w:rFonts w:ascii="Times New Roman" w:hAnsi="Times New Roman" w:cs="Times New Roman"/>
          <w:sz w:val="24"/>
          <w:szCs w:val="24"/>
        </w:rPr>
        <w:t xml:space="preserve">техническом задании</w:t>
      </w:r>
      <w:r>
        <w:rPr>
          <w:rFonts w:ascii="Times New Roman" w:hAnsi="Times New Roman" w:cs="Times New Roman"/>
          <w:sz w:val="24"/>
          <w:szCs w:val="24"/>
        </w:rPr>
        <w:t xml:space="preserve"> (Приложение № 1 к </w:t>
      </w:r>
      <w:r>
        <w:rPr>
          <w:rFonts w:ascii="Times New Roman" w:hAnsi="Times New Roman" w:cs="Times New Roman"/>
          <w:sz w:val="24"/>
          <w:szCs w:val="24"/>
        </w:rPr>
        <w:t xml:space="preserve">техническому заданию</w:t>
      </w:r>
      <w:r>
        <w:rPr>
          <w:rFonts w:ascii="Times New Roman" w:hAnsi="Times New Roman" w:cs="Times New Roman"/>
          <w:sz w:val="24"/>
          <w:szCs w:val="24"/>
        </w:rPr>
        <w:t xml:space="preserve">), а также при предоставлении участником закупки развернутого сравнения по функциональным, техническим характеристикам и условиям применения.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При этом характеристики предлагаемого эквивалента не должны отличаться </w:t>
      </w:r>
      <w:r>
        <w:rPr>
          <w:rFonts w:ascii="Times New Roman" w:hAnsi="Times New Roman" w:cs="Times New Roman"/>
          <w:sz w:val="24"/>
          <w:szCs w:val="24"/>
        </w:rPr>
        <w:t xml:space="preserve">в худшую сторону </w:t>
      </w:r>
      <w:r>
        <w:rPr>
          <w:rFonts w:ascii="Times New Roman" w:hAnsi="Times New Roman" w:cs="Times New Roman"/>
          <w:sz w:val="24"/>
          <w:szCs w:val="24"/>
        </w:rPr>
        <w:t xml:space="preserve">от требований, указанных в п. 2.2 данного </w:t>
      </w:r>
      <w:r>
        <w:rPr>
          <w:rFonts w:ascii="Times New Roman" w:hAnsi="Times New Roman" w:cs="Times New Roman"/>
          <w:sz w:val="24"/>
          <w:szCs w:val="24"/>
        </w:rPr>
        <w:t xml:space="preserve">технического задания</w:t>
      </w:r>
      <w:r>
        <w:rPr>
          <w:rFonts w:ascii="Times New Roman" w:hAnsi="Times New Roman" w:cs="Times New Roman"/>
          <w:sz w:val="24"/>
          <w:szCs w:val="24"/>
        </w:rPr>
        <w:t xml:space="preserve"> и приложения № 1.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Размеры (наружный диаметр и толщина стенки) труб должны полностью соответствовать требованиям Приложения №1, отклонения по размерам не допускается.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84"/>
        <w:numPr>
          <w:ilvl w:val="0"/>
          <w:numId w:val="3"/>
        </w:numPr>
        <w:ind w:left="0" w:firstLine="0"/>
        <w:jc w:val="both"/>
        <w:spacing w:after="240"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ОБЩИЕ ТРЕБОВАНИЯ К ТОВАРУ</w:t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pStyle w:val="884"/>
        <w:numPr>
          <w:ilvl w:val="3"/>
          <w:numId w:val="2"/>
        </w:numPr>
        <w:ind w:left="0" w:firstLine="0"/>
        <w:jc w:val="both"/>
        <w:spacing w:after="240"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Место применения, использования товара</w:t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pStyle w:val="884"/>
        <w:numPr>
          <w:ilvl w:val="2"/>
          <w:numId w:val="5"/>
        </w:numPr>
        <w:ind w:left="0" w:firstLine="0"/>
        <w:jc w:val="both"/>
        <w:spacing w:after="24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ООО</w:t>
      </w:r>
      <w:r>
        <w:t xml:space="preserve"> «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БашРТС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»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t xml:space="preserve">Товар будет применен на опасных производственных объектах ООО «БашРТС» для ремонта, реконструкции и строительства тепловых трасс ООО «БашРТС», предназначенных для транспортировки пара и горячей воды потребителям.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84"/>
        <w:numPr>
          <w:ilvl w:val="2"/>
          <w:numId w:val="5"/>
        </w:numPr>
        <w:ind w:left="0" w:firstLine="0"/>
        <w:jc w:val="both"/>
        <w:spacing w:after="24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АО «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ТомскРТС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»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Товар</w:t>
      </w:r>
      <w:r>
        <w:rPr>
          <w:rFonts w:ascii="Times New Roman" w:hAnsi="Times New Roman" w:cs="Times New Roman"/>
          <w:sz w:val="24"/>
          <w:szCs w:val="24"/>
        </w:rPr>
        <w:t xml:space="preserve"> используется при проведении капитальных и текущих ремонтов магистральных</w:t>
      </w:r>
      <w:r>
        <w:rPr>
          <w:rFonts w:ascii="Times New Roman" w:hAnsi="Times New Roman"/>
          <w:sz w:val="24"/>
          <w:szCs w:val="24"/>
        </w:rPr>
        <w:t xml:space="preserve"> тепловых сетей СП Тепловые сети АО «</w:t>
      </w:r>
      <w:r>
        <w:rPr>
          <w:rFonts w:ascii="Times New Roman" w:hAnsi="Times New Roman"/>
          <w:sz w:val="24"/>
          <w:szCs w:val="24"/>
        </w:rPr>
        <w:t xml:space="preserve">ТомскРТС</w:t>
      </w:r>
      <w:r>
        <w:rPr>
          <w:rFonts w:ascii="Times New Roman" w:hAnsi="Times New Roman"/>
          <w:sz w:val="24"/>
          <w:szCs w:val="24"/>
        </w:rPr>
        <w:t xml:space="preserve">»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numPr>
          <w:ilvl w:val="2"/>
          <w:numId w:val="5"/>
        </w:numPr>
        <w:ind w:left="0" w:firstLine="0"/>
        <w:jc w:val="both"/>
        <w:spacing w:after="24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АО «Омск РТС»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Товар </w:t>
      </w:r>
      <w:r>
        <w:rPr>
          <w:rFonts w:ascii="Times New Roman" w:hAnsi="Times New Roman"/>
          <w:sz w:val="24"/>
        </w:rPr>
        <w:t xml:space="preserve">используется в эксплуатации, капитальных и текущих ремонтах основного и вспомогательного оборудования структурных подразделений АО «Омск РТС».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pStyle w:val="884"/>
        <w:numPr>
          <w:ilvl w:val="2"/>
          <w:numId w:val="5"/>
        </w:numPr>
        <w:ind w:left="0" w:firstLine="0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АО «ТГК-11»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t xml:space="preserve">Товар</w:t>
      </w:r>
      <w:r>
        <w:rPr>
          <w:rFonts w:ascii="Times New Roman" w:hAnsi="Times New Roman"/>
          <w:sz w:val="24"/>
          <w:szCs w:val="24"/>
        </w:rPr>
        <w:t xml:space="preserve"> используется в эксплуатации, капитальных и текущих ремонтах основного и вспомогательного оборудования структурных подразделений АО «ТГК-11» (ТЭЦ-3, ТЭЦ-4, ТЭЦ-5)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numPr>
          <w:ilvl w:val="2"/>
          <w:numId w:val="5"/>
        </w:numPr>
        <w:ind w:left="0" w:firstLine="0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  <w:highlight w:val="none"/>
        </w:rPr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ООО «БГК»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ind w:left="540" w:right="0" w:firstLine="169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  <w:highlight w:val="none"/>
        </w:rPr>
      </w:r>
      <w:r>
        <w:rPr>
          <w:rFonts w:ascii="Times New Roman" w:hAnsi="Times New Roman"/>
          <w:sz w:val="24"/>
          <w:szCs w:val="24"/>
        </w:rPr>
        <w:t xml:space="preserve">Поставляемый товар необходим для ремонта основного оборудования на филиалах.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84"/>
        <w:numPr>
          <w:ilvl w:val="2"/>
          <w:numId w:val="5"/>
        </w:numPr>
        <w:ind w:left="0" w:firstLine="0"/>
        <w:jc w:val="both"/>
        <w:spacing w:after="0" w:line="240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cs="Times New Roman" w:eastAsiaTheme="minorEastAsia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  <w:t xml:space="preserve">АО «Томская генерация</w:t>
      </w:r>
      <w:r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  <w:t xml:space="preserve">»</w:t>
      </w:r>
      <w:r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r>
      <w:r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r>
    </w:p>
    <w:p>
      <w:pPr>
        <w:ind w:left="540" w:right="0" w:firstLine="169"/>
        <w:jc w:val="both"/>
        <w:spacing w:after="0" w:line="240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cs="Times New Roman" w:eastAsiaTheme="minorEastAsia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  <w:t xml:space="preserve">Текущие, средние и капитальные ремонты оборудования</w:t>
      </w:r>
      <w:r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r>
      <w:r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r>
    </w:p>
    <w:p>
      <w:pPr>
        <w:pStyle w:val="884"/>
        <w:numPr>
          <w:ilvl w:val="2"/>
          <w:numId w:val="5"/>
        </w:numPr>
        <w:ind w:left="0" w:firstLine="0"/>
        <w:jc w:val="both"/>
        <w:spacing w:after="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/>
      <w:bookmarkStart w:id="2" w:name="_Hlk207885657"/>
      <w:r/>
      <w:bookmarkStart w:id="3" w:name="_Hlk207885639"/>
      <w:r>
        <w:rPr>
          <w:rFonts w:ascii="Times New Roman" w:hAnsi="Times New Roman" w:cs="Times New Roman" w:eastAsiaTheme="minorEastAsia"/>
          <w:sz w:val="24"/>
          <w:szCs w:val="24"/>
        </w:rPr>
        <w:t xml:space="preserve">Филиал «Гусиноозерская ГРЭС» АО «Интер РАО – 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Электрогенерация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».</w:t>
      </w:r>
      <w:bookmarkEnd w:id="2"/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Приобретаемый Товар используется на территории филиала «Гусиноозерская ГРЭС» АО «Интер РАО - </w:t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Электрогенерация</w:t>
      </w:r>
      <w:r>
        <w:rPr>
          <w:rFonts w:ascii="Times New Roman" w:hAnsi="Times New Roman" w:eastAsia="Times New Roman"/>
          <w:sz w:val="24"/>
          <w:szCs w:val="24"/>
          <w:lang w:eastAsia="ru-RU"/>
        </w:rPr>
        <w:t xml:space="preserve">» и города Гусиноозёрск</w:t>
      </w:r>
      <w:r>
        <w:rPr>
          <w:rFonts w:ascii="Times New Roman" w:hAnsi="Times New Roman"/>
          <w:sz w:val="24"/>
          <w:szCs w:val="24"/>
        </w:rPr>
        <w:t xml:space="preserve">.</w:t>
      </w:r>
      <w:bookmarkEnd w:id="3"/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numPr>
          <w:ilvl w:val="3"/>
          <w:numId w:val="2"/>
        </w:numPr>
        <w:ind w:left="0" w:firstLine="0"/>
        <w:jc w:val="both"/>
        <w:keepNext/>
        <w:spacing w:after="240"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Требования к товару</w:t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Продукция и применяемые в ней материалы должны быть новыми и ранее не использованными, при этом поставляемая продукция должна быть изготовлена не ранее 2026</w:t>
      </w:r>
      <w:r>
        <w:rPr>
          <w:rFonts w:ascii="Times New Roman" w:hAnsi="Times New Roman"/>
          <w:sz w:val="24"/>
          <w:szCs w:val="24"/>
        </w:rPr>
        <w:t xml:space="preserve"> года. Продукция должна соответствовать требованиям, установленным ТУ; ГОСТ (в соответствии со спецификацией), экологическим требованиям, стандарт</w:t>
      </w:r>
      <w:r>
        <w:rPr>
          <w:rFonts w:ascii="Times New Roman" w:hAnsi="Times New Roman"/>
          <w:sz w:val="24"/>
          <w:szCs w:val="24"/>
        </w:rPr>
        <w:t xml:space="preserve">ам и пройти оценку соответствия техническому регламенту «О безопасности оборудования, работающего под избыточным давлением» (ТР ТС 032/2013). Продукция должна быть изготовлена из цельного листа с одним продольным сварным швом, без поперечных сварных швов. 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Поставляемая продукция должна иметь четкую маркировку и клеймение, содержащее: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numPr>
          <w:ilvl w:val="0"/>
          <w:numId w:val="6"/>
        </w:numPr>
        <w:ind w:left="0" w:firstLine="709"/>
        <w:jc w:val="both"/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условное обозначение изделия;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pStyle w:val="884"/>
        <w:numPr>
          <w:ilvl w:val="0"/>
          <w:numId w:val="6"/>
        </w:numPr>
        <w:ind w:left="0" w:firstLine="709"/>
        <w:jc w:val="both"/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товарный знак или наименование предприятия-изготовителя;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pStyle w:val="884"/>
        <w:numPr>
          <w:ilvl w:val="0"/>
          <w:numId w:val="6"/>
        </w:numPr>
        <w:ind w:left="0" w:firstLine="709"/>
        <w:jc w:val="both"/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номер партии;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pStyle w:val="884"/>
        <w:numPr>
          <w:ilvl w:val="0"/>
          <w:numId w:val="6"/>
        </w:numPr>
        <w:ind w:left="0" w:firstLine="709"/>
        <w:jc w:val="both"/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дату изготовления.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t xml:space="preserve">Для АО «</w:t>
      </w:r>
      <w:r>
        <w:rPr>
          <w:rFonts w:ascii="Times New Roman" w:hAnsi="Times New Roman"/>
          <w:sz w:val="24"/>
          <w:szCs w:val="24"/>
        </w:rPr>
        <w:t xml:space="preserve">ТомскРТС</w:t>
      </w:r>
      <w:r>
        <w:rPr>
          <w:rFonts w:ascii="Times New Roman" w:hAnsi="Times New Roman"/>
          <w:sz w:val="24"/>
          <w:szCs w:val="24"/>
        </w:rPr>
        <w:t xml:space="preserve">» </w:t>
      </w:r>
      <w:r>
        <w:rPr>
          <w:rFonts w:ascii="Times New Roman" w:hAnsi="Times New Roman"/>
          <w:sz w:val="24"/>
          <w:szCs w:val="24"/>
        </w:rPr>
        <w:t xml:space="preserve">Требование к поставляемому товару, которое в обязательном порядке должно отображаться в техническом предложении участника в дополнение к Приложению № 1 к ТЗ: Труба по ГОСТ 20295-85 из стали 17Г1С-У по ГОСТ 19281-2014 (Тип-3) </w:t>
      </w:r>
      <w:r>
        <w:rPr>
          <w:rFonts w:ascii="Times New Roman" w:hAnsi="Times New Roman"/>
          <w:sz w:val="24"/>
          <w:szCs w:val="24"/>
        </w:rPr>
        <w:t xml:space="preserve">экспандированные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Для ООО «БашРТС» Требование к поставляемому товару, которое в обязательном порядке должно отображаться в техническом предложении участника в дополнение к Приложению № 1 к ТЗ: </w:t>
      </w:r>
      <w:r>
        <w:rPr>
          <w:rFonts w:ascii="Times New Roman" w:hAnsi="Times New Roman" w:eastAsia="Times New Roman" w:cs="Times New Roman"/>
          <w:iCs/>
          <w:sz w:val="24"/>
          <w:szCs w:val="24"/>
          <w:lang w:eastAsia="ru-RU"/>
        </w:rPr>
        <w:t xml:space="preserve">Труба по ГОСТ 20295-85 из стали 17Г1С и/или 09Г2С по ГОСТ 19281-2014 (Тип-3).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t xml:space="preserve">Для АО «Омск РТС» Требование к поставляемому товару, которое в обязательном порядке должно отображаться в техническом предложении участника в дополнение к Приложению № 1 к ТЗ: Труба по ГОСТ 20295-85 из стали 17Г1С.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t xml:space="preserve">Для АО «ТГК-11» Требование к поставляемому товару, которое в обязательном порядке должно отображаться в техническом предложении участника в дополнение к Приложению № 1 к ТЗ: Труба по ГОСТ 20295-85 из стали 17Г1С.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Трубы должны иметь маркировку их условного обознач</w:t>
      </w:r>
      <w:r>
        <w:rPr>
          <w:rFonts w:ascii="Times New Roman" w:hAnsi="Times New Roman"/>
          <w:sz w:val="24"/>
          <w:szCs w:val="24"/>
        </w:rPr>
        <w:t xml:space="preserve">ения в соответствии с ГОСТом. Маркировка продукции должна выполняться на русском языке, должна иметь четкие обозначения. Также указывается изготовитель, номер партии и дата изготовления. Маркировка должна сохраняться весь срок службы поставляемого изделия.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Продукция должна быть новой, не использована ранее, изготовлена не ранее 2026</w:t>
      </w:r>
      <w:r>
        <w:rPr>
          <w:rFonts w:ascii="Times New Roman" w:hAnsi="Times New Roman"/>
          <w:sz w:val="24"/>
          <w:szCs w:val="24"/>
        </w:rPr>
        <w:t xml:space="preserve"> года. Допускаются изготовление в третьем квартале текущего года с маркировкой условного знака года выпуска следующего года. Допускается изготовление в течение первого квартала текущего года с маркировкой условного знака года выпуска предыдущего года.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numPr>
          <w:ilvl w:val="3"/>
          <w:numId w:val="2"/>
        </w:numPr>
        <w:ind w:left="0" w:firstLine="0"/>
        <w:jc w:val="both"/>
        <w:spacing w:after="240"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Требования о соответствии товаров обязательным требованиям законодательства о техническом регулировании</w:t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Продукция должна удовлетворять требованиям действующих ГОСТ, Государственных стандартов России (ГОСТ Р), технических условий и других нормативов по стандартизации, действующих на территории Российской Фед</w:t>
      </w:r>
      <w:r>
        <w:rPr>
          <w:rFonts w:ascii="Times New Roman" w:hAnsi="Times New Roman"/>
          <w:sz w:val="24"/>
          <w:szCs w:val="24"/>
        </w:rPr>
        <w:t xml:space="preserve">ерации и иметь документ о качестве (паспорт, сертификат происхождения, протокол испытаний и т.п.), содержащий сведения о фактических показателях качества, нормируемых этими документами. В случае поставки продукции, выпускаемой или поставляемой зарубежными </w:t>
      </w:r>
      <w:r>
        <w:rPr>
          <w:rFonts w:ascii="Times New Roman" w:hAnsi="Times New Roman"/>
          <w:sz w:val="24"/>
          <w:szCs w:val="24"/>
        </w:rPr>
        <w:t xml:space="preserve">компаниями</w:t>
      </w:r>
      <w:r>
        <w:rPr>
          <w:rFonts w:ascii="Times New Roman" w:hAnsi="Times New Roman"/>
          <w:sz w:val="24"/>
          <w:szCs w:val="24"/>
        </w:rPr>
        <w:t xml:space="preserve">, необходимо обеспечить соответствие технических характеристик оборудования требованиям соответствующих нормативных документов России.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Продукция должна пройти оценку соответствия требованиям технического регламента Таможенного союза «О безопасности оборудования, работающего под избыточным давлением» (ТР</w:t>
      </w:r>
      <w:r>
        <w:rPr>
          <w:rFonts w:ascii="Times New Roman" w:hAnsi="Times New Roman"/>
          <w:sz w:val="24"/>
          <w:szCs w:val="24"/>
        </w:rPr>
        <w:t xml:space="preserve"> </w:t>
      </w:r>
      <w:r>
        <w:rPr>
          <w:rFonts w:ascii="Times New Roman" w:hAnsi="Times New Roman"/>
          <w:sz w:val="24"/>
          <w:szCs w:val="24"/>
        </w:rPr>
        <w:t xml:space="preserve">ТС 032/2013). </w:t>
      </w:r>
      <w:r>
        <w:rPr>
          <w:rFonts w:ascii="Times New Roman" w:hAnsi="Times New Roman"/>
          <w:sz w:val="24"/>
          <w:szCs w:val="24"/>
        </w:rPr>
        <w:t xml:space="preserve">Сертификаты или декларации о соответствии предлагаемых товаров требованиям ТР ТС 032/2013 передаются Поставщиком вместе с товаром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t xml:space="preserve">На продукцию</w:t>
      </w:r>
      <w:r>
        <w:rPr>
          <w:rFonts w:ascii="Times New Roman" w:hAnsi="Times New Roman" w:cs="Times New Roman"/>
          <w:sz w:val="24"/>
          <w:szCs w:val="24"/>
        </w:rPr>
        <w:t xml:space="preserve"> для</w:t>
      </w:r>
      <w:r>
        <w:rPr>
          <w:rFonts w:ascii="Times New Roman" w:hAnsi="Times New Roman" w:cs="Times New Roman"/>
          <w:sz w:val="24"/>
          <w:szCs w:val="24"/>
        </w:rPr>
        <w:t xml:space="preserve"> ООО «БашРТС» </w:t>
      </w:r>
      <w:r>
        <w:rPr>
          <w:rFonts w:ascii="Times New Roman" w:hAnsi="Times New Roman"/>
          <w:sz w:val="24"/>
          <w:szCs w:val="24"/>
        </w:rPr>
        <w:t xml:space="preserve">Участники должны предоставить в составе заявки на закупку сертификаты или декларации соответствия предлагаемого к поставке товара требованиям технического регламента Таможенного союза «О безопасности оборудования, работающего под избыточным давлением» (ТР</w:t>
      </w:r>
      <w:r>
        <w:rPr>
          <w:rFonts w:ascii="Times New Roman" w:hAnsi="Times New Roman"/>
          <w:sz w:val="24"/>
          <w:szCs w:val="24"/>
        </w:rPr>
        <w:t xml:space="preserve"> </w:t>
      </w:r>
      <w:r>
        <w:rPr>
          <w:rFonts w:ascii="Times New Roman" w:hAnsi="Times New Roman"/>
          <w:sz w:val="24"/>
          <w:szCs w:val="24"/>
        </w:rPr>
        <w:t xml:space="preserve">ТС 032/2013).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numPr>
          <w:ilvl w:val="3"/>
          <w:numId w:val="2"/>
        </w:numPr>
        <w:ind w:left="0" w:firstLine="0"/>
        <w:jc w:val="both"/>
        <w:spacing w:after="240"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Требования о добровольной сертификации товаров</w:t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 устанавлива</w:t>
      </w:r>
      <w:r>
        <w:rPr>
          <w:rFonts w:ascii="Times New Roman" w:hAnsi="Times New Roman"/>
          <w:sz w:val="24"/>
          <w:szCs w:val="24"/>
        </w:rPr>
        <w:t xml:space="preserve">ю</w:t>
      </w:r>
      <w:r>
        <w:rPr>
          <w:rFonts w:ascii="Times New Roman" w:hAnsi="Times New Roman"/>
          <w:sz w:val="24"/>
          <w:szCs w:val="24"/>
        </w:rPr>
        <w:t xml:space="preserve">тся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numPr>
          <w:ilvl w:val="3"/>
          <w:numId w:val="2"/>
        </w:numPr>
        <w:ind w:left="0" w:firstLine="0"/>
        <w:jc w:val="both"/>
        <w:spacing w:after="240"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Требования к гарантийному сроку и (или) объёму предоставления гарантий качества на поставляемый товар</w:t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Гарантийные обязательства должны соответствовать гарантийному сроку завода-изготовите</w:t>
      </w:r>
      <w:r>
        <w:rPr>
          <w:rFonts w:ascii="Times New Roman" w:hAnsi="Times New Roman"/>
          <w:sz w:val="24"/>
          <w:szCs w:val="24"/>
        </w:rPr>
        <w:t xml:space="preserve">ля, указанному в техническом паспорте на изделие, и составлять не менее 12 месяцев с момента приемки товара по транспортной накладной. В техническом предложении участник обязан в явном виде указать срок гарантии в месяцах и момент с которого она действует.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случае если гарантийный срок завода-изготовителя составляет менее 12 месяцев, Участник принимает на себя обязательства по дополнительному гарантийному обслуживанию за свой счет, до момента наступления указанного срока. В этом случае, Участник в </w:t>
      </w:r>
      <w:r>
        <w:rPr>
          <w:rFonts w:ascii="Times New Roman" w:hAnsi="Times New Roman"/>
          <w:sz w:val="24"/>
          <w:szCs w:val="24"/>
        </w:rPr>
        <w:t xml:space="preserve">техническом </w:t>
      </w:r>
      <w:r>
        <w:rPr>
          <w:rFonts w:ascii="Times New Roman" w:hAnsi="Times New Roman"/>
          <w:sz w:val="24"/>
          <w:szCs w:val="24"/>
        </w:rPr>
        <w:t xml:space="preserve">предложении указывает срок, предлагаемый заводом-изготовителем и, отдельно, свой дополнительный срок гарантии и условия на которых она осуществляется.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 случае обнаружения в теч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ение гарантийного срока дефектов, поставляемого товара, поставщик обязан в течение 3-х дней с даты получения письменного уведомления заказчика направить своего уполномоченного представителя для участия в комиссии по расследованию произошедшего повреждения.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Все за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траты, связанные с устранением дефектов поставленного товара, вызванных нарушением технологии проектирования, изготовления, поставки, в том числе затраты на демонтаж, транспортировку, устранение дефектов и последующий монтаж несет поставщик данного товара.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numPr>
          <w:ilvl w:val="3"/>
          <w:numId w:val="2"/>
        </w:numPr>
        <w:ind w:left="0" w:firstLine="0"/>
        <w:jc w:val="both"/>
        <w:spacing w:after="240"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 w:cs="Times New Roman" w:eastAsiaTheme="minorEastAsia"/>
          <w:b/>
          <w:sz w:val="24"/>
          <w:szCs w:val="24"/>
        </w:rPr>
        <w:t xml:space="preserve">Требования к расходам на эксплуатацию и техническое обслуживание поставленных товаров</w:t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В случаях, предусмотренных гарантийными обязательствами, техническое обслуживание, ремонт и замена продукции должны осуществляться в соответствии с гарантийными обязательствами на продукцию.</w:t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pStyle w:val="884"/>
        <w:numPr>
          <w:ilvl w:val="3"/>
          <w:numId w:val="2"/>
        </w:numPr>
        <w:ind w:left="0" w:firstLine="0"/>
        <w:jc w:val="both"/>
        <w:spacing w:after="240"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Требования по осуществлению сопутствующих работ при поставке товаров</w:t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 устанавливаются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ind w:left="0"/>
        <w:jc w:val="both"/>
        <w:spacing w:after="240" w:line="240" w:lineRule="auto"/>
        <w:rPr>
          <w:rFonts w:ascii="Times New Roman" w:hAnsi="Times New Roman"/>
          <w:sz w:val="24"/>
          <w:highlight w:val="yellow"/>
        </w:rPr>
      </w:pPr>
      <w:r>
        <w:rPr>
          <w:rFonts w:ascii="Times New Roman" w:hAnsi="Times New Roman"/>
          <w:sz w:val="24"/>
          <w:highlight w:val="yellow"/>
        </w:rPr>
      </w:r>
      <w:r>
        <w:rPr>
          <w:rFonts w:ascii="Times New Roman" w:hAnsi="Times New Roman"/>
          <w:sz w:val="24"/>
          <w:highlight w:val="yellow"/>
        </w:rPr>
      </w:r>
      <w:r>
        <w:rPr>
          <w:rFonts w:ascii="Times New Roman" w:hAnsi="Times New Roman"/>
          <w:sz w:val="24"/>
          <w:highlight w:val="yellow"/>
        </w:rPr>
      </w:r>
    </w:p>
    <w:p>
      <w:pPr>
        <w:pStyle w:val="884"/>
        <w:numPr>
          <w:ilvl w:val="0"/>
          <w:numId w:val="3"/>
        </w:numPr>
        <w:ind w:left="0" w:firstLine="0"/>
        <w:jc w:val="both"/>
        <w:spacing w:after="240"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ТРЕБОВАНИЯ К ВЫПОЛНЕНИЮ ПОСТАВКИ ТОВАРОВ</w:t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pStyle w:val="884"/>
        <w:numPr>
          <w:ilvl w:val="3"/>
          <w:numId w:val="3"/>
        </w:numPr>
        <w:ind w:left="0" w:firstLine="0"/>
        <w:jc w:val="both"/>
        <w:spacing w:after="240"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Требования к отгрузке и доставке приобретаемых товаров</w:t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Погрузка товара, его доставка до склада заказчика должна осуществляться силами поставщика. Затраты на погрузочн</w:t>
      </w:r>
      <w:r>
        <w:rPr>
          <w:rFonts w:ascii="Times New Roman" w:hAnsi="Times New Roman"/>
          <w:sz w:val="24"/>
          <w:szCs w:val="24"/>
        </w:rPr>
        <w:t xml:space="preserve">ые</w:t>
      </w:r>
      <w:r>
        <w:rPr>
          <w:rFonts w:ascii="Times New Roman" w:hAnsi="Times New Roman"/>
          <w:sz w:val="24"/>
          <w:szCs w:val="24"/>
        </w:rPr>
        <w:t xml:space="preserve"> работы и доставку товара до склада заказчика участник закупки должен включить в цену своего предложения.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Участник закупки должен включить в цену своего предложения расходы, связанные со страхованием, с уплатой таможенных пошлин, налогов, сборов и других обязательных платежей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Поставка закупаемых товаров должна быть осуществлена до складов покупател</w:t>
      </w:r>
      <w:r>
        <w:rPr>
          <w:rFonts w:ascii="Times New Roman" w:hAnsi="Times New Roman"/>
          <w:sz w:val="24"/>
          <w:szCs w:val="24"/>
        </w:rPr>
        <w:t xml:space="preserve">ей</w:t>
      </w:r>
      <w:r>
        <w:rPr>
          <w:rFonts w:ascii="Times New Roman" w:hAnsi="Times New Roman"/>
          <w:sz w:val="24"/>
          <w:szCs w:val="24"/>
        </w:rPr>
        <w:t xml:space="preserve">, находящихся по адресам, указанным в </w:t>
      </w:r>
      <w:r>
        <w:rPr>
          <w:rFonts w:ascii="Times New Roman" w:hAnsi="Times New Roman"/>
          <w:sz w:val="24"/>
          <w:szCs w:val="24"/>
        </w:rPr>
        <w:t xml:space="preserve">Приложении №2</w:t>
      </w:r>
      <w:r>
        <w:rPr>
          <w:rFonts w:ascii="Times New Roman" w:hAnsi="Times New Roman"/>
          <w:sz w:val="24"/>
          <w:szCs w:val="24"/>
        </w:rPr>
        <w:t xml:space="preserve"> к техническому заданию.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numPr>
          <w:ilvl w:val="3"/>
          <w:numId w:val="3"/>
        </w:numPr>
        <w:ind w:left="0" w:firstLine="0"/>
        <w:jc w:val="both"/>
        <w:spacing w:after="240"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Требования к таре и упаковке приобретаемых товаров</w:t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Поставляемые товары должны </w:t>
      </w:r>
      <w:r>
        <w:rPr>
          <w:rFonts w:ascii="Times New Roman" w:hAnsi="Times New Roman"/>
          <w:sz w:val="24"/>
          <w:szCs w:val="24"/>
        </w:rPr>
        <w:t xml:space="preserve">отгружаться в упаковке завода-изготовителя. Упаковка должна обеспечивать полную сохранность товаров от повреждений и порчи при транспортировке и хранении. Упаковка и тара согласно действующей НТД производителя, должны быть надлежащим образом промаркированы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  <w:t xml:space="preserve"> Упаковка и тара должны соответствовать требованиям ТР ТС 005/2011 «О безопасности упаковки».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numPr>
          <w:ilvl w:val="3"/>
          <w:numId w:val="3"/>
        </w:numPr>
        <w:ind w:left="0" w:firstLine="0"/>
        <w:jc w:val="both"/>
        <w:spacing w:after="240"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Требования к приемке товаров</w:t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Поставщик должен обеспечить присутствие своего уполномоченного представителя при проведении приемки поставляемого товара на складе заказчика.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Приемка товаров будет проводиться на складе заказчика в соответствии с инструкциями от 15.06.1965 № П-6 и от 25.04.1966 № П-7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Товары должны быть поставлены вместе с комплектом товарораспределительной документации.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Заказчик вправе отказаться от приемки товара, если он не соответствует установленным для данного вида товара требованиям или условиям договора. При этом несоответствие фиксируется двусторонним актом.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Заказчик имеет право на инспекцию, испытания, входной контроль, в случае несоответствия требуемых характеристик оформить отказ от товара, оформленный протоколом испытания о его несоответствии.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numPr>
          <w:ilvl w:val="3"/>
          <w:numId w:val="3"/>
        </w:numPr>
        <w:ind w:left="0" w:firstLine="0"/>
        <w:jc w:val="both"/>
        <w:spacing w:after="240"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Требования к передаваемой заказчику документации по оценке соответствия требованиям безопасности и качественным показателям товаров</w:t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 товаром поставляются в полном объеме относящиеся к ней документы, оформленные надлежащим образом (серт</w:t>
      </w:r>
      <w:r>
        <w:rPr>
          <w:rFonts w:ascii="Times New Roman" w:hAnsi="Times New Roman"/>
          <w:sz w:val="24"/>
          <w:szCs w:val="24"/>
        </w:rPr>
        <w:t xml:space="preserve">ификат соответствия, санитарно-эпидемиологические заключения, товаросопроводительные документы, технические условия, паспорта, чертежи и иная необходимая для монтажа, эксплуатации и ремонта документация на русском языке на бумажном и электронном носителе).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Поставщик обязан передать</w:t>
      </w:r>
      <w:r>
        <w:rPr>
          <w:rFonts w:ascii="Times New Roman" w:hAnsi="Times New Roman"/>
          <w:sz w:val="24"/>
          <w:szCs w:val="24"/>
        </w:rPr>
        <w:t xml:space="preserve"> заказчику вместе с товаром документацию, подтверждающую безопасность и качество поставляемого товара, а также документацию, подтверждающую качество поставляемого товара, выданную на основании контроля материалов, выполненного производителем (поставщиком).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Документация должна быть представлена на русском языке на бумажном и электронном носителях. Техническая документация, прилагаемая к товару, должна включать в себя, но не ограничиваться: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numPr>
          <w:ilvl w:val="0"/>
          <w:numId w:val="6"/>
        </w:numPr>
        <w:ind w:left="1276" w:hanging="567"/>
        <w:jc w:val="both"/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паспорт;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pStyle w:val="884"/>
        <w:numPr>
          <w:ilvl w:val="0"/>
          <w:numId w:val="6"/>
        </w:numPr>
        <w:ind w:left="1276" w:hanging="567"/>
        <w:jc w:val="both"/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копию обоснования безопасности;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pStyle w:val="884"/>
        <w:numPr>
          <w:ilvl w:val="0"/>
          <w:numId w:val="6"/>
        </w:numPr>
        <w:ind w:left="1276" w:hanging="567"/>
        <w:jc w:val="both"/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руководство (инструкция) по эксплуатации;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pStyle w:val="884"/>
        <w:numPr>
          <w:ilvl w:val="0"/>
          <w:numId w:val="6"/>
        </w:numPr>
        <w:ind w:left="1276" w:hanging="567"/>
        <w:jc w:val="both"/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сертификаты соответствия, протоколы испытаний в отношении материалов, комплектующих изделий.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pStyle w:val="884"/>
        <w:numPr>
          <w:ilvl w:val="0"/>
          <w:numId w:val="6"/>
        </w:numPr>
        <w:ind w:left="1276" w:hanging="567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товаросопроводительные документы и т.д.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Style w:val="884"/>
        <w:numPr>
          <w:ilvl w:val="3"/>
          <w:numId w:val="3"/>
        </w:numPr>
        <w:ind w:left="0" w:firstLine="0"/>
        <w:jc w:val="both"/>
        <w:spacing w:after="240"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Прочие требования к поставке товаров</w:t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Участник закупки должен подтвердить, что поставляемые товары будут соответствовать требованиям, установленным постановлением Правительства Российской Федерации от 29.12.2018 №</w:t>
      </w:r>
      <w:r>
        <w:rPr>
          <w:rFonts w:ascii="Times New Roman" w:hAnsi="Times New Roman"/>
          <w:sz w:val="24"/>
          <w:szCs w:val="24"/>
        </w:rPr>
        <w:t xml:space="preserve"> 1716-83, а именно: производителем товара, страной отправления, либо страной, через которую перемещается товар, не является Украина (применяется в части перечня, утвержденного постановлением), либо указать свое согласие с требованиями технического задания.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pStyle w:val="884"/>
        <w:numPr>
          <w:ilvl w:val="0"/>
          <w:numId w:val="3"/>
        </w:numPr>
        <w:ind w:left="0" w:firstLine="0"/>
        <w:jc w:val="both"/>
        <w:spacing w:after="0"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ПОРЯДОК ФОРМИРОВАНИЯ КОММЕРЧЕСКОГО ПРЕДЛОЖЕНИЯ УЧАСТНИКА ЗАКУПКИ, ОБОСНОВАНИЯ ЦЕНЫ, РАСЧЕТОВ, ПРЕДОСТАВЛЕНИЯ БАНКОВСКИХ ГАРАНТИЙ</w:t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jc w:val="both"/>
        <w:spacing w:before="120" w:after="120"/>
        <w:rPr>
          <w:b/>
          <w:bCs/>
        </w:rPr>
      </w:pPr>
      <w:r>
        <w:rPr>
          <w:b/>
        </w:rPr>
        <w:t xml:space="preserve">ВНИМАНИЕ! </w:t>
      </w:r>
      <w:r>
        <w:rPr>
          <w:b/>
        </w:rPr>
        <w:t xml:space="preserve">Оферта подается Участниками на весь объем закупаемой продукции для всех заказчиков одновременно, подача на часть лота (одного или нескольких заказчиков) не допускается</w:t>
      </w:r>
      <w:r>
        <w:rPr>
          <w:b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>
      <w:pPr>
        <w:jc w:val="both"/>
        <w:spacing w:before="120" w:after="120"/>
        <w:rPr>
          <w:b/>
          <w:bCs/>
        </w:rPr>
      </w:pPr>
      <w:r/>
      <w:bookmarkStart w:id="5" w:name="_Hlk82523233"/>
      <w:r>
        <w:rPr>
          <w:b/>
          <w:bCs/>
        </w:rPr>
        <w:t xml:space="preserve">Оферта подается Участниками на сумму цен предложений для всех Заказчиков</w:t>
      </w:r>
      <w:r>
        <w:rPr>
          <w:b/>
          <w:bCs/>
        </w:rPr>
        <w:t xml:space="preserve">, при этом должна быть указана </w:t>
      </w:r>
      <w:r>
        <w:rPr>
          <w:b/>
          <w:bCs/>
        </w:rPr>
        <w:t xml:space="preserve">как </w:t>
      </w:r>
      <w:r>
        <w:rPr>
          <w:b/>
          <w:bCs/>
        </w:rPr>
        <w:t xml:space="preserve">стоимость предложения по каждому Заказчику отдельно, так и общая стоимость по всем Заказчикам</w:t>
      </w:r>
      <w:r>
        <w:rPr>
          <w:b/>
          <w:bCs/>
        </w:rPr>
        <w:t xml:space="preserve"> </w:t>
      </w:r>
      <w:bookmarkStart w:id="6" w:name="_Hlk52288822"/>
      <w:r>
        <w:rPr>
          <w:b/>
          <w:bCs/>
        </w:rPr>
        <w:t xml:space="preserve">(с</w:t>
      </w:r>
      <w:r>
        <w:rPr>
          <w:b/>
          <w:bCs/>
        </w:rPr>
        <w:t xml:space="preserve">тоимость </w:t>
      </w:r>
      <w:r>
        <w:rPr>
          <w:b/>
          <w:bCs/>
        </w:rPr>
        <w:t xml:space="preserve">предложения Участника на поставку продукции для </w:t>
      </w:r>
      <w:r>
        <w:rPr>
          <w:rFonts w:eastAsiaTheme="minorEastAsia"/>
          <w:b/>
        </w:rPr>
        <w:t xml:space="preserve">АО «</w:t>
      </w:r>
      <w:r>
        <w:rPr>
          <w:rFonts w:eastAsiaTheme="minorEastAsia"/>
          <w:b/>
        </w:rPr>
        <w:t xml:space="preserve">ТомскРТС</w:t>
      </w:r>
      <w:r>
        <w:rPr>
          <w:rFonts w:eastAsiaTheme="minorEastAsia"/>
          <w:b/>
        </w:rPr>
        <w:t xml:space="preserve">» должна быть на сумму начальной (максимальной) цены по данному </w:t>
      </w:r>
      <w:r>
        <w:rPr>
          <w:b/>
          <w:bCs/>
        </w:rPr>
        <w:t xml:space="preserve">заказчику)</w:t>
      </w:r>
      <w:bookmarkEnd w:id="6"/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>
      <w:pPr>
        <w:jc w:val="both"/>
        <w:spacing w:before="120" w:after="120"/>
        <w:rPr>
          <w:b/>
          <w:bCs/>
        </w:rPr>
      </w:pPr>
      <w:r>
        <w:rPr>
          <w:b/>
          <w:bCs/>
        </w:rPr>
        <w:t xml:space="preserve">Стоимость предложения участника на поставку продукции не должна превышать, указанную в Извещени</w:t>
      </w:r>
      <w:r>
        <w:rPr>
          <w:b/>
          <w:bCs/>
        </w:rPr>
        <w:t xml:space="preserve">я</w:t>
      </w:r>
      <w:r>
        <w:rPr>
          <w:b/>
          <w:bCs/>
        </w:rPr>
        <w:t xml:space="preserve"> начальную (максимальную) цену по каждому Заказчику.</w:t>
      </w:r>
      <w:bookmarkEnd w:id="5"/>
      <w:r>
        <w:rPr>
          <w:b/>
          <w:bCs/>
        </w:rPr>
      </w:r>
      <w:r>
        <w:rPr>
          <w:b/>
          <w:bCs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Участник формирует свое коммерческое предложение по форме и в соответствии с инструкциями, указанными в Спецификации.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Договоры с Победителем будут заключаться каждым Заказчиком отдельно</w:t>
      </w:r>
      <w:r>
        <w:rPr>
          <w:rFonts w:ascii="Times New Roman" w:hAnsi="Times New Roman"/>
          <w:sz w:val="24"/>
          <w:szCs w:val="24"/>
        </w:rPr>
        <w:t xml:space="preserve">: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numPr>
          <w:ilvl w:val="2"/>
          <w:numId w:val="7"/>
        </w:numPr>
        <w:ind w:left="0" w:firstLine="709"/>
        <w:jc w:val="both"/>
        <w:spacing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/>
      <w:bookmarkStart w:id="7" w:name="_Hlk46741325"/>
      <w:r>
        <w:rPr>
          <w:rFonts w:ascii="Times New Roman" w:hAnsi="Times New Roman" w:cs="Times New Roman" w:eastAsiaTheme="minorEastAsia"/>
          <w:sz w:val="24"/>
          <w:szCs w:val="24"/>
        </w:rPr>
        <w:t xml:space="preserve">С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ООО «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БашРТС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»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на сумму, указанную в предложении победителя.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84"/>
        <w:numPr>
          <w:ilvl w:val="2"/>
          <w:numId w:val="7"/>
        </w:numPr>
        <w:ind w:left="0" w:firstLine="709"/>
        <w:jc w:val="both"/>
        <w:spacing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С 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АО «Омск РТС»</w:t>
      </w:r>
      <w:r>
        <w:t xml:space="preserve"> 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на сумму, указанную в предложении победителя.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84"/>
        <w:numPr>
          <w:ilvl w:val="2"/>
          <w:numId w:val="7"/>
        </w:numPr>
        <w:ind w:left="0" w:firstLine="709"/>
        <w:jc w:val="both"/>
        <w:spacing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С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АО «ТГК-11»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на сумму, указанную в предложении победителя.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</w:t>
      </w:r>
      <w:bookmarkEnd w:id="7"/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84"/>
        <w:numPr>
          <w:ilvl w:val="2"/>
          <w:numId w:val="7"/>
        </w:numPr>
        <w:ind w:left="0" w:firstLine="709"/>
        <w:jc w:val="both"/>
        <w:spacing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С АО «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ТомскРТС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»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на сумму начальной (максимальной) цены договора по данному Заказчику, указанную в Извещении о проведении закупки. Коммерческое предложение необходимо предоставить по форме таблицы «Список оценочных позиций на трубы стальные большого диаметра для нужд АО «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ТомскРТС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» с указанием цены за единицу продукции для каждой позиции, а также суммы единичных расценок. Цена единицы должна включать все таможенные пошлины, налоги (без НДС) и другие обязательные платежи в соответствии с законодател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ьством Российской Федерации, все транспортные и страховые расходы, расходы на погрузку-разгрузку. По результатам закупки планируется заключить рамочный договор на сумму начальной (максимальной) цены, с единичными расценками, зафиксированными в коммерческом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предложении Победителя закупки. Расчеты по договору будут проводиться за фактически оказанные поставки в соответствии с ценами, указанными Победителем за единицу товара, и в соответствии с объемами по заявке согласно заключенному между сторонами договору.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84"/>
        <w:numPr>
          <w:ilvl w:val="2"/>
          <w:numId w:val="7"/>
        </w:numPr>
        <w:ind w:left="0" w:firstLine="709"/>
        <w:jc w:val="both"/>
        <w:spacing w:line="240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/>
      <w:bookmarkStart w:id="9" w:name="_Hlk207885853"/>
      <w:r>
        <w:rPr>
          <w:rFonts w:ascii="Times New Roman" w:hAnsi="Times New Roman" w:cs="Times New Roman" w:eastAsiaTheme="minorEastAsia"/>
          <w:sz w:val="24"/>
          <w:szCs w:val="24"/>
        </w:rPr>
        <w:t xml:space="preserve">С</w:t>
      </w:r>
      <w:r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  <w:t xml:space="preserve"> ООО «БГК» на сумму, указанную в предложении победителя.</w:t>
      </w:r>
      <w:r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r>
      <w:bookmarkEnd w:id="9"/>
      <w:r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r>
      <w:r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r>
    </w:p>
    <w:p>
      <w:pPr>
        <w:pStyle w:val="884"/>
        <w:numPr>
          <w:ilvl w:val="2"/>
          <w:numId w:val="7"/>
        </w:numPr>
        <w:ind w:left="0" w:firstLine="709"/>
        <w:jc w:val="both"/>
        <w:spacing w:line="240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cs="Times New Roman" w:eastAsiaTheme="minorEastAsia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  <w:t xml:space="preserve">С</w:t>
      </w:r>
      <w:r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  <w:t xml:space="preserve">А</w:t>
      </w:r>
      <w:r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  <w:t xml:space="preserve">О «Томская генерация»</w:t>
      </w:r>
      <w:r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  <w:t xml:space="preserve"> на сумму, указанную в предложении победителя.</w:t>
      </w:r>
      <w:r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r>
      <w:r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r>
    </w:p>
    <w:p>
      <w:pPr>
        <w:pStyle w:val="884"/>
        <w:numPr>
          <w:ilvl w:val="2"/>
          <w:numId w:val="7"/>
        </w:numPr>
        <w:ind w:left="0" w:firstLine="709"/>
        <w:jc w:val="both"/>
        <w:spacing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  <w:highlight w:val="none"/>
        </w:rPr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С филиалом «Гусиноозерская ГРЭС» АО «Интер РАО – 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Электрогенерация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»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на сумму, указанную в предложении победителя.</w:t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Условия оплаты: в соответствии с проектом договора. Полная информация по порядку расчетов и документальному оформлению поставки отражена в проектах Договоров.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numPr>
          <w:ilvl w:val="0"/>
          <w:numId w:val="3"/>
        </w:numPr>
        <w:ind w:left="0" w:firstLine="0"/>
        <w:jc w:val="both"/>
        <w:keepNext/>
        <w:spacing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ТРЕБОВАНИЯ К УЧАСТНИКАМ ЗАКУПКИ </w:t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pStyle w:val="884"/>
        <w:numPr>
          <w:ilvl w:val="1"/>
          <w:numId w:val="8"/>
        </w:numPr>
        <w:ind w:left="0" w:firstLine="0"/>
        <w:jc w:val="both"/>
        <w:keepNext/>
        <w:spacing w:after="240"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Требования о наличии аккредитации в Группе «Интер РАО</w:t>
      </w:r>
      <w:r>
        <w:rPr>
          <w:rFonts w:ascii="Times New Roman" w:hAnsi="Times New Roman" w:cs="Times New Roman" w:eastAsiaTheme="minorEastAsia"/>
          <w:b/>
          <w:sz w:val="24"/>
          <w:szCs w:val="24"/>
        </w:rPr>
        <w:t xml:space="preserve">»</w:t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Желатель</w:t>
      </w:r>
      <w:r>
        <w:rPr>
          <w:rFonts w:ascii="Times New Roman" w:hAnsi="Times New Roman"/>
          <w:sz w:val="24"/>
          <w:szCs w:val="24"/>
        </w:rPr>
        <w:t xml:space="preserve">ным является, если Участник закупки предоставит в составе своего предложения, копию действующего Свидетельства, подтверждающего наличие у него статуса аккредитованного поставщика в Группе «Интер РАО», по виду деятельности «Поставка труб большого диаметра».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numPr>
          <w:ilvl w:val="1"/>
          <w:numId w:val="8"/>
        </w:numPr>
        <w:ind w:left="0" w:firstLine="0"/>
        <w:jc w:val="both"/>
        <w:keepNext/>
        <w:spacing w:after="240"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Требования о наличии сертифицированных систем менеджмента</w:t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Желательным является предоставление Участником закупки в составе своей заявки копи</w:t>
      </w:r>
      <w:r>
        <w:rPr>
          <w:rFonts w:ascii="Times New Roman" w:hAnsi="Times New Roman"/>
          <w:sz w:val="24"/>
          <w:szCs w:val="24"/>
        </w:rPr>
        <w:t xml:space="preserve">и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сертификата,</w:t>
      </w:r>
      <w:r>
        <w:rPr>
          <w:rFonts w:ascii="Times New Roman" w:hAnsi="Times New Roman"/>
          <w:sz w:val="24"/>
          <w:szCs w:val="24"/>
        </w:rPr>
        <w:t xml:space="preserve"> подтверждающ</w:t>
      </w:r>
      <w:r>
        <w:rPr>
          <w:rFonts w:ascii="Times New Roman" w:hAnsi="Times New Roman"/>
          <w:sz w:val="24"/>
          <w:szCs w:val="24"/>
        </w:rPr>
        <w:t xml:space="preserve">его</w:t>
      </w:r>
      <w:r>
        <w:rPr>
          <w:rFonts w:ascii="Times New Roman" w:hAnsi="Times New Roman"/>
          <w:sz w:val="24"/>
          <w:szCs w:val="24"/>
        </w:rPr>
        <w:t xml:space="preserve"> наличие у него системы менеджмента качества </w:t>
      </w:r>
      <w:r>
        <w:rPr>
          <w:rFonts w:ascii="Times New Roman" w:hAnsi="Times New Roman"/>
          <w:sz w:val="24"/>
          <w:szCs w:val="24"/>
        </w:rPr>
        <w:t xml:space="preserve">ИСО 9001, </w:t>
      </w:r>
      <w:r>
        <w:rPr>
          <w:rFonts w:ascii="Times New Roman" w:hAnsi="Times New Roman"/>
          <w:sz w:val="24"/>
          <w:szCs w:val="24"/>
        </w:rPr>
        <w:t xml:space="preserve">действующей в соответствии с законодательными и нормативными актами РФ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numPr>
          <w:ilvl w:val="1"/>
          <w:numId w:val="8"/>
        </w:numPr>
        <w:ind w:left="0" w:firstLine="0"/>
        <w:jc w:val="both"/>
        <w:spacing w:after="240"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Требования к опыту поставки товаров</w:t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/>
      <w:bookmarkStart w:id="10" w:name="_Hlk145509102"/>
      <w:r>
        <w:rPr>
          <w:rFonts w:ascii="Times New Roman" w:hAnsi="Times New Roman"/>
          <w:sz w:val="24"/>
          <w:szCs w:val="24"/>
        </w:rPr>
        <w:t xml:space="preserve">Участник закупки в составе своего предложения должен представить справку о перечне и объемах в</w:t>
      </w:r>
      <w:r>
        <w:rPr>
          <w:rFonts w:ascii="Times New Roman" w:hAnsi="Times New Roman"/>
          <w:sz w:val="24"/>
          <w:szCs w:val="24"/>
        </w:rPr>
        <w:t xml:space="preserve">ыполнения аналогичных договоров по форме закупочной документации, подтверждающую наличие опыта поставки трубной продукции в количестве не менее двух исполненных договоров за последние два года, предшествующие дате подачи заявки на участие в данной закупке.</w:t>
      </w:r>
      <w:bookmarkEnd w:id="10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numPr>
          <w:ilvl w:val="1"/>
          <w:numId w:val="8"/>
        </w:numPr>
        <w:ind w:left="0" w:firstLine="0"/>
        <w:jc w:val="both"/>
        <w:spacing w:after="240"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Требования о предоставлении информации о производителе и о подтверждении отношений с ним </w:t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Участник закупки в своем предложении должен указать наименование производителя предлагаемой к поставке продукции.</w:t>
      </w:r>
      <w:r>
        <w:rPr>
          <w:rFonts w:ascii="Times New Roman" w:hAnsi="Times New Roman"/>
          <w:sz w:val="24"/>
          <w:szCs w:val="24"/>
        </w:rPr>
        <w:t xml:space="preserve"> Данное требование является обязательным.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ind w:left="0"/>
        <w:jc w:val="both"/>
        <w:spacing w:after="240" w:line="24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  <w:r>
        <w:rPr>
          <w:rFonts w:ascii="Times New Roman" w:hAnsi="Times New Roman" w:cs="Times New Roman" w:eastAsiaTheme="minorEastAsia"/>
          <w:sz w:val="24"/>
          <w:szCs w:val="24"/>
        </w:rPr>
      </w:r>
    </w:p>
    <w:p>
      <w:pPr>
        <w:pStyle w:val="884"/>
        <w:numPr>
          <w:ilvl w:val="0"/>
          <w:numId w:val="3"/>
        </w:numPr>
        <w:ind w:left="0" w:firstLine="0"/>
        <w:jc w:val="both"/>
        <w:spacing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ПРИЛОЖЕНИЯ К </w:t>
      </w:r>
      <w:r>
        <w:rPr>
          <w:rFonts w:ascii="Times New Roman" w:hAnsi="Times New Roman"/>
          <w:b/>
          <w:sz w:val="24"/>
        </w:rPr>
        <w:t xml:space="preserve">ТЕХНИЧЕСКОМУ ЗАДАНИЮ</w:t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Приложение № 1. Спецификации.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Приложение № 2. Адреса поставки Продукции.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/>
      <w:bookmarkStart w:id="11" w:name="_Hlk177739803"/>
      <w:r>
        <w:rPr>
          <w:rFonts w:ascii="Times New Roman" w:hAnsi="Times New Roman"/>
          <w:sz w:val="24"/>
          <w:szCs w:val="24"/>
        </w:rPr>
        <w:t xml:space="preserve">Приложение № 3. Объём поставки для филиалов ООО «</w:t>
      </w:r>
      <w:r>
        <w:rPr>
          <w:rFonts w:ascii="Times New Roman" w:hAnsi="Times New Roman"/>
          <w:sz w:val="24"/>
          <w:szCs w:val="24"/>
        </w:rPr>
        <w:t xml:space="preserve">БашРТС</w:t>
      </w:r>
      <w:r>
        <w:rPr>
          <w:rFonts w:ascii="Times New Roman" w:hAnsi="Times New Roman"/>
          <w:sz w:val="24"/>
          <w:szCs w:val="24"/>
        </w:rPr>
        <w:t xml:space="preserve">».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4"/>
        <w:ind w:left="0" w:firstLine="709"/>
        <w:jc w:val="both"/>
        <w:spacing w:after="240" w:line="240" w:lineRule="auto"/>
        <w:rPr>
          <w:rFonts w:ascii="Times New Roman" w:hAnsi="Times New Roman"/>
          <w:sz w:val="24"/>
          <w:szCs w:val="24"/>
        </w:rPr>
      </w:pPr>
      <w:r/>
      <w:bookmarkStart w:id="12" w:name="_Hlk207885501"/>
      <w:r/>
      <w:bookmarkEnd w:id="11"/>
      <w:r>
        <w:rPr>
          <w:rFonts w:ascii="Times New Roman" w:hAnsi="Times New Roman"/>
          <w:sz w:val="24"/>
          <w:szCs w:val="24"/>
        </w:rPr>
        <w:t xml:space="preserve">Приложение № 4. Объём поставки для филиалов ООО «БГК».</w:t>
      </w:r>
      <w:bookmarkEnd w:id="12"/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rPr>
          <w:bCs/>
        </w:rPr>
      </w:pPr>
      <w:r>
        <w:rPr>
          <w:bCs/>
        </w:rPr>
        <w:br w:type="page" w:clear="all"/>
      </w:r>
      <w:r>
        <w:rPr>
          <w:bCs/>
        </w:rPr>
      </w:r>
      <w:r>
        <w:rPr>
          <w:bCs/>
        </w:rPr>
      </w:r>
    </w:p>
    <w:p>
      <w:pPr>
        <w:jc w:val="right"/>
        <w:tabs>
          <w:tab w:val="left" w:pos="3690" w:leader="none"/>
        </w:tabs>
      </w:pPr>
      <w:r>
        <w:t xml:space="preserve">Приложение</w:t>
      </w:r>
      <w:r>
        <w:t xml:space="preserve"> №</w:t>
      </w:r>
      <w:r>
        <w:t xml:space="preserve"> 2 к Техническому заданию</w:t>
      </w:r>
      <w:r/>
    </w:p>
    <w:p>
      <w:pPr>
        <w:keepNext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Style w:val="884"/>
        <w:ind w:left="0"/>
        <w:jc w:val="center"/>
        <w:spacing w:line="240" w:lineRule="auto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Адреса поставки продукции</w:t>
      </w:r>
      <w:r>
        <w:rPr>
          <w:rFonts w:ascii="Times New Roman" w:hAnsi="Times New Roman" w:cs="Times New Roman"/>
          <w:b/>
          <w:sz w:val="24"/>
          <w:szCs w:val="28"/>
        </w:rPr>
      </w:r>
      <w:r>
        <w:rPr>
          <w:rFonts w:ascii="Times New Roman" w:hAnsi="Times New Roman" w:cs="Times New Roman"/>
          <w:b/>
          <w:sz w:val="24"/>
          <w:szCs w:val="28"/>
        </w:rPr>
      </w:r>
    </w:p>
    <w:tbl>
      <w:tblPr>
        <w:tblW w:w="9756" w:type="dxa"/>
        <w:tblInd w:w="5" w:type="dxa"/>
        <w:tblLook w:val="0000" w:firstRow="0" w:lastRow="0" w:firstColumn="0" w:lastColumn="0" w:noHBand="0" w:noVBand="0"/>
      </w:tblPr>
      <w:tblGrid>
        <w:gridCol w:w="9756"/>
      </w:tblGrid>
      <w:tr>
        <w:tblPrEx/>
        <w:trPr/>
        <w:tc>
          <w:tcPr>
            <w:tcW w:w="9756" w:type="dxa"/>
            <w:vAlign w:val="center"/>
            <w:textDirection w:val="lrTb"/>
            <w:noWrap w:val="false"/>
          </w:tcPr>
          <w:tbl>
            <w:tblPr>
              <w:tblStyle w:val="886"/>
              <w:tblW w:w="9530" w:type="dxa"/>
              <w:jc w:val="center"/>
              <w:tblCellMar>
                <w:left w:w="57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3236"/>
              <w:gridCol w:w="6294"/>
            </w:tblGrid>
            <w:tr>
              <w:tblPrEx/>
              <w:trPr>
                <w:jc w:val="center"/>
              </w:trPr>
              <w:tc>
                <w:tcPr>
                  <w:tcBorders>
                    <w:right w:val="single" w:color="auto" w:sz="4" w:space="0"/>
                  </w:tcBorders>
                  <w:tcW w:w="3236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  <w:spacing w:before="0"/>
                    <w:rPr>
                      <w:b/>
                    </w:rPr>
                  </w:pPr>
                  <w:r>
                    <w:rPr>
                      <w:b/>
                    </w:rPr>
                    <w:t xml:space="preserve">Заказчик</w:t>
                  </w:r>
                  <w:r>
                    <w:rPr>
                      <w:b/>
                    </w:rPr>
                  </w:r>
                  <w:r>
                    <w:rPr>
                      <w:b/>
                    </w:rPr>
                  </w:r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W w:w="6294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  <w:spacing w:before="0"/>
                    <w:rPr>
                      <w:b/>
                    </w:rPr>
                  </w:pPr>
                  <w:r>
                    <w:rPr>
                      <w:b/>
                    </w:rPr>
                    <w:t xml:space="preserve">Адрес поставки</w:t>
                  </w:r>
                  <w:r>
                    <w:rPr>
                      <w:b/>
                    </w:rPr>
                  </w:r>
                  <w:r>
                    <w:rPr>
                      <w:b/>
                    </w:rPr>
                  </w:r>
                </w:p>
              </w:tc>
            </w:tr>
            <w:tr>
              <w:tblPrEx/>
              <w:trPr>
                <w:jc w:val="center"/>
                <w:trHeight w:val="60"/>
              </w:trPr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W w:w="3236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  <w:spacing w:before="0"/>
                  </w:pPr>
                  <w:r>
                    <w:t xml:space="preserve">ООО «БашРТС»</w:t>
                  </w:r>
                  <w:r/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W w:w="6294" w:type="dxa"/>
                  <w:textDirection w:val="lrTb"/>
                  <w:noWrap w:val="false"/>
                </w:tcPr>
                <w:p>
                  <w:pPr>
                    <w:jc w:val="center"/>
                    <w:spacing w:before="0"/>
                  </w:pPr>
                  <w:r>
                    <w:t xml:space="preserve">г. Уфа, ул. Глазовская, 2/1; </w:t>
                  </w:r>
                  <w:r/>
                </w:p>
                <w:p>
                  <w:pPr>
                    <w:jc w:val="center"/>
                    <w:spacing w:before="0"/>
                  </w:pPr>
                  <w:r>
                    <w:t xml:space="preserve">г. Салават, ул. Пугачева, 29;</w:t>
                  </w:r>
                  <w:r/>
                </w:p>
                <w:p>
                  <w:pPr>
                    <w:jc w:val="center"/>
                    <w:spacing w:before="0"/>
                  </w:pPr>
                  <w:r>
                    <w:t xml:space="preserve">г. Стерлитамак, ул. Западная 1</w:t>
                  </w:r>
                  <w:r>
                    <w:t xml:space="preserve">;</w:t>
                  </w:r>
                  <w:r/>
                </w:p>
                <w:p>
                  <w:pPr>
                    <w:jc w:val="center"/>
                    <w:spacing w:before="0"/>
                  </w:pPr>
                  <w:r>
                    <w:t xml:space="preserve">г. Сибай, ул. Восточное шоссе </w:t>
                  </w:r>
                  <w:r>
                    <w:t xml:space="preserve">¼;</w:t>
                  </w:r>
                  <w:r/>
                </w:p>
                <w:p>
                  <w:pPr>
                    <w:jc w:val="center"/>
                    <w:spacing w:before="0"/>
                  </w:pPr>
                  <w:r>
                    <w:t xml:space="preserve">г. Нефтекамск, ул. Высоковольтная, 1</w:t>
                  </w:r>
                  <w:r/>
                </w:p>
              </w:tc>
            </w:tr>
            <w:tr>
              <w:tblPrEx/>
              <w:trPr>
                <w:jc w:val="center"/>
                <w:trHeight w:val="60"/>
              </w:trPr>
              <w:tc>
                <w:tcPr>
                  <w:tcBorders>
                    <w:right w:val="single" w:color="auto" w:sz="4" w:space="0"/>
                  </w:tcBorders>
                  <w:tcW w:w="3236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  <w:spacing w:before="0"/>
                  </w:pPr>
                  <w:r>
                    <w:t xml:space="preserve">АО «Омск РТС»</w:t>
                  </w:r>
                  <w:r/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W w:w="6294" w:type="dxa"/>
                  <w:textDirection w:val="lrTb"/>
                  <w:noWrap w:val="false"/>
                </w:tcPr>
                <w:p>
                  <w:pPr>
                    <w:jc w:val="center"/>
                    <w:spacing w:before="0"/>
                  </w:pPr>
                  <w:r>
                    <w:t xml:space="preserve">РФ, Омская область, г. Омск, ул. 2-я Солнечная, 52</w:t>
                  </w:r>
                  <w:r/>
                </w:p>
              </w:tc>
            </w:tr>
            <w:tr>
              <w:tblPrEx/>
              <w:trPr>
                <w:jc w:val="center"/>
                <w:trHeight w:val="60"/>
              </w:trPr>
              <w:tc>
                <w:tcPr>
                  <w:tcBorders>
                    <w:right w:val="single" w:color="auto" w:sz="4" w:space="0"/>
                  </w:tcBorders>
                  <w:tcW w:w="3236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  <w:spacing w:before="0"/>
                  </w:pPr>
                  <w:r>
                    <w:t xml:space="preserve">АО «ТГК-11»</w:t>
                  </w:r>
                  <w:r/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W w:w="6294" w:type="dxa"/>
                  <w:textDirection w:val="lrTb"/>
                  <w:noWrap w:val="false"/>
                </w:tcPr>
                <w:p>
                  <w:pPr>
                    <w:jc w:val="center"/>
                    <w:spacing w:before="0"/>
                  </w:pPr>
                  <w:r>
                    <w:t xml:space="preserve">РФ, Омская область, г. Омск ул. 10 Лет Октября, 219-2, Комбинатская 46</w:t>
                  </w:r>
                  <w:r/>
                </w:p>
              </w:tc>
            </w:tr>
            <w:tr>
              <w:tblPrEx/>
              <w:trPr>
                <w:jc w:val="center"/>
                <w:trHeight w:val="60"/>
              </w:trPr>
              <w:tc>
                <w:tcPr>
                  <w:tcBorders>
                    <w:right w:val="single" w:color="auto" w:sz="4" w:space="0"/>
                  </w:tcBorders>
                  <w:tcW w:w="3236" w:type="dxa"/>
                  <w:textDirection w:val="lrTb"/>
                  <w:noWrap w:val="false"/>
                </w:tcPr>
                <w:p>
                  <w:pPr>
                    <w:jc w:val="center"/>
                    <w:spacing w:before="0"/>
                  </w:pPr>
                  <w:r>
                    <w:t xml:space="preserve">АО «</w:t>
                  </w:r>
                  <w:r>
                    <w:t xml:space="preserve">ТомскРТС</w:t>
                  </w:r>
                  <w:r>
                    <w:t xml:space="preserve">»</w:t>
                  </w:r>
                  <w:r/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W w:w="6294" w:type="dxa"/>
                  <w:textDirection w:val="lrTb"/>
                  <w:noWrap w:val="false"/>
                </w:tcPr>
                <w:p>
                  <w:pPr>
                    <w:jc w:val="center"/>
                    <w:spacing w:before="0"/>
                  </w:pPr>
                  <w:r>
                    <w:t xml:space="preserve">634021, г. Томск, ул. Угрюмова, 2</w:t>
                  </w:r>
                  <w:r/>
                </w:p>
              </w:tc>
            </w:tr>
            <w:tr>
              <w:tblPrEx/>
              <w:trPr>
                <w:jc w:val="center"/>
                <w:trHeight w:val="60"/>
              </w:trPr>
              <w:tc>
                <w:tcPr>
                  <w:tcBorders>
                    <w:right w:val="single" w:color="auto" w:sz="4" w:space="0"/>
                  </w:tcBorders>
                  <w:tcW w:w="3236" w:type="dxa"/>
                  <w:vAlign w:val="center"/>
                  <w:textDirection w:val="lrTb"/>
                  <w:noWrap w:val="false"/>
                </w:tcPr>
                <w:p>
                  <w:pPr>
                    <w:jc w:val="center"/>
                    <w:spacing w:before="0"/>
                  </w:pPr>
                  <w:r>
                    <w:t xml:space="preserve">ООО «БГК»</w:t>
                  </w:r>
                  <w:r/>
                  <w:r/>
                </w:p>
              </w:tc>
              <w:tc>
                <w:tcPr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tcW w:w="6294" w:type="dxa"/>
                  <w:textDirection w:val="lrTb"/>
                  <w:noWrap w:val="false"/>
                </w:tcPr>
                <w:p>
                  <w:pPr>
                    <w:jc w:val="center"/>
                    <w:spacing w:before="0"/>
                    <w:tabs>
                      <w:tab w:val="left" w:pos="284" w:leader="none"/>
                      <w:tab w:val="left" w:pos="567" w:leader="none"/>
                    </w:tabs>
                  </w:pPr>
                  <w:r>
                    <w:t xml:space="preserve">Уфимская ТЭЦ-</w:t>
                  </w:r>
                  <w:r>
                    <w:t xml:space="preserve">2,  450039</w:t>
                  </w:r>
                  <w:r>
                    <w:t xml:space="preserve">, РБ, г. Уфа, ул. Сельская Богородская, 6</w:t>
                  </w:r>
                  <w:r/>
                  <w:r/>
                </w:p>
                <w:p>
                  <w:pPr>
                    <w:jc w:val="center"/>
                    <w:spacing w:before="0"/>
                    <w:tabs>
                      <w:tab w:val="left" w:pos="284" w:leader="none"/>
                      <w:tab w:val="left" w:pos="567" w:leader="none"/>
                    </w:tabs>
                  </w:pPr>
                  <w:r>
                    <w:t xml:space="preserve">Уфимская ТЭЦ-3, 450063, РБ, г. Уфа, Бирский тракт, д. 57</w:t>
                  </w:r>
                  <w:r/>
                  <w:r/>
                </w:p>
                <w:p>
                  <w:pPr>
                    <w:jc w:val="center"/>
                    <w:spacing w:before="0"/>
                  </w:pPr>
                  <w:r>
                    <w:t xml:space="preserve">Уфимская ТЭЦ-4, 450045, РБ, г. Уфа, ул. Энергетиков, 60</w:t>
                  </w:r>
                  <w:r/>
                  <w:r/>
                </w:p>
              </w:tc>
            </w:tr>
            <w:tr>
              <w:tblPrEx/>
              <w:trPr>
                <w:trHeight w:val="60"/>
              </w:trPr>
              <w:tc>
                <w:tcPr>
                  <w:tcBorders>
                    <w:right w:val="single" w:color="000000" w:sz="4" w:space="0"/>
                  </w:tcBorders>
                  <w:tcW w:w="3236" w:type="dxa"/>
                  <w:vAlign w:val="center"/>
                  <w:vMerge w:val="restart"/>
                  <w:textDirection w:val="lrTb"/>
                  <w:noWrap w:val="false"/>
                </w:tcPr>
                <w:p>
                  <w:pPr>
                    <w:jc w:val="center"/>
                    <w:spacing w:before="0"/>
                  </w:pPr>
                  <w:r>
                    <w:t xml:space="preserve">АО «Томская генерация»</w:t>
                  </w:r>
                  <w:r/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W w:w="6294" w:type="dxa"/>
                  <w:vMerge w:val="restart"/>
                  <w:textDirection w:val="lrTb"/>
                  <w:noWrap w:val="false"/>
                </w:tcPr>
                <w:p>
                  <w:pPr>
                    <w:jc w:val="center"/>
                    <w:spacing w:before="0"/>
                  </w:pPr>
                  <w:r>
                    <w:t xml:space="preserve">634021, г. Томск, ул. Шевченко, 44</w:t>
                  </w:r>
                  <w:r/>
                </w:p>
              </w:tc>
            </w:tr>
            <w:tr>
              <w:tblPrEx/>
              <w:trPr>
                <w:trHeight w:val="60"/>
              </w:trPr>
              <w:tc>
                <w:tcPr>
                  <w:tcBorders>
                    <w:right w:val="single" w:color="000000" w:sz="4" w:space="0"/>
                  </w:tcBorders>
                  <w:tcW w:w="3236" w:type="dxa"/>
                  <w:vAlign w:val="center"/>
                  <w:vMerge w:val="restart"/>
                  <w:textDirection w:val="lrTb"/>
                  <w:noWrap w:val="false"/>
                </w:tcPr>
                <w:p>
                  <w:pPr>
                    <w:jc w:val="center"/>
                    <w:spacing w:before="0"/>
                  </w:pPr>
                  <w:r>
                    <w:t xml:space="preserve">Филиал «Гусиноозерская ГРЭС» АО «Интер РАО – </w:t>
                  </w:r>
                  <w:r>
                    <w:t xml:space="preserve">Электрогенерация</w:t>
                  </w:r>
                  <w:r>
                    <w:t xml:space="preserve">»</w:t>
                  </w:r>
                  <w:r/>
                </w:p>
              </w:tc>
              <w:tc>
                <w:tcPr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W w:w="6294" w:type="dxa"/>
                  <w:vMerge w:val="restart"/>
                  <w:textDirection w:val="lrTb"/>
                  <w:noWrap w:val="false"/>
                </w:tcPr>
                <w:p>
                  <w:pPr>
                    <w:jc w:val="center"/>
                    <w:spacing w:before="0"/>
                  </w:pPr>
                  <w:r>
                    <w:t xml:space="preserve">Республика Бурятия, г. Гусиноозерск, филиал «Гусиноозерская ГРЭС» АО «Интер РАО - </w:t>
                  </w:r>
                  <w:r>
                    <w:t xml:space="preserve">Электрогенерация</w:t>
                  </w:r>
                  <w:r>
                    <w:t xml:space="preserve">».</w:t>
                  </w:r>
                  <w:r/>
                </w:p>
              </w:tc>
            </w:tr>
          </w:tbl>
          <w:p>
            <w:pPr>
              <w:jc w:val="center"/>
              <w:rPr>
                <w:b/>
                <w:bCs/>
                <w:sz w:val="28"/>
                <w:szCs w:val="28"/>
                <w:highlight w:val="yellow"/>
              </w:rPr>
            </w:pPr>
            <w:r>
              <w:rPr>
                <w:b/>
                <w:sz w:val="28"/>
                <w:szCs w:val="28"/>
                <w:highlight w:val="yellow"/>
              </w:rPr>
            </w:r>
            <w:r>
              <w:rPr>
                <w:b/>
                <w:bCs/>
                <w:sz w:val="28"/>
                <w:szCs w:val="28"/>
                <w:highlight w:val="yellow"/>
              </w:rPr>
            </w:r>
            <w:r>
              <w:rPr>
                <w:b/>
                <w:bCs/>
                <w:sz w:val="28"/>
                <w:szCs w:val="28"/>
                <w:highlight w:val="yellow"/>
              </w:rPr>
            </w:r>
          </w:p>
          <w:p>
            <w:pPr>
              <w:jc w:val="center"/>
              <w:rPr>
                <w:b/>
                <w:bCs/>
                <w:sz w:val="28"/>
                <w:szCs w:val="28"/>
                <w:highlight w:val="yellow"/>
              </w:rPr>
            </w:pPr>
            <w:r>
              <w:rPr>
                <w:b/>
                <w:sz w:val="28"/>
                <w:szCs w:val="28"/>
                <w:highlight w:val="yellow"/>
              </w:rPr>
            </w:r>
            <w:r>
              <w:rPr>
                <w:b/>
                <w:bCs/>
                <w:sz w:val="28"/>
                <w:szCs w:val="28"/>
                <w:highlight w:val="yellow"/>
              </w:rPr>
            </w:r>
            <w:r>
              <w:rPr>
                <w:b/>
                <w:bCs/>
                <w:sz w:val="28"/>
                <w:szCs w:val="28"/>
                <w:highlight w:val="yellow"/>
              </w:rPr>
            </w:r>
          </w:p>
        </w:tc>
      </w:tr>
      <w:tr>
        <w:tblPrEx/>
        <w:trPr/>
        <w:tc>
          <w:tcPr>
            <w:tcW w:w="9756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sz w:val="28"/>
                <w:szCs w:val="28"/>
                <w:highlight w:val="yellow"/>
              </w:rPr>
            </w:pPr>
            <w:r>
              <w:rPr>
                <w:b/>
                <w:sz w:val="28"/>
                <w:szCs w:val="28"/>
                <w:highlight w:val="yellow"/>
              </w:rPr>
            </w:r>
            <w:r>
              <w:rPr>
                <w:b/>
                <w:sz w:val="28"/>
                <w:szCs w:val="28"/>
                <w:highlight w:val="yellow"/>
              </w:rPr>
            </w:r>
            <w:r>
              <w:rPr>
                <w:b/>
                <w:sz w:val="28"/>
                <w:szCs w:val="28"/>
                <w:highlight w:val="yellow"/>
              </w:rPr>
            </w:r>
          </w:p>
        </w:tc>
      </w:tr>
    </w:tbl>
    <w:p>
      <w:pPr>
        <w:spacing w:after="160"/>
      </w:pPr>
      <w:r/>
      <w:bookmarkStart w:id="13" w:name="_GoBack"/>
      <w:r/>
      <w:bookmarkEnd w:id="13"/>
      <w:r/>
      <w:r/>
    </w:p>
    <w:sectPr>
      <w:footnotePr/>
      <w:endnotePr/>
      <w:type w:val="nextPage"/>
      <w:pgSz w:w="11906" w:h="16838" w:orient="portrait"/>
      <w:pgMar w:top="851" w:right="567" w:bottom="851" w:left="1134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  <w:endnote w:type="continuationNotice" w:id="1">
    <w:p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Segoe UI">
    <w:panose1 w:val="020B0502040504020204"/>
  </w:font>
  <w:font w:name="Times New Roman">
    <w:panose1 w:val="020206030504050203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  <w:footnote w:type="continuationNotice" w:id="1">
    <w:p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980" w:hanging="54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3.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980" w:hanging="54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decimal"/>
      <w:isLgl w:val="false"/>
      <w:suff w:val="tab"/>
      <w:lvlText w:val="%3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isLgl w:val="false"/>
      <w:suff w:val="tab"/>
      <w:lvlText w:val="2.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1.%4."/>
      <w:lvlJc w:val="left"/>
      <w:pPr>
        <w:ind w:left="785" w:hanging="360"/>
      </w:pPr>
      <w:rPr>
        <w:rFonts w:hint="default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0872" w:hanging="1800"/>
      </w:pPr>
      <w:rPr>
        <w:rFonts w:hint="default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78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50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22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94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66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38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10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82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decimal"/>
      <w:isLgl w:val="false"/>
      <w:suff w:val="tab"/>
      <w:lvlText w:val="%3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isLgl w:val="false"/>
      <w:suff w:val="tab"/>
      <w:lvlText w:val="2.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3.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decimal"/>
      <w:isLgl w:val="false"/>
      <w:suff w:val="tab"/>
      <w:lvlText w:val="%3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isLgl w:val="false"/>
      <w:suff w:val="tab"/>
      <w:lvlText w:val="2.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decimal"/>
      <w:isLgl w:val="false"/>
      <w:suff w:val="tab"/>
      <w:lvlText w:val="%3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isLgl w:val="false"/>
      <w:suff w:val="tab"/>
      <w:lvlText w:val="2.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decimal"/>
      <w:isLgl w:val="false"/>
      <w:suff w:val="tab"/>
      <w:lvlText w:val="%3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isLgl w:val="false"/>
      <w:suff w:val="tab"/>
      <w:lvlText w:val="2.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980" w:hanging="54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14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980" w:hanging="54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decimal"/>
      <w:isLgl w:val="false"/>
      <w:suff w:val="tab"/>
      <w:lvlText w:val="%3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isLgl w:val="false"/>
      <w:suff w:val="tab"/>
      <w:lvlText w:val="2.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9"/>
  </w:num>
  <w:num w:numId="4">
    <w:abstractNumId w:val="7"/>
  </w:num>
  <w:num w:numId="5">
    <w:abstractNumId w:val="0"/>
  </w:num>
  <w:num w:numId="6">
    <w:abstractNumId w:val="6"/>
  </w:num>
  <w:num w:numId="7">
    <w:abstractNumId w:val="3"/>
  </w:num>
  <w:num w:numId="8">
    <w:abstractNumId w:val="5"/>
  </w:num>
  <w:num w:numId="9">
    <w:abstractNumId w:val="2"/>
  </w:num>
  <w:num w:numId="10">
    <w:abstractNumId w:val="1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5">
    <w:name w:val="Heading 1 Char"/>
    <w:basedOn w:val="880"/>
    <w:link w:val="879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706">
    <w:name w:val="Heading 2"/>
    <w:basedOn w:val="878"/>
    <w:next w:val="878"/>
    <w:link w:val="70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707">
    <w:name w:val="Heading 2 Char"/>
    <w:basedOn w:val="880"/>
    <w:link w:val="706"/>
    <w:uiPriority w:val="9"/>
    <w:rPr>
      <w:rFonts w:ascii="Liberation Sans" w:hAnsi="Liberation Sans" w:eastAsia="Liberation Sans" w:cs="Liberation Sans"/>
      <w:sz w:val="34"/>
    </w:rPr>
  </w:style>
  <w:style w:type="paragraph" w:styleId="708">
    <w:name w:val="Heading 3"/>
    <w:basedOn w:val="878"/>
    <w:next w:val="878"/>
    <w:link w:val="70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709">
    <w:name w:val="Heading 3 Char"/>
    <w:basedOn w:val="880"/>
    <w:link w:val="70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710">
    <w:name w:val="Heading 4"/>
    <w:basedOn w:val="878"/>
    <w:next w:val="878"/>
    <w:link w:val="71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11">
    <w:name w:val="Heading 4 Char"/>
    <w:basedOn w:val="880"/>
    <w:link w:val="71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12">
    <w:name w:val="Heading 5"/>
    <w:basedOn w:val="878"/>
    <w:next w:val="878"/>
    <w:link w:val="71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13">
    <w:name w:val="Heading 5 Char"/>
    <w:basedOn w:val="880"/>
    <w:link w:val="71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714">
    <w:name w:val="Heading 6"/>
    <w:basedOn w:val="878"/>
    <w:next w:val="878"/>
    <w:link w:val="71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15">
    <w:name w:val="Heading 6 Char"/>
    <w:basedOn w:val="880"/>
    <w:link w:val="71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16">
    <w:name w:val="Heading 7"/>
    <w:basedOn w:val="878"/>
    <w:next w:val="878"/>
    <w:link w:val="71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17">
    <w:name w:val="Heading 7 Char"/>
    <w:basedOn w:val="880"/>
    <w:link w:val="71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18">
    <w:name w:val="Heading 8"/>
    <w:basedOn w:val="878"/>
    <w:next w:val="878"/>
    <w:link w:val="71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19">
    <w:name w:val="Heading 8 Char"/>
    <w:basedOn w:val="880"/>
    <w:link w:val="71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20">
    <w:name w:val="Heading 9"/>
    <w:basedOn w:val="878"/>
    <w:next w:val="878"/>
    <w:link w:val="72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21">
    <w:name w:val="Heading 9 Char"/>
    <w:basedOn w:val="880"/>
    <w:link w:val="72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22">
    <w:name w:val="No Spacing"/>
    <w:uiPriority w:val="1"/>
    <w:qFormat/>
    <w:pPr>
      <w:spacing w:before="0" w:after="0" w:line="240" w:lineRule="auto"/>
    </w:pPr>
  </w:style>
  <w:style w:type="paragraph" w:styleId="723">
    <w:name w:val="Title"/>
    <w:basedOn w:val="878"/>
    <w:next w:val="878"/>
    <w:link w:val="72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24">
    <w:name w:val="Title Char"/>
    <w:basedOn w:val="880"/>
    <w:link w:val="723"/>
    <w:uiPriority w:val="10"/>
    <w:rPr>
      <w:sz w:val="48"/>
      <w:szCs w:val="48"/>
    </w:rPr>
  </w:style>
  <w:style w:type="paragraph" w:styleId="725">
    <w:name w:val="Subtitle"/>
    <w:basedOn w:val="878"/>
    <w:next w:val="878"/>
    <w:link w:val="726"/>
    <w:uiPriority w:val="11"/>
    <w:qFormat/>
    <w:pPr>
      <w:spacing w:before="200" w:after="200"/>
    </w:pPr>
    <w:rPr>
      <w:sz w:val="24"/>
      <w:szCs w:val="24"/>
    </w:rPr>
  </w:style>
  <w:style w:type="character" w:styleId="726">
    <w:name w:val="Subtitle Char"/>
    <w:basedOn w:val="880"/>
    <w:link w:val="725"/>
    <w:uiPriority w:val="11"/>
    <w:rPr>
      <w:sz w:val="24"/>
      <w:szCs w:val="24"/>
    </w:rPr>
  </w:style>
  <w:style w:type="paragraph" w:styleId="727">
    <w:name w:val="Quote"/>
    <w:basedOn w:val="878"/>
    <w:next w:val="878"/>
    <w:link w:val="728"/>
    <w:uiPriority w:val="29"/>
    <w:qFormat/>
    <w:pPr>
      <w:ind w:left="720" w:right="720"/>
    </w:pPr>
    <w:rPr>
      <w:i/>
    </w:rPr>
  </w:style>
  <w:style w:type="character" w:styleId="728">
    <w:name w:val="Quote Char"/>
    <w:link w:val="727"/>
    <w:uiPriority w:val="29"/>
    <w:rPr>
      <w:i/>
    </w:rPr>
  </w:style>
  <w:style w:type="paragraph" w:styleId="729">
    <w:name w:val="Intense Quote"/>
    <w:basedOn w:val="878"/>
    <w:next w:val="878"/>
    <w:link w:val="73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30">
    <w:name w:val="Intense Quote Char"/>
    <w:link w:val="729"/>
    <w:uiPriority w:val="30"/>
    <w:rPr>
      <w:i/>
    </w:rPr>
  </w:style>
  <w:style w:type="character" w:styleId="731">
    <w:name w:val="Header Char"/>
    <w:basedOn w:val="880"/>
    <w:link w:val="894"/>
    <w:uiPriority w:val="99"/>
  </w:style>
  <w:style w:type="character" w:styleId="732">
    <w:name w:val="Footer Char"/>
    <w:basedOn w:val="880"/>
    <w:link w:val="896"/>
    <w:uiPriority w:val="99"/>
  </w:style>
  <w:style w:type="paragraph" w:styleId="733">
    <w:name w:val="Caption"/>
    <w:basedOn w:val="878"/>
    <w:next w:val="878"/>
    <w:link w:val="73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34">
    <w:name w:val="Caption Char"/>
    <w:basedOn w:val="880"/>
    <w:link w:val="733"/>
    <w:uiPriority w:val="35"/>
    <w:rPr>
      <w:b/>
      <w:bCs/>
      <w:color w:val="4f81bd" w:themeColor="accent1"/>
      <w:sz w:val="18"/>
      <w:szCs w:val="18"/>
    </w:rPr>
  </w:style>
  <w:style w:type="table" w:styleId="735">
    <w:name w:val="Table Grid Light"/>
    <w:basedOn w:val="88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6">
    <w:name w:val="Plain Table 1"/>
    <w:basedOn w:val="88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37">
    <w:name w:val="Plain Table 2"/>
    <w:basedOn w:val="88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38">
    <w:name w:val="Plain Table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9">
    <w:name w:val="Plain Table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Plain Table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41">
    <w:name w:val="Grid Table 1 Light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Grid Table 1 Light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Grid Table 1 Light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Grid Table 1 Light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>
    <w:name w:val="Grid Table 1 Light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Grid Table 1 Light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Grid Table 1 Light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Grid Table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2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2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2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2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2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2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3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3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3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3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3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3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4"/>
    <w:basedOn w:val="8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3">
    <w:name w:val="Grid Table 4 - Accent 1"/>
    <w:basedOn w:val="8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4">
    <w:name w:val="Grid Table 4 - Accent 2"/>
    <w:basedOn w:val="8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65">
    <w:name w:val="Grid Table 4 - Accent 3"/>
    <w:basedOn w:val="8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66">
    <w:name w:val="Grid Table 4 - Accent 4"/>
    <w:basedOn w:val="8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67">
    <w:name w:val="Grid Table 4 - Accent 5"/>
    <w:basedOn w:val="8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68">
    <w:name w:val="Grid Table 4 - Accent 6"/>
    <w:basedOn w:val="8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69">
    <w:name w:val="Grid Table 5 Dark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70">
    <w:name w:val="Grid Table 5 Dark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71">
    <w:name w:val="Grid Table 5 Dark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72">
    <w:name w:val="Grid Table 5 Dark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73">
    <w:name w:val="Grid Table 5 Dark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74">
    <w:name w:val="Grid Table 5 Dark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75">
    <w:name w:val="Grid Table 5 Dark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76">
    <w:name w:val="Grid Table 6 Colorful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77">
    <w:name w:val="Grid Table 6 Colorful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78">
    <w:name w:val="Grid Table 6 Colorful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79">
    <w:name w:val="Grid Table 6 Colorful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80">
    <w:name w:val="Grid Table 6 Colorful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81">
    <w:name w:val="Grid Table 6 Colorful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82">
    <w:name w:val="Grid Table 6 Colorful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83">
    <w:name w:val="Grid Table 7 Colorful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Grid Table 7 Colorful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Grid Table 7 Colorful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Grid Table 7 Colorful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Grid Table 7 Colorful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7 Colorful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7 Colorful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List Table 1 Light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List Table 1 Light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List Table 1 Light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List Table 1 Light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List Table 1 Light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List Table 1 Light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List Table 1 Light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List Table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98">
    <w:name w:val="List Table 2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99">
    <w:name w:val="List Table 2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00">
    <w:name w:val="List Table 2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01">
    <w:name w:val="List Table 2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02">
    <w:name w:val="List Table 2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03">
    <w:name w:val="List Table 2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04">
    <w:name w:val="List Table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3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3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3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3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List Table 3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List Table 3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List Table 4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4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4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>
    <w:name w:val="List Table 4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List Table 4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>
    <w:name w:val="List Table 4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>
    <w:name w:val="List Table 5 Dark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19">
    <w:name w:val="List Table 5 Dark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0">
    <w:name w:val="List Table 5 Dark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1">
    <w:name w:val="List Table 5 Dark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2">
    <w:name w:val="List Table 5 Dark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3">
    <w:name w:val="List Table 5 Dark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4">
    <w:name w:val="List Table 5 Dark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5">
    <w:name w:val="List Table 6 Colorful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26">
    <w:name w:val="List Table 6 Colorful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27">
    <w:name w:val="List Table 6 Colorful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28">
    <w:name w:val="List Table 6 Colorful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29">
    <w:name w:val="List Table 6 Colorful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30">
    <w:name w:val="List Table 6 Colorful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31">
    <w:name w:val="List Table 6 Colorful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32">
    <w:name w:val="List Table 7 Colorful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833">
    <w:name w:val="List Table 7 Colorful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834">
    <w:name w:val="List Table 7 Colorful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835">
    <w:name w:val="List Table 7 Colorful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836">
    <w:name w:val="List Table 7 Colorful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837">
    <w:name w:val="List Table 7 Colorful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838">
    <w:name w:val="List Table 7 Colorful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839">
    <w:name w:val="Lined - Accent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0">
    <w:name w:val="Lined - Accent 1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41">
    <w:name w:val="Lined - Accent 2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42">
    <w:name w:val="Lined - Accent 3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3">
    <w:name w:val="Lined - Accent 4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4">
    <w:name w:val="Lined - Accent 5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5">
    <w:name w:val="Lined - Accent 6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6">
    <w:name w:val="Bordered &amp; Lined - Accent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7">
    <w:name w:val="Bordered &amp; Lined - Accent 1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48">
    <w:name w:val="Bordered &amp; Lined - Accent 2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49">
    <w:name w:val="Bordered &amp; Lined - Accent 3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50">
    <w:name w:val="Bordered &amp; Lined - Accent 4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51">
    <w:name w:val="Bordered &amp; Lined - Accent 5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52">
    <w:name w:val="Bordered &amp; Lined - Accent 6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53">
    <w:name w:val="Bordered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54">
    <w:name w:val="Bordered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55">
    <w:name w:val="Bordered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56">
    <w:name w:val="Bordered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57">
    <w:name w:val="Bordered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58">
    <w:name w:val="Bordered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59">
    <w:name w:val="Bordered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60">
    <w:name w:val="Hyperlink"/>
    <w:uiPriority w:val="99"/>
    <w:unhideWhenUsed/>
    <w:rPr>
      <w:color w:val="0000ff" w:themeColor="hyperlink"/>
      <w:u w:val="single"/>
    </w:rPr>
  </w:style>
  <w:style w:type="paragraph" w:styleId="861">
    <w:name w:val="footnote text"/>
    <w:basedOn w:val="878"/>
    <w:link w:val="862"/>
    <w:uiPriority w:val="99"/>
    <w:semiHidden/>
    <w:unhideWhenUsed/>
    <w:pPr>
      <w:spacing w:after="40" w:line="240" w:lineRule="auto"/>
    </w:pPr>
    <w:rPr>
      <w:sz w:val="18"/>
    </w:rPr>
  </w:style>
  <w:style w:type="character" w:styleId="862">
    <w:name w:val="Footnote Text Char"/>
    <w:link w:val="861"/>
    <w:uiPriority w:val="99"/>
    <w:rPr>
      <w:sz w:val="18"/>
    </w:rPr>
  </w:style>
  <w:style w:type="character" w:styleId="863">
    <w:name w:val="footnote reference"/>
    <w:basedOn w:val="880"/>
    <w:uiPriority w:val="99"/>
    <w:unhideWhenUsed/>
    <w:rPr>
      <w:vertAlign w:val="superscript"/>
    </w:rPr>
  </w:style>
  <w:style w:type="paragraph" w:styleId="864">
    <w:name w:val="endnote text"/>
    <w:basedOn w:val="878"/>
    <w:link w:val="865"/>
    <w:uiPriority w:val="99"/>
    <w:semiHidden/>
    <w:unhideWhenUsed/>
    <w:pPr>
      <w:spacing w:after="0" w:line="240" w:lineRule="auto"/>
    </w:pPr>
    <w:rPr>
      <w:sz w:val="20"/>
    </w:rPr>
  </w:style>
  <w:style w:type="character" w:styleId="865">
    <w:name w:val="Endnote Text Char"/>
    <w:link w:val="864"/>
    <w:uiPriority w:val="99"/>
    <w:rPr>
      <w:sz w:val="20"/>
    </w:rPr>
  </w:style>
  <w:style w:type="character" w:styleId="866">
    <w:name w:val="endnote reference"/>
    <w:basedOn w:val="880"/>
    <w:uiPriority w:val="99"/>
    <w:semiHidden/>
    <w:unhideWhenUsed/>
    <w:rPr>
      <w:vertAlign w:val="superscript"/>
    </w:rPr>
  </w:style>
  <w:style w:type="paragraph" w:styleId="867">
    <w:name w:val="toc 1"/>
    <w:basedOn w:val="878"/>
    <w:next w:val="878"/>
    <w:uiPriority w:val="39"/>
    <w:unhideWhenUsed/>
    <w:pPr>
      <w:ind w:left="0" w:right="0" w:firstLine="0"/>
      <w:spacing w:after="57"/>
    </w:pPr>
  </w:style>
  <w:style w:type="paragraph" w:styleId="868">
    <w:name w:val="toc 2"/>
    <w:basedOn w:val="878"/>
    <w:next w:val="878"/>
    <w:uiPriority w:val="39"/>
    <w:unhideWhenUsed/>
    <w:pPr>
      <w:ind w:left="283" w:right="0" w:firstLine="0"/>
      <w:spacing w:after="57"/>
    </w:pPr>
  </w:style>
  <w:style w:type="paragraph" w:styleId="869">
    <w:name w:val="toc 3"/>
    <w:basedOn w:val="878"/>
    <w:next w:val="878"/>
    <w:uiPriority w:val="39"/>
    <w:unhideWhenUsed/>
    <w:pPr>
      <w:ind w:left="567" w:right="0" w:firstLine="0"/>
      <w:spacing w:after="57"/>
    </w:pPr>
  </w:style>
  <w:style w:type="paragraph" w:styleId="870">
    <w:name w:val="toc 4"/>
    <w:basedOn w:val="878"/>
    <w:next w:val="878"/>
    <w:uiPriority w:val="39"/>
    <w:unhideWhenUsed/>
    <w:pPr>
      <w:ind w:left="850" w:right="0" w:firstLine="0"/>
      <w:spacing w:after="57"/>
    </w:pPr>
  </w:style>
  <w:style w:type="paragraph" w:styleId="871">
    <w:name w:val="toc 5"/>
    <w:basedOn w:val="878"/>
    <w:next w:val="878"/>
    <w:uiPriority w:val="39"/>
    <w:unhideWhenUsed/>
    <w:pPr>
      <w:ind w:left="1134" w:right="0" w:firstLine="0"/>
      <w:spacing w:after="57"/>
    </w:pPr>
  </w:style>
  <w:style w:type="paragraph" w:styleId="872">
    <w:name w:val="toc 6"/>
    <w:basedOn w:val="878"/>
    <w:next w:val="878"/>
    <w:uiPriority w:val="39"/>
    <w:unhideWhenUsed/>
    <w:pPr>
      <w:ind w:left="1417" w:right="0" w:firstLine="0"/>
      <w:spacing w:after="57"/>
    </w:pPr>
  </w:style>
  <w:style w:type="paragraph" w:styleId="873">
    <w:name w:val="toc 7"/>
    <w:basedOn w:val="878"/>
    <w:next w:val="878"/>
    <w:uiPriority w:val="39"/>
    <w:unhideWhenUsed/>
    <w:pPr>
      <w:ind w:left="1701" w:right="0" w:firstLine="0"/>
      <w:spacing w:after="57"/>
    </w:pPr>
  </w:style>
  <w:style w:type="paragraph" w:styleId="874">
    <w:name w:val="toc 8"/>
    <w:basedOn w:val="878"/>
    <w:next w:val="878"/>
    <w:uiPriority w:val="39"/>
    <w:unhideWhenUsed/>
    <w:pPr>
      <w:ind w:left="1984" w:right="0" w:firstLine="0"/>
      <w:spacing w:after="57"/>
    </w:pPr>
  </w:style>
  <w:style w:type="paragraph" w:styleId="875">
    <w:name w:val="toc 9"/>
    <w:basedOn w:val="878"/>
    <w:next w:val="878"/>
    <w:uiPriority w:val="39"/>
    <w:unhideWhenUsed/>
    <w:pPr>
      <w:ind w:left="2268" w:right="0" w:firstLine="0"/>
      <w:spacing w:after="57"/>
    </w:pPr>
  </w:style>
  <w:style w:type="paragraph" w:styleId="876">
    <w:name w:val="TOC Heading"/>
    <w:uiPriority w:val="39"/>
    <w:unhideWhenUsed/>
  </w:style>
  <w:style w:type="paragraph" w:styleId="877">
    <w:name w:val="table of figures"/>
    <w:basedOn w:val="878"/>
    <w:next w:val="878"/>
    <w:uiPriority w:val="99"/>
    <w:unhideWhenUsed/>
    <w:pPr>
      <w:spacing w:after="0" w:afterAutospacing="0"/>
    </w:pPr>
  </w:style>
  <w:style w:type="paragraph" w:styleId="878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79">
    <w:name w:val="Heading 1"/>
    <w:basedOn w:val="878"/>
    <w:next w:val="878"/>
    <w:link w:val="883"/>
    <w:uiPriority w:val="9"/>
    <w:qFormat/>
    <w:pPr>
      <w:keepLines/>
      <w:keepNext/>
      <w:spacing w:before="480"/>
      <w:outlineLvl w:val="0"/>
    </w:pPr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character" w:styleId="880" w:default="1">
    <w:name w:val="Default Paragraph Font"/>
    <w:uiPriority w:val="1"/>
    <w:semiHidden/>
    <w:unhideWhenUsed/>
  </w:style>
  <w:style w:type="table" w:styleId="88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82" w:default="1">
    <w:name w:val="No List"/>
    <w:uiPriority w:val="99"/>
    <w:semiHidden/>
    <w:unhideWhenUsed/>
  </w:style>
  <w:style w:type="character" w:styleId="883" w:customStyle="1">
    <w:name w:val="Заголовок 1 Знак"/>
    <w:basedOn w:val="880"/>
    <w:link w:val="879"/>
    <w:uiPriority w:val="9"/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  <w:lang w:eastAsia="ru-RU"/>
    </w:rPr>
  </w:style>
  <w:style w:type="paragraph" w:styleId="884">
    <w:name w:val="List Paragraph"/>
    <w:basedOn w:val="878"/>
    <w:link w:val="885"/>
    <w:uiPriority w:val="34"/>
    <w:qFormat/>
    <w:pPr>
      <w:contextualSpacing/>
      <w:ind w:left="720"/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styleId="885" w:customStyle="1">
    <w:name w:val="Абзац списка Знак"/>
    <w:link w:val="884"/>
    <w:uiPriority w:val="34"/>
  </w:style>
  <w:style w:type="table" w:styleId="886">
    <w:name w:val="Table Grid"/>
    <w:basedOn w:val="881"/>
    <w:pPr>
      <w:jc w:val="both"/>
      <w:spacing w:before="120"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87">
    <w:name w:val="annotation reference"/>
    <w:basedOn w:val="880"/>
    <w:uiPriority w:val="99"/>
    <w:semiHidden/>
    <w:unhideWhenUsed/>
    <w:rPr>
      <w:sz w:val="16"/>
      <w:szCs w:val="16"/>
    </w:rPr>
  </w:style>
  <w:style w:type="paragraph" w:styleId="888">
    <w:name w:val="annotation text"/>
    <w:basedOn w:val="878"/>
    <w:link w:val="889"/>
    <w:uiPriority w:val="99"/>
    <w:semiHidden/>
    <w:unhideWhenUsed/>
    <w:rPr>
      <w:sz w:val="20"/>
      <w:szCs w:val="20"/>
    </w:rPr>
  </w:style>
  <w:style w:type="character" w:styleId="889" w:customStyle="1">
    <w:name w:val="Текст примечания Знак"/>
    <w:basedOn w:val="880"/>
    <w:link w:val="888"/>
    <w:uiPriority w:val="99"/>
    <w:semiHidden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890">
    <w:name w:val="annotation subject"/>
    <w:basedOn w:val="888"/>
    <w:next w:val="888"/>
    <w:link w:val="891"/>
    <w:uiPriority w:val="99"/>
    <w:semiHidden/>
    <w:unhideWhenUsed/>
    <w:rPr>
      <w:b/>
      <w:bCs/>
    </w:rPr>
  </w:style>
  <w:style w:type="character" w:styleId="891" w:customStyle="1">
    <w:name w:val="Тема примечания Знак"/>
    <w:basedOn w:val="889"/>
    <w:link w:val="890"/>
    <w:uiPriority w:val="99"/>
    <w:semiHidden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paragraph" w:styleId="892">
    <w:name w:val="Balloon Text"/>
    <w:basedOn w:val="878"/>
    <w:link w:val="893"/>
    <w:uiPriority w:val="99"/>
    <w:semiHidden/>
    <w:unhideWhenUsed/>
    <w:rPr>
      <w:rFonts w:ascii="Segoe UI" w:hAnsi="Segoe UI" w:cs="Segoe UI"/>
      <w:sz w:val="18"/>
      <w:szCs w:val="18"/>
    </w:rPr>
  </w:style>
  <w:style w:type="character" w:styleId="893" w:customStyle="1">
    <w:name w:val="Текст выноски Знак"/>
    <w:basedOn w:val="880"/>
    <w:link w:val="892"/>
    <w:uiPriority w:val="99"/>
    <w:semiHidden/>
    <w:rPr>
      <w:rFonts w:ascii="Segoe UI" w:hAnsi="Segoe UI" w:eastAsia="Times New Roman" w:cs="Segoe UI"/>
      <w:sz w:val="18"/>
      <w:szCs w:val="18"/>
      <w:lang w:eastAsia="ru-RU"/>
    </w:rPr>
  </w:style>
  <w:style w:type="paragraph" w:styleId="894">
    <w:name w:val="Header"/>
    <w:basedOn w:val="878"/>
    <w:link w:val="895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895" w:customStyle="1">
    <w:name w:val="Верхний колонтитул Знак"/>
    <w:basedOn w:val="880"/>
    <w:link w:val="894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96">
    <w:name w:val="Footer"/>
    <w:basedOn w:val="878"/>
    <w:link w:val="897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897" w:customStyle="1">
    <w:name w:val="Нижний колонтитул Знак"/>
    <w:basedOn w:val="880"/>
    <w:link w:val="896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898" w:customStyle="1">
    <w:name w:val="Сетка таблицы1"/>
    <w:basedOn w:val="881"/>
    <w:next w:val="886"/>
    <w:pPr>
      <w:jc w:val="both"/>
      <w:spacing w:before="120"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99">
    <w:name w:val="Revision"/>
    <w:hidden/>
    <w:uiPriority w:val="99"/>
    <w:semiHidden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40729F-82A5-4D9F-8EF8-A7ED12AE1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>HQ-SCCM01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Филиппов Сергей Михайлович</dc:creator>
  <cp:lastModifiedBy>shamin_ev</cp:lastModifiedBy>
  <cp:revision>13</cp:revision>
  <dcterms:created xsi:type="dcterms:W3CDTF">2025-09-09T10:14:00Z</dcterms:created>
  <dcterms:modified xsi:type="dcterms:W3CDTF">2026-08-13T10:09:44Z</dcterms:modified>
</cp:coreProperties>
</file>