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954" w:right="283"/>
        <w:spacing w:after="0" w:line="240" w:lineRule="auto"/>
        <w:tabs>
          <w:tab w:val="center" w:pos="4677" w:leader="none"/>
        </w:tabs>
        <w:rPr>
          <w:rFonts w:ascii="Liberation Serif" w:hAnsi="Liberation Serif" w:eastAsia="Times New Roman" w:cs="Liberation Serif"/>
          <w:sz w:val="24"/>
          <w:szCs w:val="24"/>
          <w:lang w:eastAsia="ru-RU"/>
        </w:rPr>
      </w:pPr>
      <w:r/>
      <w:bookmarkStart w:id="0" w:name="_GoBack"/>
      <w:r/>
      <w:bookmarkEnd w:id="0"/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  <w:t xml:space="preserve">Приложение № </w:t>
      </w: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  <w:t xml:space="preserve">1</w:t>
      </w: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  <w:t xml:space="preserve"> к приказу </w:t>
      </w: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</w: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</w:r>
    </w:p>
    <w:p>
      <w:pPr>
        <w:ind w:left="5954" w:right="283"/>
        <w:spacing w:after="0" w:line="240" w:lineRule="auto"/>
        <w:tabs>
          <w:tab w:val="center" w:pos="4677" w:leader="none"/>
        </w:tabs>
        <w:rPr>
          <w:rFonts w:ascii="Liberation Serif" w:hAnsi="Liberation Serif" w:eastAsia="Times New Roman" w:cs="Liberation Serif"/>
          <w:sz w:val="24"/>
          <w:szCs w:val="24"/>
          <w:lang w:eastAsia="ru-RU"/>
        </w:rPr>
      </w:pP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  <w:t xml:space="preserve">от ________ №_________</w:t>
      </w: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</w: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</w:r>
    </w:p>
    <w:p>
      <w:pPr>
        <w:ind w:left="5954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left="5954"/>
        <w:spacing w:after="0" w:line="240" w:lineRule="auto"/>
        <w:rPr>
          <w:rFonts w:ascii="Liberation Serif" w:hAnsi="Liberation Serif" w:eastAsia="Times New Roman" w:cs="Liberation Serif"/>
          <w:sz w:val="24"/>
          <w:szCs w:val="24"/>
          <w:lang w:eastAsia="ru-RU"/>
        </w:rPr>
      </w:pP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  <w:t xml:space="preserve">Приложение № </w:t>
      </w: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  <w:t xml:space="preserve">4</w:t>
      </w: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</w: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</w:r>
    </w:p>
    <w:p>
      <w:pPr>
        <w:ind w:left="5954"/>
        <w:spacing w:after="0" w:line="240" w:lineRule="auto"/>
        <w:rPr>
          <w:rFonts w:ascii="Liberation Serif" w:hAnsi="Liberation Serif" w:eastAsia="Times New Roman" w:cs="Liberation Serif"/>
          <w:bCs/>
          <w:sz w:val="24"/>
          <w:szCs w:val="24"/>
          <w:lang w:eastAsia="ru-RU"/>
        </w:rPr>
      </w:pPr>
      <w:r>
        <w:rPr>
          <w:rFonts w:ascii="Liberation Serif" w:hAnsi="Liberation Serif" w:eastAsia="Times New Roman" w:cs="Liberation Serif"/>
          <w:bCs/>
          <w:sz w:val="24"/>
          <w:szCs w:val="24"/>
          <w:lang w:eastAsia="ru-RU"/>
        </w:rPr>
        <w:t xml:space="preserve">к </w:t>
      </w:r>
      <w:r>
        <w:rPr>
          <w:rFonts w:ascii="Liberation Serif" w:hAnsi="Liberation Serif" w:eastAsia="Times New Roman" w:cs="Liberation Serif"/>
          <w:bCs/>
          <w:sz w:val="24"/>
          <w:szCs w:val="24"/>
          <w:lang w:eastAsia="ru-RU"/>
        </w:rPr>
        <w:t xml:space="preserve">п</w:t>
      </w:r>
      <w:r>
        <w:rPr>
          <w:rFonts w:ascii="Liberation Serif" w:hAnsi="Liberation Serif" w:eastAsia="Times New Roman" w:cs="Liberation Serif"/>
          <w:bCs/>
          <w:sz w:val="24"/>
          <w:szCs w:val="24"/>
          <w:lang w:eastAsia="ru-RU"/>
        </w:rPr>
        <w:t xml:space="preserve">риказу </w:t>
      </w:r>
      <w:r>
        <w:rPr>
          <w:rFonts w:ascii="Liberation Serif" w:hAnsi="Liberation Serif" w:eastAsia="Times New Roman" w:cs="Liberation Serif"/>
          <w:bCs/>
          <w:sz w:val="24"/>
          <w:szCs w:val="24"/>
          <w:lang w:eastAsia="ru-RU"/>
        </w:rPr>
        <w:t xml:space="preserve">от 15.12.2015 № 1241</w:t>
      </w: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bCs/>
          <w:sz w:val="24"/>
          <w:szCs w:val="24"/>
          <w:lang w:eastAsia="ru-RU"/>
        </w:rPr>
      </w:r>
      <w:r>
        <w:rPr>
          <w:rFonts w:ascii="Liberation Serif" w:hAnsi="Liberation Serif" w:eastAsia="Times New Roman" w:cs="Liberation Serif"/>
          <w:bCs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</w:p>
    <w:p>
      <w:pPr>
        <w:ind w:left="567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center"/>
        <w:spacing w:after="0" w:line="240" w:lineRule="auto"/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Договор поставки 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ind w:firstLine="284"/>
        <w:spacing w:after="0" w:line="240" w:lineRule="auto"/>
        <w:shd w:val="clear" w:color="auto" w:fill="ffffff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г. Томск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ab/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ab/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ab/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ab/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ab/>
        <w:t xml:space="preserve">            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ab/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shd w:val="clear" w:color="auto" w:fill="ffffff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shd w:val="clear" w:color="auto" w:fill="ffffff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  <w:t xml:space="preserve">Акционерное общество «Томская генерация» (АО «Томская генерация»)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,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именуемое в дальнейшем «Покупатель», в лице___________________________, действующего на основании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___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_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_______________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, с одной стороны 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shd w:val="clear" w:color="auto" w:fill="ffffff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__________________________ полное наименование Поставщика (сокращенное наименование Поставщика)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,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именуемое в дальнейшем «Поставщик», в лице ___________________, действующего на основании ____________, с другой стороны, совместно именуемые «Стороны»,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shd w:val="clear" w:color="auto" w:fill="ffffff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по результатам проведенной регламентированной процедуры закупки способом ____________________ (протокол заседания Закупочной комиссии______________ № ___________от «_____»________20___г.</w:t>
      </w:r>
      <w:bookmarkStart w:id="1" w:name="_Hlk114667546"/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/ по результатам упрощенной процедуры закупки (конкурентная карта №____ от «__»_______20__ г.)</w:t>
      </w:r>
      <w:bookmarkEnd w:id="1"/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)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заключили настоящий Договор о нижеследующем: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spacing w:after="0" w:line="240" w:lineRule="auto"/>
        <w:shd w:val="clear" w:color="auto" w:fill="ffffff"/>
        <w:rPr>
          <w:rFonts w:ascii="Liberation Serif" w:hAnsi="Liberation Serif" w:eastAsia="Times New Roman" w:cs="Liberation Serif"/>
          <w:sz w:val="16"/>
          <w:szCs w:val="16"/>
          <w:lang w:eastAsia="ru-RU"/>
        </w:rPr>
      </w:pPr>
      <w:r>
        <w:rPr>
          <w:rFonts w:ascii="Liberation Serif" w:hAnsi="Liberation Serif" w:eastAsia="Times New Roman" w:cs="Liberation Serif"/>
          <w:sz w:val="16"/>
          <w:szCs w:val="16"/>
          <w:lang w:eastAsia="ru-RU"/>
        </w:rPr>
      </w:r>
      <w:r>
        <w:rPr>
          <w:rFonts w:ascii="Liberation Serif" w:hAnsi="Liberation Serif" w:eastAsia="Times New Roman" w:cs="Liberation Serif"/>
          <w:sz w:val="16"/>
          <w:szCs w:val="16"/>
          <w:lang w:eastAsia="ru-RU"/>
        </w:rPr>
      </w:r>
      <w:r>
        <w:rPr>
          <w:rFonts w:ascii="Liberation Serif" w:hAnsi="Liberation Serif" w:eastAsia="Times New Roman" w:cs="Liberation Serif"/>
          <w:sz w:val="16"/>
          <w:szCs w:val="16"/>
          <w:lang w:eastAsia="ru-RU"/>
        </w:rPr>
      </w:r>
    </w:p>
    <w:p>
      <w:pPr>
        <w:numPr>
          <w:ilvl w:val="0"/>
          <w:numId w:val="3"/>
        </w:numPr>
        <w:ind w:left="0" w:firstLine="284"/>
        <w:jc w:val="center"/>
        <w:spacing w:after="0" w:line="240" w:lineRule="auto"/>
        <w:shd w:val="clear" w:color="auto" w:fill="ffffff"/>
        <w:widowControl w:val="off"/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  <w:t xml:space="preserve">Предмет Договора</w:t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54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В соответствии с Договором Поставщик обязуется передать Покупателю ______________________ (далее - Товар) со всей необходимой документацией в порядке и на условиях, предусмотренных настоящим Договором и Приложениями к нему.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540" w:leader="none"/>
        </w:tabs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pPr>
      <w:r/>
      <w:bookmarkStart w:id="2" w:name="_Hlk114667585"/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Товар на дату его поставки Покупателю должен быть новым и не использованным ранее, должен соответствовать требованиям законодательства, действующ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его на территории Российской Федерации, установленным ГОСТ и экологическим требованиям, предусмотренным ТУ, стандартам, иметь паспорта, сертификаты качества (включая сертификат ГОСТ Р), соответствия промышленной безопасности, протоколы заводских испытаний </w:t>
      </w:r>
      <w:r>
        <w:rPr>
          <w:rFonts w:ascii="Liberation Serif" w:hAnsi="Liberation Serif" w:eastAsia="Times New Roman" w:cs="Liberation Serif"/>
          <w:bCs/>
          <w:i/>
          <w:sz w:val="20"/>
          <w:szCs w:val="20"/>
          <w:lang w:eastAsia="ru-RU"/>
        </w:rPr>
        <w:t xml:space="preserve">(если применимо).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  Поставщик обязан обеспечить получение всех разрешений, заключений и освидетельствований, выдаваемых компетентными органами государственной власти Российской Федерации и местного самоуправления, в отношении Товара.</w:t>
      </w:r>
      <w:bookmarkEnd w:id="2"/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540" w:leader="none"/>
        </w:tabs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Поставщик гарантирует, что Товар на дату его поставки Покупателю не заложен, не находится под арестом и не обременен иным образом правами третьих лиц.  Е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сли какие-либо указанные в настоящем пункте гарантии впоследствии оказываются неточными или неверными, Поставщик обязуется возместить Покупателю любые убытки, понесенные Покупателем непосредственно в связи с тем, что Покупатель полагался на такие гарантии.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540" w:leader="none"/>
        </w:tabs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Объем обязательств Поставщика включает в себя, без ограничения приведенным перечнем: 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</w:p>
    <w:p>
      <w:pPr>
        <w:numPr>
          <w:ilvl w:val="0"/>
          <w:numId w:val="14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540" w:leader="none"/>
        </w:tabs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 поставку Товара, включая запасные части к нему </w:t>
      </w:r>
      <w:r>
        <w:rPr>
          <w:rFonts w:ascii="Liberation Serif" w:hAnsi="Liberation Serif" w:eastAsia="Times New Roman" w:cs="Liberation Serif"/>
          <w:bCs/>
          <w:i/>
          <w:sz w:val="20"/>
          <w:szCs w:val="20"/>
          <w:lang w:eastAsia="ru-RU"/>
        </w:rPr>
        <w:t xml:space="preserve">(если применимо)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;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</w:p>
    <w:p>
      <w:pPr>
        <w:numPr>
          <w:ilvl w:val="0"/>
          <w:numId w:val="14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540" w:leader="none"/>
        </w:tabs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доставк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у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 Товара до склада Покупателя, включая его разгрузку, погрузку, хранение и сертификацию (</w:t>
      </w:r>
      <w:r>
        <w:rPr>
          <w:rFonts w:ascii="Liberation Serif" w:hAnsi="Liberation Serif" w:eastAsia="Times New Roman" w:cs="Liberation Serif"/>
          <w:bCs/>
          <w:i/>
          <w:sz w:val="20"/>
          <w:szCs w:val="20"/>
          <w:lang w:eastAsia="ru-RU"/>
        </w:rPr>
        <w:t xml:space="preserve">если иные условия не согласованы Сторонами)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;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</w:p>
    <w:p>
      <w:pPr>
        <w:numPr>
          <w:ilvl w:val="0"/>
          <w:numId w:val="14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540" w:leader="none"/>
        </w:tabs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получение от уполномоченных органов государственной власти и местного самоуправления и организаций специальных разрешений на поставку и транспортировку Товара;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</w:p>
    <w:p>
      <w:pPr>
        <w:numPr>
          <w:ilvl w:val="0"/>
          <w:numId w:val="14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540" w:leader="none"/>
        </w:tabs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разработк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у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 и предоставление всей необходимой эксплуатационной документации для Товара; 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</w:p>
    <w:p>
      <w:pPr>
        <w:numPr>
          <w:ilvl w:val="0"/>
          <w:numId w:val="14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540" w:leader="none"/>
        </w:tabs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инструктаж персонала Покупателя </w:t>
      </w:r>
      <w:r>
        <w:rPr>
          <w:rFonts w:ascii="Liberation Serif" w:hAnsi="Liberation Serif" w:eastAsia="Times New Roman" w:cs="Liberation Serif"/>
          <w:bCs/>
          <w:i/>
          <w:sz w:val="20"/>
          <w:szCs w:val="20"/>
          <w:lang w:eastAsia="ru-RU"/>
        </w:rPr>
        <w:t xml:space="preserve">(если необходимо)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54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Покупатель обязуется принять и оплатить Товар на условиях настоящего Договора.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54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Конкретные условия поставки, сроки поставки, ассортимент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,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количество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 стоимость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поставляемого Товара определяется в Приложении №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/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1.1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(Спецификация) к настоящему Договору.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tabs>
          <w:tab w:val="left" w:pos="54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3"/>
        </w:numPr>
        <w:ind w:left="0" w:firstLine="284"/>
        <w:jc w:val="center"/>
        <w:spacing w:after="0" w:line="240" w:lineRule="auto"/>
        <w:shd w:val="clear" w:color="auto" w:fill="ffffff"/>
        <w:widowControl w:val="off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Независимые/ 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Банковские гарантии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b/>
          <w:i/>
          <w:sz w:val="20"/>
          <w:szCs w:val="20"/>
          <w:lang w:eastAsia="ru-RU"/>
        </w:rPr>
        <w:t xml:space="preserve">(если применимо)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. Обеспечение исполнения договора</w:t>
      </w:r>
      <w:r>
        <w:rPr>
          <w:rFonts w:ascii="Liberation Serif" w:hAnsi="Liberation Serif" w:eastAsia="Times New Roman" w:cs="Liberation Serif"/>
          <w:b/>
          <w:i/>
          <w:sz w:val="20"/>
          <w:szCs w:val="20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shd w:val="clear" w:color="auto" w:fill="ffffff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2.1. Предоставление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независимых/банковских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гарантий/обеспечения исполнения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оговора </w:t>
      </w:r>
      <w:bookmarkStart w:id="3" w:name="_Hlk114651860"/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не предусматривается настоящим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оговором.</w:t>
      </w:r>
      <w:bookmarkEnd w:id="3"/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shd w:val="clear" w:color="auto" w:fill="ffffff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3"/>
        </w:numPr>
        <w:ind w:left="0" w:firstLine="284"/>
        <w:jc w:val="center"/>
        <w:spacing w:after="0" w:line="240" w:lineRule="auto"/>
        <w:shd w:val="clear" w:color="auto" w:fill="ffffff"/>
        <w:widowControl w:val="off"/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Сумма Договора и порядок оплаты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num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Сумма Договора составляет _______________ (__________________), в том числе НДС __%, в размере _____________ (________________) </w:t>
      </w:r>
      <w:r>
        <w:rPr>
          <w:rFonts w:ascii="Liberation Serif" w:hAnsi="Liberation Serif" w:eastAsia="Times New Roman" w:cs="Liberation Serif"/>
          <w:b/>
          <w:i/>
          <w:sz w:val="20"/>
          <w:szCs w:val="20"/>
          <w:lang w:eastAsia="ru-RU"/>
        </w:rPr>
        <w:t xml:space="preserve">или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НДС не облагается в соответствии с _________________________</w:t>
      </w:r>
      <w:r>
        <w:rPr>
          <w:rFonts w:ascii="Liberation Serif" w:hAnsi="Liberation Serif" w:eastAsia="Times New Roman" w:cs="Liberation Serif"/>
          <w:b/>
          <w:i/>
          <w:sz w:val="20"/>
          <w:szCs w:val="20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(далее – Сумма Договора).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</w:pPr>
      <w:r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  <w:t xml:space="preserve">В случае применения Поставщиком УСН дополнить пункт: </w:t>
      </w:r>
      <w:r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</w:r>
      <w:r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Если в течение срока действия настоя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щего договора Поставщик утратит право на освобождение от исполнения обязанностей налогоплательщика, связанных с исчислением и уплатой НДС (ст.145 НК) или на применение пониженной ставки НДС (п.8 ст.164 НК), он обязан уведомить об этом Покупателя в течение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трех рабочих дней с момента обнаружения данного факта. В уведомлении должна быть указана дата, с которой Поставщик становится плательщиком НДС (утрачивает право на применение пониженной ставки налога), а также размер ставки НДС, которая будет применяться.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После получения Покупателем такого уведомления, Пост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авщик вправе в одностороннем порядке увеличить цену товаров, переданных Покупателю после указанной даты, на соответствующую сумму НДС сверх установленной договором цены, и обязан предоставить Покупателю соответствующий счет-фактуру (или УПД со статусом 1).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num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Сумма Договора устанавливается в рублях Российской Федерации. Оплата по настоящему Договору производится в рублях.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платежном поручении Покупатель указывает дату и номер настоящего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оговора. Расчеты по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оговору могут производиться иным способом, не противоречащим действующему законодательству РФ.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num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Сумма Договора включает в себя стоимость Товара, расходы на страхование Товара (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указать при необходимости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), затраты Поставщика по доставке Товара в адрес Покупателя (до склада Покупателя) (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указать при необходимости)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, все налоги, сборы и пошлины, расходы по погрузке,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выгрузке,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упаковке, таре, а также иные расходы, связанные с осуществлением поставки по настоящему Договору. В случае поставки Товара иностранного производства цена соответствующего Товара, в том числе, вкл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ючает в себя все таможенные платежи, связанные с таможенным оформлением Товара для выпуска в свободное обращение на территории Российской Федерации. Сумма Договора является фиксированной и не подлежит изменению в течение срока действия настоящего Договора.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num" w:pos="851" w:leader="none"/>
        </w:tabs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3.4.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Покупатель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оплачивает 100 % (сто процентов) стоимости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поставленн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Товар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путем перечисления денежных средств на расчетный счет Поставщика в течение ____(_________)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календарных дней </w:t>
      </w:r>
      <w:bookmarkStart w:id="5" w:name="_Toc108774320"/>
      <w:r>
        <w:rPr>
          <w:rFonts w:ascii="Liberation Serif" w:hAnsi="Liberation Serif" w:cs="Liberation Serif"/>
          <w:i/>
          <w:sz w:val="16"/>
          <w:szCs w:val="16"/>
          <w:lang w:eastAsia="ru-RU"/>
        </w:rPr>
        <w:t xml:space="preserve">[</w:t>
      </w:r>
      <w:r>
        <w:rPr>
          <w:rFonts w:ascii="Liberation Serif" w:hAnsi="Liberation Serif" w:cs="Liberation Serif"/>
          <w:i/>
          <w:sz w:val="16"/>
          <w:szCs w:val="16"/>
          <w:lang w:eastAsia="ru-RU"/>
        </w:rPr>
        <w:t xml:space="preserve">срок определяется в соответствии с Приложением 3 к </w:t>
      </w:r>
      <w:bookmarkEnd w:id="5"/>
      <w:r>
        <w:rPr>
          <w:rFonts w:ascii="Liberation Serif" w:hAnsi="Liberation Serif" w:eastAsia="Times New Roman" w:cs="Liberation Serif"/>
          <w:i/>
          <w:sz w:val="16"/>
          <w:szCs w:val="16"/>
          <w:lang w:eastAsia="ru-RU"/>
        </w:rPr>
        <w:t xml:space="preserve">Положению о порядке проведения регламентированных закупок товаров, работ, услуг </w:t>
      </w:r>
      <w:r>
        <w:rPr>
          <w:rFonts w:ascii="Liberation Serif" w:hAnsi="Liberation Serif" w:eastAsia="Times New Roman" w:cs="Liberation Serif"/>
          <w:bCs/>
          <w:i/>
          <w:sz w:val="16"/>
          <w:szCs w:val="16"/>
          <w:lang w:eastAsia="ru-RU"/>
        </w:rPr>
        <w:t xml:space="preserve">АО «Томская генерация»</w:t>
      </w:r>
      <w:r>
        <w:rPr>
          <w:rFonts w:ascii="Liberation Serif" w:hAnsi="Liberation Serif" w:eastAsia="Times New Roman" w:cs="Liberation Serif"/>
          <w:bCs/>
          <w:i/>
          <w:sz w:val="16"/>
          <w:szCs w:val="16"/>
          <w:lang w:eastAsia="ru-RU"/>
        </w:rPr>
        <w:t xml:space="preserve">]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 или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в течение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7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(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семи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) рабочих дней (если Поставщик относится к субъектам малого и среднего предпринимательства)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от даты при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емки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Товара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Покупателем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подписани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я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оригиналов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Товарной накладной унифицированной формы ТОРГ-12</w:t>
      </w:r>
      <w:bookmarkStart w:id="6" w:name="_Hlk147387100"/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/ универсального передаточного документа (УПД)</w:t>
      </w:r>
      <w:bookmarkEnd w:id="6"/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,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 при условии предоставления Поставщиком Покупателю всех  надлежаще оформленных оригиналов </w:t>
      </w:r>
      <w:r>
        <w:rPr>
          <w:rFonts w:ascii="Liberation Serif" w:hAnsi="Liberation Serif" w:cs="Liberation Serif"/>
          <w:sz w:val="20"/>
          <w:szCs w:val="20"/>
        </w:rPr>
        <w:t xml:space="preserve">счета(ов); товарно-транспортной(ых) накладной(ых) (при необходимости); одного из следующих пакетов документов: 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numPr>
          <w:ilvl w:val="0"/>
          <w:numId w:val="45"/>
        </w:numPr>
        <w:ind w:left="0" w:firstLine="567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счета(ов)-фактур (</w:t>
      </w:r>
      <w:r>
        <w:rPr>
          <w:rFonts w:ascii="Liberation Serif" w:hAnsi="Liberation Serif" w:cs="Liberation Serif"/>
          <w:i/>
          <w:sz w:val="20"/>
          <w:szCs w:val="20"/>
        </w:rPr>
        <w:t xml:space="preserve">в случае применения НДС</w:t>
      </w:r>
      <w:r>
        <w:rPr>
          <w:rFonts w:ascii="Liberation Serif" w:hAnsi="Liberation Serif" w:cs="Liberation Serif"/>
          <w:sz w:val="20"/>
          <w:szCs w:val="20"/>
        </w:rPr>
        <w:t xml:space="preserve">) и товарной(ых) накладной (ых) унифицированной формы ТОРГ-12 (</w:t>
      </w:r>
      <w:r>
        <w:rPr>
          <w:rFonts w:ascii="Liberation Serif" w:hAnsi="Liberation Serif" w:cs="Liberation Serif"/>
          <w:i/>
          <w:sz w:val="20"/>
          <w:szCs w:val="20"/>
        </w:rPr>
        <w:t xml:space="preserve">в случае обмена документами путем ЭДО данный пакет не применяется</w:t>
      </w:r>
      <w:r>
        <w:rPr>
          <w:rFonts w:ascii="Liberation Serif" w:hAnsi="Liberation Serif" w:cs="Liberation Serif"/>
          <w:sz w:val="20"/>
          <w:szCs w:val="20"/>
        </w:rPr>
        <w:t xml:space="preserve">);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numPr>
          <w:ilvl w:val="0"/>
          <w:numId w:val="45"/>
        </w:numPr>
        <w:ind w:left="0" w:firstLine="567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УПД со статусом 1 (в случае отсутствия НДС допускается УПД со статусом 2). 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ind w:firstLine="284"/>
        <w:jc w:val="both"/>
        <w:spacing w:after="0" w:line="240" w:lineRule="auto"/>
        <w:tabs>
          <w:tab w:val="left" w:pos="90" w:leader="none"/>
          <w:tab w:val="left" w:pos="8535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Счета, не подтвержденные документами, не оплачиваются.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rPr>
          <w:rFonts w:ascii="Liberation Serif" w:hAnsi="Liberation Serif" w:eastAsia="Times New Roman" w:cs="Liberation Serif"/>
          <w:vanish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3.5.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Днем осуществления платежа по Договору считается дата списания денежных средств с корреспондентского счета банка, обслуживающего Покупателя.</w:t>
      </w:r>
      <w:r>
        <w:rPr>
          <w:rFonts w:ascii="Liberation Serif" w:hAnsi="Liberation Serif" w:eastAsia="Times New Roman" w:cs="Liberation Serif"/>
          <w:vanish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vanish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3.6.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возникновения претензий Покупателя в отношении качества, комплектности, количества и/или ассортимента поставленного Товара,</w:t>
      </w:r>
      <w:r>
        <w:rPr>
          <w:rFonts w:ascii="Liberation Serif" w:hAnsi="Liberation Serif" w:cs="Liberation Serif"/>
          <w:sz w:val="20"/>
          <w:szCs w:val="20"/>
        </w:rPr>
        <w:t xml:space="preserve"> а также </w:t>
      </w:r>
      <w:r>
        <w:rPr>
          <w:rFonts w:ascii="Liberation Serif" w:hAnsi="Liberation Serif" w:cs="Liberation Serif"/>
          <w:sz w:val="20"/>
          <w:szCs w:val="20"/>
        </w:rPr>
        <w:t xml:space="preserve">в случае</w:t>
      </w:r>
      <w:r>
        <w:rPr>
          <w:rFonts w:ascii="Liberation Serif" w:hAnsi="Liberation Serif" w:cs="Liberation Serif"/>
          <w:sz w:val="20"/>
          <w:szCs w:val="20"/>
        </w:rPr>
        <w:t xml:space="preserve"> </w:t>
      </w:r>
      <w:r>
        <w:rPr>
          <w:rFonts w:ascii="Liberation Serif" w:hAnsi="Liberation Serif" w:cs="Liberation Serif"/>
          <w:sz w:val="20"/>
          <w:szCs w:val="20"/>
        </w:rPr>
        <w:t xml:space="preserve">не</w:t>
      </w:r>
      <w:r>
        <w:rPr>
          <w:rFonts w:ascii="Liberation Serif" w:hAnsi="Liberation Serif" w:cs="Liberation Serif"/>
          <w:sz w:val="20"/>
          <w:szCs w:val="20"/>
        </w:rPr>
        <w:t xml:space="preserve">получения оригиналов документов, указанных в пункте 3.4.,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Покупатель вправе после письменного уведомления Поставщика приостановить исполнение обязательства по оплате на период с момента обнаружения нарушения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Поставщиком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условий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Договора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и до момента устранения выявленных нарушений Поставщиком</w:t>
      </w:r>
      <w:r>
        <w:rPr>
          <w:rFonts w:ascii="Liberation Serif" w:hAnsi="Liberation Serif" w:cs="Liberation Serif"/>
          <w:sz w:val="20"/>
          <w:szCs w:val="20"/>
        </w:rPr>
        <w:t xml:space="preserve">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При этом Покупатель не несет ответственности за задержку оплаты за поставленный Товар.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rPr>
          <w:rFonts w:ascii="Liberation Serif" w:hAnsi="Liberation Serif" w:eastAsia="Times New Roman" w:cs="Liberation Serif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3.7. Поставщик не позднее 5 числа месяца, следующего за отчетным кварталом, направляет в адрес Покупателя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оформленный со с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воей стороны акт сверки. Покупатель в течение 5 календарных дней с момента получения акта сверки производит сверку расчетов между Сторонами, при необходимости оформляет протокол разногласий и возвращает Поставщику один экземпляр надлежаще оформленного акта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сверки с приложением 2 (двух) экземпляров протокола разногласий.</w:t>
      </w:r>
      <w:r>
        <w:rPr>
          <w:rFonts w:ascii="Liberation Serif" w:hAnsi="Liberation Serif" w:eastAsia="Times New Roman" w:cs="Liberation Serif"/>
          <w:lang w:eastAsia="ru-RU"/>
        </w:rPr>
      </w:r>
      <w:r>
        <w:rPr>
          <w:rFonts w:ascii="Liberation Serif" w:hAnsi="Liberation Serif" w:eastAsia="Times New Roman" w:cs="Liberation Serif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3"/>
        </w:numPr>
        <w:ind w:left="0" w:firstLine="284"/>
        <w:jc w:val="center"/>
        <w:spacing w:after="0" w:line="240" w:lineRule="auto"/>
        <w:widowControl w:val="off"/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Качество и комплектность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num" w:pos="0" w:leader="none"/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Качество и комплектность поставляемого Товара должны соответствовать требованиям Покупателя, государственным стандартам (техническим регламентам), техническим условиям или другой нормативно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-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технической документации на русском языке, в том числе, указанной в Спецификации, применительно к каждой позиции Товара.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shd w:val="clear" w:color="auto" w:fill="ffffff"/>
        <w:widowControl w:val="off"/>
        <w:tabs>
          <w:tab w:val="num" w:pos="502" w:leader="none"/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Товар должен быть изготовлен не ранее года, предшествующего году поставки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 Поставка Товара, изготовленного ранее года, предшествующего году поставки, допускается при условии письменного согласования с Покупателем и предоставления документов, подтверждающих условия его хранения и консервации до осуществления поставки Покупателю.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 обязан одновременно с передачей каждой партии Товара передать Покупателю (грузополучателю) его принадлежности,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товарную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накладную унифицированной формы ТОРГ-12 вместе со счетом-фактурой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с обязательным заполнением графы «Страна происхождения»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или универсальный передаточный документ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с обязательным заполнением   той же графы, а также относящиеся к нему документы, оформленные надлежащим образом, (включая, но не ограничиваясь) (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выбрать/указать нужное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):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28"/>
        </w:numPr>
        <w:contextualSpacing/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cs="Liberation Serif"/>
          <w:i/>
          <w:sz w:val="20"/>
          <w:szCs w:val="20"/>
        </w:rPr>
      </w:pPr>
      <w:r>
        <w:rPr>
          <w:rFonts w:ascii="Liberation Serif" w:hAnsi="Liberation Serif" w:cs="Liberation Serif"/>
          <w:i/>
          <w:sz w:val="20"/>
          <w:szCs w:val="20"/>
        </w:rPr>
        <w:t xml:space="preserve">упаковочный лист на каждую партию отгруженной продукции;</w:t>
      </w:r>
      <w:r>
        <w:rPr>
          <w:rFonts w:ascii="Liberation Serif" w:hAnsi="Liberation Serif" w:cs="Liberation Serif"/>
          <w:i/>
          <w:sz w:val="20"/>
          <w:szCs w:val="20"/>
        </w:rPr>
      </w:r>
      <w:r>
        <w:rPr>
          <w:rFonts w:ascii="Liberation Serif" w:hAnsi="Liberation Serif" w:cs="Liberation Serif"/>
          <w:i/>
          <w:sz w:val="20"/>
          <w:szCs w:val="20"/>
        </w:rPr>
      </w:r>
    </w:p>
    <w:p>
      <w:pPr>
        <w:numPr>
          <w:ilvl w:val="0"/>
          <w:numId w:val="27"/>
        </w:numPr>
        <w:ind w:left="0" w:firstLine="284"/>
        <w:jc w:val="both"/>
        <w:spacing w:after="0" w:line="240" w:lineRule="auto"/>
        <w:tabs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сертификаты соотв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етствия техническим регламентам Евразийского экономического союза (Таможенного союза) и Российской Федерации, пожаробезопасности, взрывобезопасности и т.п. (для продукции, подлежащей обязательной сертификации), подтверждение страны происхождения продукции;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numPr>
          <w:ilvl w:val="0"/>
          <w:numId w:val="27"/>
        </w:numPr>
        <w:ind w:left="0" w:firstLine="284"/>
        <w:jc w:val="both"/>
        <w:spacing w:after="0" w:line="240" w:lineRule="auto"/>
        <w:tabs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свидетельство о поверке, для продукции, являющейся средством измерений. Срок поверки на момент поставки не должен превышать 5 (пяти) месяцев.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numPr>
          <w:ilvl w:val="0"/>
          <w:numId w:val="27"/>
        </w:numPr>
        <w:ind w:left="0" w:firstLine="284"/>
        <w:jc w:val="both"/>
        <w:spacing w:after="0" w:line="240" w:lineRule="auto"/>
        <w:tabs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регистрационное удостоверение или санитарно-эпидемиологическое заключение (для продукции, подлежащей государственной регистрации в соответствии с санитарно-эпидемиологическими правилами и нормативами);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27"/>
        </w:numPr>
        <w:ind w:left="0" w:firstLine="284"/>
        <w:jc w:val="both"/>
        <w:spacing w:after="0" w:line="240" w:lineRule="auto"/>
        <w:tabs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сертификат качества завода-изготовителя, а также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письменное подтвержде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ние завода-изготовителя, выдавшего сертификат (паспорт) соответствия (качества) о подлинности сертификатов (паспортов) качества. В случае предоставления Поставщиком копий сертификатов (паспортов) качества, они должны быть заверены в установленном порядке.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При завер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ении соответствия копии документа подлиннику ниже реквизита "Подпись" проставляют заверительную надпись: "Верно"; должность лица, заверившего копию; личную подпись; расшифровку подписи (инициалы, фамилию); дату заверения, проставление печати (при наличии).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numPr>
          <w:ilvl w:val="0"/>
          <w:numId w:val="27"/>
        </w:numPr>
        <w:ind w:left="0" w:firstLine="284"/>
        <w:jc w:val="both"/>
        <w:spacing w:after="0" w:line="240" w:lineRule="auto"/>
        <w:tabs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технический паспорт, инструкцию по эксплуатации, технические схемы (техническое описание), сервисную книжку, гарантийный талон, сертификат или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удостоверение,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а также иные документы, содержащие идентификационный номер продукции;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numPr>
          <w:ilvl w:val="0"/>
          <w:numId w:val="27"/>
        </w:numPr>
        <w:ind w:left="0" w:firstLine="284"/>
        <w:jc w:val="both"/>
        <w:spacing w:after="0" w:line="240" w:lineRule="auto"/>
        <w:tabs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документ, подтверждающий гарантийные обязательства на продукцию;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numPr>
          <w:ilvl w:val="0"/>
          <w:numId w:val="27"/>
        </w:numPr>
        <w:ind w:left="0" w:firstLine="284"/>
        <w:jc w:val="both"/>
        <w:spacing w:after="0" w:line="240" w:lineRule="auto"/>
        <w:tabs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разрешение Федеральной службы по экологическому, технологическому и атомному надзору (Ростехнадзор) на использование продукции на территории Российской Федерации;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numPr>
          <w:ilvl w:val="0"/>
          <w:numId w:val="27"/>
        </w:numPr>
        <w:ind w:left="0" w:firstLine="284"/>
        <w:jc w:val="both"/>
        <w:spacing w:after="0" w:line="240" w:lineRule="auto"/>
        <w:tabs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инструкция по эксплуатации, инструкция по технике безопасности;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numPr>
          <w:ilvl w:val="0"/>
          <w:numId w:val="27"/>
        </w:numPr>
        <w:ind w:left="0" w:firstLine="284"/>
        <w:jc w:val="both"/>
        <w:spacing w:after="0" w:line="240" w:lineRule="auto"/>
        <w:tabs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технические условия, по которым изготовлена продукция (по отдельному требованию Покупателя)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numPr>
          <w:ilvl w:val="0"/>
          <w:numId w:val="27"/>
        </w:numPr>
        <w:ind w:left="0" w:firstLine="284"/>
        <w:jc w:val="both"/>
        <w:spacing w:after="0" w:line="240" w:lineRule="auto"/>
        <w:tabs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__________________________________.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Товаросопроводительные документы должны быть оформлены на имя грузополучателя. В случае отсутствия необходимых документов Покупатель (грузополучатель) уведомляет об этом Поставщика. Поставщик обязан в течение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3 (трех) рабочих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дней с момента получения данного уведомления представить недостающие документы Покупателю (грузополучателю),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 уплатить штраф по требованию Покупателя, предусмотренный пунктом 10.6. настоящего Договора. Покупатель вправе не осуществлять приемку такого Товара, поместив его на ответственное хранение. В этом случае </w:t>
      </w:r>
      <w:bookmarkStart w:id="7" w:name="_Hlk114752244"/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право собственности на Товар перейдет к Покупателю с даты предоставления всех документов, предусмотренных Договором, либо с даты приемки Товара, если Покупатель воспользуется правом осуществить приемку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Товара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до получения указанных документов.</w:t>
      </w:r>
      <w:bookmarkEnd w:id="7"/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случае, когда принадлежности или документы, относящиеся к Товару, не переданы Поставщиком в указанный срок или/и не предоставлены с Товаром, Покупатель вправе отказаться от Товара, а Поставщик обязан не позднее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3 (трех) рабочих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дней с даты уведомления его Покупателем об отказе от Товара возвратить Покупателю сумму ранее выплаченного Покупателем аванса, а также возместить понесенные убытки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уплатить проценты в соответствии со ст. 395 ГК РФ.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необходимости в Спецификации указывается ГОСТ (технический регламент), ТУ, а также могут быть предусмотрены правила, по которым проводится приемка Товара по качеству и качественные исследования каждого вида Товара.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На Товар устанавливается гарантийный срок, равный ________________ и исчисляемый с даты (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указать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: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подписания Сторонами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Товарной накладной унифицированной формы ТОРГ-12/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УПД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или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 момента ввода его в промышленную эксплуатацию).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i/>
          <w:sz w:val="20"/>
          <w:szCs w:val="20"/>
          <w:lang w:eastAsia="ru-RU"/>
        </w:rPr>
        <w:t xml:space="preserve">ИЛИ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Срок службы (годности) на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Товар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составляет ________ (____________) месяцев с момента изготовления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Товара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. На момент поставки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Товара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срок, прошедший со дня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его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изготовления, должен составлять не более __________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(________________) дней/недель/месяцев.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если при внутритарной приемке Товаров, во время производства работ по монтажу Товара или в течение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гарантийного срока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/срока службы(годности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в Товаре или любой его части будут обнаружены любые дефекты, повреждения, несоответствия (недостатки), Покупатель обязан в разумный срок направить Поставщику уведомление, в котором указывается, что Поставщик по выбору Покупателя: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jc w:val="both"/>
        <w:spacing w:after="0" w:line="250" w:lineRule="exact"/>
        <w:shd w:val="clear" w:color="auto" w:fill="ffff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     -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 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производит за свой счет ремонт Товара;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9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производит за свой счет замену Товара;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9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возвращает Покупателю стоимость Товара;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9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возмещает Покупателю расходы, связанные с устранением недостатков Товара.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Ср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оки ремонта, замены Товара, возврата стоимости Товара, возмещения расходов, связанных с устранением недостатков Товара, указываются Покупателем в уведомлении, но не могут превышать 20 (двадцать) календарных дней с момента получения уведомления Поставщиком.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tabs>
          <w:tab w:val="left" w:pos="720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замены, ремонта Товара, гарантийный срок данного Товара начинается снова со дня его замены, ремонта.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В течение гарантийного срока Поставщик гарантирует исправную и полнофункциональную работу Товара в соответствии с техническим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требованиями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к нему, установленными Договором, и возможность его использования по назначению. В течение гарантийного срока Поставщик обеспечит Покупателя консультациями по использованию и поддержке Товара. Стоимость данной услуги Поставщика включена в стоимость Товара.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уклонения Поставщика от устранения выявленных дефектов, Покупатель вправе принять меры по их устранению.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последующем Покупатель без ущерба другим своим правам вправе предъявить Поставщику к оплате стоимость выполненных работ, равную произведенным и документально подтвержденным затратам на устранение дефектов, а Поставщик обязан оплатить вышеуказанную сумму.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3"/>
        </w:numPr>
        <w:ind w:left="0" w:firstLine="284"/>
        <w:jc w:val="center"/>
        <w:spacing w:after="0" w:line="240" w:lineRule="auto"/>
        <w:widowControl w:val="off"/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Количество и ассортимент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Количество, цена, единица измерения и ассортимент поставляемого Товара указываются Сторонами в Спецификации (Приложение № 1 к настоящему Договору).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3"/>
        </w:numPr>
        <w:ind w:left="0" w:firstLine="284"/>
        <w:jc w:val="center"/>
        <w:spacing w:after="0" w:line="240" w:lineRule="auto"/>
        <w:widowControl w:val="off"/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Тара, упаковка, маркировка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Товар, поставляемый по настоящему Договору, должен отгружаться Поставщиком в таре и упаковке, с 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спользованием средств пакетирования, соответствующих характеру поставляемого Товара. При этом упаковка должна обеспечивать полную сохранность Товара от всякого рода повреждений и порчи при его перевозке с учетом возможных перегрузок и длительного хранения.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если по своему характеру Товар не требует затаривания и (или) упаковки и (или) применения средств пакетирования, Поставщик отгружает его без применения этих средств.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При необходимости согласование способа затаривания, упаковки и средств пакетирования в случае, если 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тгружаемый Товар требует затаривания, упаковки, применения средств пакетирования, производится Сторонами в Спецификации на каждый вид Товара в соответствии с требованиями ГОСТ (технических регламентов), ОСТ или другой нормативно - технической документации.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Товар, упаковка, тара должны быть надлежащим образом промаркированы. При необходимости в Спецификации указывается содержание, способ и места нанесения маркировки.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Стоимость тары, упаковки включена в цену Товара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Тара, упаковка возврату не подлежит.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tabs>
          <w:tab w:val="left" w:pos="119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3"/>
        </w:numPr>
        <w:ind w:left="0" w:firstLine="0"/>
        <w:jc w:val="center"/>
        <w:spacing w:after="0" w:line="250" w:lineRule="exact"/>
        <w:shd w:val="clear" w:color="auto" w:fill="ffffff"/>
        <w:widowControl w:val="off"/>
        <w:tabs>
          <w:tab w:val="left" w:pos="1190" w:leader="none"/>
          <w:tab w:val="left" w:pos="3544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Сроки, порядок и условия поставки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pStyle w:val="960"/>
        <w:ind w:left="0" w:firstLine="284"/>
        <w:jc w:val="both"/>
        <w:spacing w:after="0" w:line="240" w:lineRule="auto"/>
        <w:rPr>
          <w:rFonts w:ascii="Liberation Serif" w:hAnsi="Liberation Serif" w:cs="Liberation Serif"/>
          <w:i/>
          <w:color w:val="ff0000"/>
          <w:sz w:val="20"/>
          <w:szCs w:val="20"/>
        </w:rPr>
      </w:pPr>
      <w:r/>
      <w:bookmarkStart w:id="8" w:name="_Hlk114650792"/>
      <w:r>
        <w:rPr>
          <w:rFonts w:ascii="Liberation Serif" w:hAnsi="Liberation Serif" w:cs="Liberation Serif"/>
          <w:i/>
          <w:color w:val="ff0000"/>
          <w:sz w:val="20"/>
          <w:szCs w:val="20"/>
        </w:rPr>
        <w:t xml:space="preserve">Вариант 1 </w:t>
      </w:r>
      <w:bookmarkStart w:id="9" w:name="_Hlk88659892"/>
      <w:r/>
      <w:bookmarkStart w:id="10" w:name="_Hlk114748343"/>
      <w:r>
        <w:rPr>
          <w:rFonts w:ascii="Liberation Serif" w:hAnsi="Liberation Serif" w:cs="Liberation Serif"/>
          <w:i/>
          <w:color w:val="ff0000"/>
          <w:sz w:val="20"/>
          <w:szCs w:val="20"/>
        </w:rPr>
        <w:t xml:space="preserve">для поставки </w:t>
      </w:r>
      <w:bookmarkEnd w:id="8"/>
      <w:r>
        <w:rPr>
          <w:rFonts w:ascii="Liberation Serif" w:hAnsi="Liberation Serif" w:cs="Liberation Serif"/>
          <w:i/>
          <w:color w:val="ff0000"/>
          <w:sz w:val="20"/>
          <w:szCs w:val="20"/>
        </w:rPr>
        <w:t xml:space="preserve">материалов постоянного потребления (МПП) первой группы критичности</w:t>
      </w:r>
      <w:bookmarkEnd w:id="9"/>
      <w:r/>
      <w:bookmarkEnd w:id="10"/>
      <w:r>
        <w:rPr>
          <w:rFonts w:ascii="Liberation Serif" w:hAnsi="Liberation Serif" w:cs="Liberation Serif"/>
          <w:i/>
          <w:color w:val="ff0000"/>
          <w:sz w:val="20"/>
          <w:szCs w:val="20"/>
        </w:rPr>
      </w:r>
      <w:r>
        <w:rPr>
          <w:rFonts w:ascii="Liberation Serif" w:hAnsi="Liberation Serif" w:cs="Liberation Serif"/>
          <w:i/>
          <w:color w:val="ff0000"/>
          <w:sz w:val="20"/>
          <w:szCs w:val="20"/>
        </w:rPr>
      </w:r>
    </w:p>
    <w:p>
      <w:pPr>
        <w:pStyle w:val="960"/>
        <w:numPr>
          <w:ilvl w:val="1"/>
          <w:numId w:val="3"/>
        </w:numPr>
        <w:ind w:left="0" w:firstLine="284"/>
        <w:jc w:val="both"/>
        <w:spacing w:after="0" w:line="240" w:lineRule="auto"/>
        <w:rPr>
          <w:rFonts w:ascii="Liberation Serif" w:hAnsi="Liberation Serif" w:cs="Liberation Serif"/>
          <w:sz w:val="20"/>
          <w:szCs w:val="20"/>
          <w:u w:val="single"/>
        </w:rPr>
      </w:pPr>
      <w:r>
        <w:rPr>
          <w:rFonts w:ascii="Liberation Serif" w:hAnsi="Liberation Serif" w:cs="Liberation Serif"/>
          <w:sz w:val="20"/>
          <w:szCs w:val="20"/>
        </w:rPr>
        <w:t xml:space="preserve">Срок</w:t>
      </w:r>
      <w:r>
        <w:rPr>
          <w:rFonts w:ascii="Liberation Serif" w:hAnsi="Liberation Serif" w:cs="Liberation Serif"/>
          <w:sz w:val="20"/>
          <w:szCs w:val="20"/>
        </w:rPr>
        <w:t xml:space="preserve">, способ, место</w:t>
      </w:r>
      <w:r>
        <w:rPr>
          <w:rFonts w:ascii="Liberation Serif" w:hAnsi="Liberation Serif" w:cs="Liberation Serif"/>
          <w:sz w:val="20"/>
          <w:szCs w:val="20"/>
        </w:rPr>
        <w:t xml:space="preserve"> поставки </w:t>
      </w:r>
      <w:r>
        <w:rPr>
          <w:rFonts w:ascii="Liberation Serif" w:hAnsi="Liberation Serif" w:cs="Liberation Serif"/>
          <w:sz w:val="20"/>
          <w:szCs w:val="20"/>
        </w:rPr>
        <w:t xml:space="preserve">Товара</w:t>
      </w:r>
      <w:r>
        <w:rPr>
          <w:rFonts w:ascii="Liberation Serif" w:hAnsi="Liberation Serif" w:cs="Liberation Serif"/>
          <w:sz w:val="20"/>
          <w:szCs w:val="20"/>
        </w:rPr>
        <w:t xml:space="preserve"> устанавлива</w:t>
      </w:r>
      <w:r>
        <w:rPr>
          <w:rFonts w:ascii="Liberation Serif" w:hAnsi="Liberation Serif" w:cs="Liberation Serif"/>
          <w:sz w:val="20"/>
          <w:szCs w:val="20"/>
        </w:rPr>
        <w:t xml:space="preserve">ю</w:t>
      </w:r>
      <w:r>
        <w:rPr>
          <w:rFonts w:ascii="Liberation Serif" w:hAnsi="Liberation Serif" w:cs="Liberation Serif"/>
          <w:sz w:val="20"/>
          <w:szCs w:val="20"/>
        </w:rPr>
        <w:t xml:space="preserve">тся в Спецификации </w:t>
      </w:r>
      <w:bookmarkStart w:id="11" w:name="_Hlk88660320"/>
      <w:r>
        <w:rPr>
          <w:rFonts w:ascii="Liberation Serif" w:hAnsi="Liberation Serif" w:cs="Liberation Serif"/>
          <w:i/>
          <w:sz w:val="20"/>
          <w:szCs w:val="20"/>
        </w:rPr>
        <w:t xml:space="preserve">(ях</w:t>
      </w:r>
      <w:r>
        <w:rPr>
          <w:rFonts w:ascii="Liberation Serif" w:hAnsi="Liberation Serif" w:cs="Liberation Serif"/>
          <w:sz w:val="20"/>
          <w:szCs w:val="20"/>
        </w:rPr>
        <w:t xml:space="preserve">)</w:t>
      </w:r>
      <w:r>
        <w:rPr>
          <w:rFonts w:ascii="Liberation Serif" w:hAnsi="Liberation Serif" w:cs="Liberation Serif"/>
          <w:sz w:val="20"/>
          <w:szCs w:val="20"/>
        </w:rPr>
        <w:t xml:space="preserve">,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</w:t>
      </w:r>
      <w:r>
        <w:rPr>
          <w:rFonts w:ascii="Liberation Serif" w:hAnsi="Liberation Serif" w:cs="Liberation Serif"/>
          <w:sz w:val="20"/>
          <w:szCs w:val="20"/>
        </w:rPr>
        <w:t xml:space="preserve">являющейся</w:t>
      </w:r>
      <w:r>
        <w:rPr>
          <w:rFonts w:ascii="Liberation Serif" w:hAnsi="Liberation Serif" w:cs="Liberation Serif"/>
          <w:i/>
          <w:sz w:val="20"/>
          <w:szCs w:val="20"/>
        </w:rPr>
        <w:t xml:space="preserve">(ихся) </w:t>
      </w:r>
      <w:r>
        <w:rPr>
          <w:rFonts w:ascii="Liberation Serif" w:hAnsi="Liberation Serif" w:cs="Liberation Serif"/>
          <w:sz w:val="20"/>
          <w:szCs w:val="20"/>
        </w:rPr>
        <w:t xml:space="preserve">неотъемлемой</w:t>
      </w:r>
      <w:r>
        <w:rPr>
          <w:rFonts w:ascii="Liberation Serif" w:hAnsi="Liberation Serif" w:cs="Liberation Serif"/>
          <w:i/>
          <w:sz w:val="20"/>
          <w:szCs w:val="20"/>
        </w:rPr>
        <w:t xml:space="preserve">(ыми) </w:t>
      </w:r>
      <w:r>
        <w:rPr>
          <w:rFonts w:ascii="Liberation Serif" w:hAnsi="Liberation Serif" w:cs="Liberation Serif"/>
          <w:sz w:val="20"/>
          <w:szCs w:val="20"/>
        </w:rPr>
        <w:t xml:space="preserve">частью</w:t>
      </w:r>
      <w:r>
        <w:rPr>
          <w:rFonts w:ascii="Liberation Serif" w:hAnsi="Liberation Serif" w:cs="Liberation Serif"/>
          <w:i/>
          <w:sz w:val="20"/>
          <w:szCs w:val="20"/>
        </w:rPr>
        <w:t xml:space="preserve">(ями) </w:t>
      </w:r>
      <w:r>
        <w:rPr>
          <w:rFonts w:ascii="Liberation Serif" w:hAnsi="Liberation Serif" w:cs="Liberation Serif"/>
          <w:sz w:val="20"/>
          <w:szCs w:val="20"/>
        </w:rPr>
        <w:t xml:space="preserve">настоящего </w:t>
      </w:r>
      <w:r>
        <w:rPr>
          <w:rFonts w:ascii="Liberation Serif" w:hAnsi="Liberation Serif" w:cs="Liberation Serif"/>
          <w:sz w:val="20"/>
          <w:szCs w:val="20"/>
        </w:rPr>
        <w:t xml:space="preserve">Д</w:t>
      </w:r>
      <w:r>
        <w:rPr>
          <w:rFonts w:ascii="Liberation Serif" w:hAnsi="Liberation Serif" w:cs="Liberation Serif"/>
          <w:sz w:val="20"/>
          <w:szCs w:val="20"/>
        </w:rPr>
        <w:t xml:space="preserve">оговора</w:t>
      </w:r>
      <w:r>
        <w:rPr>
          <w:rFonts w:ascii="Liberation Serif" w:hAnsi="Liberation Serif" w:cs="Liberation Serif"/>
          <w:i/>
          <w:sz w:val="20"/>
          <w:szCs w:val="20"/>
        </w:rPr>
        <w:t xml:space="preserve"> </w:t>
      </w:r>
      <w:r>
        <w:rPr>
          <w:rFonts w:ascii="Liberation Serif" w:hAnsi="Liberation Serif" w:cs="Liberation Serif"/>
          <w:sz w:val="20"/>
          <w:szCs w:val="20"/>
        </w:rPr>
        <w:t xml:space="preserve">(Приложение(я) №(№)_____).</w:t>
      </w:r>
      <w:r>
        <w:rPr>
          <w:rFonts w:ascii="Liberation Serif" w:hAnsi="Liberation Serif" w:cs="Liberation Serif"/>
          <w:sz w:val="20"/>
          <w:szCs w:val="20"/>
          <w:u w:val="single"/>
        </w:rPr>
      </w:r>
      <w:r>
        <w:rPr>
          <w:rFonts w:ascii="Liberation Serif" w:hAnsi="Liberation Serif" w:cs="Liberation Serif"/>
          <w:sz w:val="20"/>
          <w:szCs w:val="20"/>
          <w:u w:val="single"/>
        </w:rPr>
      </w:r>
    </w:p>
    <w:p>
      <w:pPr>
        <w:contextualSpacing/>
        <w:ind w:firstLine="284"/>
        <w:jc w:val="both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С согласия Покупателя допускается досрочная поставка </w:t>
      </w:r>
      <w:r>
        <w:rPr>
          <w:rFonts w:ascii="Liberation Serif" w:hAnsi="Liberation Serif" w:cs="Liberation Serif"/>
          <w:sz w:val="20"/>
          <w:szCs w:val="20"/>
        </w:rPr>
        <w:t xml:space="preserve">Товара</w:t>
      </w:r>
      <w:r>
        <w:rPr>
          <w:rFonts w:ascii="Liberation Serif" w:hAnsi="Liberation Serif" w:cs="Liberation Serif"/>
          <w:sz w:val="20"/>
          <w:szCs w:val="20"/>
        </w:rPr>
        <w:t xml:space="preserve">. </w:t>
      </w:r>
      <w:bookmarkEnd w:id="11"/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contextualSpacing/>
        <w:ind w:firstLine="284"/>
        <w:jc w:val="both"/>
        <w:spacing w:after="0" w:line="240" w:lineRule="auto"/>
        <w:rPr>
          <w:rFonts w:ascii="Liberation Serif" w:hAnsi="Liberation Serif" w:cs="Liberation Serif"/>
          <w:i/>
          <w:color w:val="ff0000"/>
          <w:sz w:val="20"/>
          <w:szCs w:val="20"/>
        </w:rPr>
      </w:pPr>
      <w:r>
        <w:rPr>
          <w:rFonts w:ascii="Liberation Serif" w:hAnsi="Liberation Serif" w:cs="Liberation Serif"/>
          <w:i/>
          <w:color w:val="ff0000"/>
          <w:sz w:val="20"/>
          <w:szCs w:val="20"/>
        </w:rPr>
        <w:t xml:space="preserve">Вариант 2 </w:t>
      </w:r>
      <w:bookmarkStart w:id="12" w:name="_Hlk114749392"/>
      <w:r>
        <w:rPr>
          <w:rFonts w:ascii="Liberation Serif" w:hAnsi="Liberation Serif" w:cs="Liberation Serif"/>
          <w:i/>
          <w:color w:val="ff0000"/>
          <w:sz w:val="20"/>
          <w:szCs w:val="20"/>
        </w:rPr>
        <w:t xml:space="preserve">для поставки материалов постоянного потребления (МПП) второй группы критичности</w:t>
      </w:r>
      <w:bookmarkEnd w:id="12"/>
      <w:r>
        <w:rPr>
          <w:rFonts w:ascii="Liberation Serif" w:hAnsi="Liberation Serif" w:cs="Liberation Serif"/>
          <w:i/>
          <w:color w:val="ff0000"/>
          <w:sz w:val="20"/>
          <w:szCs w:val="20"/>
        </w:rPr>
      </w:r>
      <w:r>
        <w:rPr>
          <w:rFonts w:ascii="Liberation Serif" w:hAnsi="Liberation Serif" w:cs="Liberation Serif"/>
          <w:i/>
          <w:color w:val="ff0000"/>
          <w:sz w:val="20"/>
          <w:szCs w:val="20"/>
        </w:rPr>
      </w:r>
    </w:p>
    <w:p>
      <w:pPr>
        <w:ind w:firstLine="284"/>
        <w:jc w:val="both"/>
        <w:spacing w:after="0" w:line="240" w:lineRule="auto"/>
        <w:rPr>
          <w:rFonts w:ascii="Liberation Serif" w:hAnsi="Liberation Serif" w:eastAsia="Times New Roman" w:cs="Liberation Serif"/>
          <w:i/>
          <w:sz w:val="20"/>
          <w:szCs w:val="20"/>
          <w:u w:val="single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7.1. Поставка Товара по настоящему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оговору осуществляется отдельными партиями, на основании предварительно подаваемых Покупателем письменных заявок по форме Приложения №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__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к настоящему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оговору, в которых указывается наименование Товара, его количество, стоимость, промежуточные сроки (периоды) поставки партий Товара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, способ, место поставки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и реквизиты грузополучателя, в рамках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Спецификации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(й),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являющейс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я(ихся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) неотъемлемой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(ыми)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частью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(ями)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настоящего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оговора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(Приложение(я) №(№)_____).</w:t>
      </w:r>
      <w:r>
        <w:rPr>
          <w:rFonts w:ascii="Liberation Serif" w:hAnsi="Liberation Serif" w:eastAsia="Times New Roman" w:cs="Liberation Serif"/>
          <w:i/>
          <w:sz w:val="20"/>
          <w:szCs w:val="20"/>
          <w:u w:val="single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u w:val="single"/>
          <w:lang w:eastAsia="ru-RU"/>
        </w:rPr>
      </w:r>
    </w:p>
    <w:p>
      <w:pPr>
        <w:contextualSpacing/>
        <w:ind w:firstLine="284"/>
        <w:jc w:val="both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Покупатель вправе отказаться от приемки Товара, поставленного Поставщиком по собственной инициативе (без заявки Покупателя). При этом все связанные с этим расходы (в том числе транспортные, хранение и т.д.) в полном объеме возлагаются на Поставщика.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contextualSpacing/>
        <w:ind w:firstLine="284"/>
        <w:jc w:val="both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Заявка подписывается уполномоченным лицом Покупателя.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contextualSpacing/>
        <w:ind w:firstLine="284"/>
        <w:jc w:val="both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Направление заявки осуществляется с использованием электронных средств связи (электронные сообщения) по следующим адресам электронной почты: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contextualSpacing/>
        <w:ind w:firstLine="284"/>
        <w:jc w:val="both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а) в адрес Поставщика: __________________;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contextualSpacing/>
        <w:ind w:firstLine="284"/>
        <w:jc w:val="both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б) в адрес </w:t>
      </w:r>
      <w:r>
        <w:rPr>
          <w:rFonts w:ascii="Liberation Serif" w:hAnsi="Liberation Serif" w:cs="Liberation Serif"/>
          <w:sz w:val="20"/>
          <w:szCs w:val="20"/>
        </w:rPr>
        <w:t xml:space="preserve">Покупателя: _</w:t>
      </w:r>
      <w:r>
        <w:rPr>
          <w:rFonts w:ascii="Liberation Serif" w:hAnsi="Liberation Serif" w:cs="Liberation Serif"/>
          <w:sz w:val="20"/>
          <w:szCs w:val="20"/>
        </w:rPr>
        <w:t xml:space="preserve">__________________.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contextualSpacing/>
        <w:ind w:firstLine="284"/>
        <w:jc w:val="both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Направленные Покупателем по э</w:t>
      </w:r>
      <w:r>
        <w:rPr>
          <w:rFonts w:ascii="Liberation Serif" w:hAnsi="Liberation Serif" w:cs="Liberation Serif"/>
          <w:sz w:val="20"/>
          <w:szCs w:val="20"/>
        </w:rPr>
        <w:t xml:space="preserve">лектронной почте заявки на поставку Товара считаются облеченными в простую письменную форму и имеют юридическую силу наравне с оригиналами при условии, что такой обмен документами был произведен с использованием указанных выше электронных почтовых ящиков. 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contextualSpacing/>
        <w:ind w:firstLine="284"/>
        <w:jc w:val="both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Датой передачи соответствующего сообщения считается день отправления сообщения электронной почты.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contextualSpacing/>
        <w:ind w:firstLine="284"/>
        <w:jc w:val="both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Автоматическое уведомление программными средствами о получении электронного сообщения по электронной </w:t>
      </w:r>
      <w:r>
        <w:rPr>
          <w:rFonts w:ascii="Liberation Serif" w:hAnsi="Liberation Serif" w:cs="Liberation Serif"/>
          <w:sz w:val="20"/>
          <w:szCs w:val="20"/>
        </w:rPr>
        <w:t xml:space="preserve">почте считается</w:t>
      </w:r>
      <w:r>
        <w:rPr>
          <w:rFonts w:ascii="Liberation Serif" w:hAnsi="Liberation Serif" w:cs="Liberation Serif"/>
          <w:sz w:val="20"/>
          <w:szCs w:val="20"/>
        </w:rPr>
        <w:t xml:space="preserve"> подтверждени</w:t>
      </w:r>
      <w:r>
        <w:rPr>
          <w:rFonts w:ascii="Liberation Serif" w:hAnsi="Liberation Serif" w:cs="Liberation Serif"/>
          <w:sz w:val="20"/>
          <w:szCs w:val="20"/>
        </w:rPr>
        <w:t xml:space="preserve">ем</w:t>
      </w:r>
      <w:r>
        <w:rPr>
          <w:rFonts w:ascii="Liberation Serif" w:hAnsi="Liberation Serif" w:cs="Liberation Serif"/>
          <w:sz w:val="20"/>
          <w:szCs w:val="20"/>
        </w:rPr>
        <w:t xml:space="preserve"> получения заявки Поставщиком и принятием заявки к исполнению.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contextualSpacing/>
        <w:ind w:firstLine="284"/>
        <w:jc w:val="both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С согласия Покупателя допускается досрочная поставка </w:t>
      </w:r>
      <w:r>
        <w:rPr>
          <w:rFonts w:ascii="Liberation Serif" w:hAnsi="Liberation Serif" w:cs="Liberation Serif"/>
          <w:sz w:val="20"/>
          <w:szCs w:val="20"/>
        </w:rPr>
        <w:t xml:space="preserve">Товара</w:t>
      </w:r>
      <w:r>
        <w:rPr>
          <w:rFonts w:ascii="Liberation Serif" w:hAnsi="Liberation Serif" w:cs="Liberation Serif"/>
          <w:sz w:val="20"/>
          <w:szCs w:val="20"/>
        </w:rPr>
        <w:t xml:space="preserve">. 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 обязан направить в адрес Покупателя средствами факсимильной/электронной связи с последующим направлением уведомления на бланке организации информацию о предполагаемой дате поставки Товара (частей Товара) на склад Покупателя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(передачи Товара (частей Товара) на складе Поставщика)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не позднее, чем за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3 (три)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рабочих дня до даты такой поставки.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Риск случайного повреждения, гибели Товара переходит от Поставщика к Покупателю с момента подписания Сторонами Товарной накладной унифицированной формы ТОРГ-12/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универсального передаточного документа (УПД)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color w:val="000000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Право собственности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на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Товар переходит от Поставщика к Покупателю с момента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приемки Товара и предоставления всех документов, предусмотренных п.4.2. Договора.</w:t>
      </w:r>
      <w:r>
        <w:rPr>
          <w:rFonts w:ascii="Liberation Serif" w:hAnsi="Liberation Serif" w:eastAsia="Times New Roman" w:cs="Liberation Serif"/>
          <w:color w:val="000000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color w:val="000000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 в течение суток с даты отгрузки Товара обязан уведомить об этом Покупателя средствами факсимильной/электронной связи. При этом Поставщик обязан указать № партии, № контейнера (ваг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она, транспортного средства), пункт назначения, дату отправки, предположительное время прибытия Товара в место назначения, наименование и количество Товара, наименование грузоотправителя и грузополучателя, № ж.д. накладной (товарно-транспортной накладной)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(указывать при необходимости).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неприбытия Товара в пункт назначения в течение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10 (десяти) календарных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дней с даты уведомления об отгрузке, Поставщик за свой счет принимает меры по его розыску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(указывать при необходимости).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если документы первичной отчетности оформлены не по форме и/или оформлены не полностью (отсутствуют обязательные реквизиты, заполнены не все поля, разделы), либо оформлены с ошибками, либо предоставлены не в полном объеме,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 Покупатель вправе вернуть такие документы Поставщику на переоформление, не принимать и не оплачивать поставленные Товары на время переоформления Поставщиком таких документов, что не освобождает Поставщика от ответственности за просрочку поставки Товара.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Возврат транспорта ос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уществляется за счет средств Поставщика. Поставщик возмещает Покупателю расходы за простой транспорта, если этот простой возник по причине обнаружения несоответствующего качества, количества, ассортимента и/или комплектности поставленного Товара в течение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10 (десяти) календарных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дней с момента выставления Покупателем соответствующего счета.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Поставщик, допустивший недопоставку Товара, обязан восполнить недопоставленное количество в течение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10 (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десяти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дней с момента обнаружения недопоставки.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Покупатель вправе, уведомив Поставщика, отказаться от принятия Товара, поставка которого просрочена.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3"/>
        </w:numPr>
        <w:ind w:left="0" w:firstLine="0"/>
        <w:jc w:val="center"/>
        <w:spacing w:after="120" w:line="250" w:lineRule="exact"/>
        <w:shd w:val="clear" w:color="auto" w:fill="ffffff"/>
        <w:widowControl w:val="off"/>
        <w:tabs>
          <w:tab w:val="left" w:pos="1190" w:leader="none"/>
        </w:tabs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Страхование 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tabs>
          <w:tab w:val="left" w:pos="720" w:leader="none"/>
        </w:tabs>
        <w:rPr>
          <w:rFonts w:ascii="Liberation Serif" w:hAnsi="Liberation Serif" w:cs="Liberation Serif"/>
          <w:i/>
          <w:color w:val="ff0000"/>
          <w:sz w:val="20"/>
          <w:szCs w:val="20"/>
        </w:rPr>
      </w:pPr>
      <w:r>
        <w:rPr>
          <w:rFonts w:ascii="Liberation Serif" w:hAnsi="Liberation Serif" w:cs="Liberation Serif"/>
          <w:i/>
          <w:color w:val="ff0000"/>
          <w:sz w:val="20"/>
          <w:szCs w:val="20"/>
        </w:rPr>
        <w:t xml:space="preserve">Вариант 1 </w:t>
      </w:r>
      <w:r>
        <w:rPr>
          <w:rFonts w:ascii="Liberation Serif" w:hAnsi="Liberation Serif" w:cs="Liberation Serif"/>
          <w:i/>
          <w:color w:val="ff0000"/>
          <w:sz w:val="20"/>
          <w:szCs w:val="20"/>
        </w:rPr>
      </w:r>
      <w:r>
        <w:rPr>
          <w:rFonts w:ascii="Liberation Serif" w:hAnsi="Liberation Serif" w:cs="Liberation Serif"/>
          <w:i/>
          <w:color w:val="ff0000"/>
          <w:sz w:val="20"/>
          <w:szCs w:val="20"/>
        </w:rPr>
      </w:r>
    </w:p>
    <w:p>
      <w:pPr>
        <w:pStyle w:val="960"/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tabs>
          <w:tab w:val="left" w:pos="720" w:leader="none"/>
        </w:tabs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Поставщик вправе за свой счет осуществить страхование Товара, при этом стоимость страхования не включается в Сумму Д</w:t>
      </w:r>
      <w:r>
        <w:rPr>
          <w:rFonts w:ascii="Liberation Serif" w:hAnsi="Liberation Serif" w:cs="Liberation Serif"/>
          <w:sz w:val="20"/>
          <w:szCs w:val="20"/>
        </w:rPr>
        <w:t xml:space="preserve">оговор</w:t>
      </w:r>
      <w:r>
        <w:rPr>
          <w:rFonts w:ascii="Liberation Serif" w:hAnsi="Liberation Serif" w:cs="Liberation Serif"/>
          <w:sz w:val="20"/>
          <w:szCs w:val="20"/>
        </w:rPr>
        <w:t xml:space="preserve">а</w:t>
      </w:r>
      <w:r>
        <w:rPr>
          <w:rFonts w:ascii="Liberation Serif" w:hAnsi="Liberation Serif" w:cs="Liberation Serif"/>
          <w:sz w:val="20"/>
          <w:szCs w:val="20"/>
        </w:rPr>
        <w:t xml:space="preserve">.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ind w:firstLine="284"/>
        <w:jc w:val="both"/>
        <w:spacing w:after="0" w:line="250" w:lineRule="exact"/>
        <w:shd w:val="clear" w:color="auto" w:fill="ffffff"/>
        <w:tabs>
          <w:tab w:val="left" w:pos="720" w:leader="none"/>
        </w:tabs>
        <w:rPr>
          <w:rFonts w:ascii="Liberation Serif" w:hAnsi="Liberation Serif" w:cs="Liberation Serif"/>
          <w:i/>
          <w:sz w:val="20"/>
          <w:szCs w:val="20"/>
        </w:rPr>
      </w:pPr>
      <w:r>
        <w:rPr>
          <w:rFonts w:ascii="Liberation Serif" w:hAnsi="Liberation Serif" w:cs="Liberation Serif"/>
          <w:i/>
          <w:sz w:val="20"/>
          <w:szCs w:val="20"/>
        </w:rPr>
      </w:r>
      <w:r>
        <w:rPr>
          <w:rFonts w:ascii="Liberation Serif" w:hAnsi="Liberation Serif" w:cs="Liberation Serif"/>
          <w:i/>
          <w:sz w:val="20"/>
          <w:szCs w:val="20"/>
        </w:rPr>
      </w:r>
      <w:r>
        <w:rPr>
          <w:rFonts w:ascii="Liberation Serif" w:hAnsi="Liberation Serif" w:cs="Liberation Serif"/>
          <w:i/>
          <w:sz w:val="20"/>
          <w:szCs w:val="20"/>
        </w:rPr>
      </w:r>
    </w:p>
    <w:p>
      <w:pPr>
        <w:ind w:firstLine="284"/>
        <w:jc w:val="both"/>
        <w:spacing w:after="0" w:line="250" w:lineRule="exact"/>
        <w:shd w:val="clear" w:color="auto" w:fill="ffffff"/>
        <w:tabs>
          <w:tab w:val="left" w:pos="720" w:leader="none"/>
        </w:tabs>
        <w:rPr>
          <w:rFonts w:ascii="Liberation Serif" w:hAnsi="Liberation Serif" w:cs="Liberation Serif"/>
          <w:i/>
          <w:color w:val="ff0000"/>
          <w:sz w:val="20"/>
          <w:szCs w:val="20"/>
        </w:rPr>
      </w:pPr>
      <w:r>
        <w:rPr>
          <w:rFonts w:ascii="Liberation Serif" w:hAnsi="Liberation Serif" w:cs="Liberation Serif"/>
          <w:i/>
          <w:color w:val="ff0000"/>
          <w:sz w:val="20"/>
          <w:szCs w:val="20"/>
        </w:rPr>
        <w:t xml:space="preserve">Вариант 2</w:t>
      </w:r>
      <w:r>
        <w:rPr>
          <w:rFonts w:ascii="Liberation Serif" w:hAnsi="Liberation Serif" w:cs="Liberation Serif"/>
          <w:i/>
          <w:color w:val="ff0000"/>
          <w:sz w:val="20"/>
          <w:szCs w:val="20"/>
        </w:rPr>
        <w:t xml:space="preserve"> (применяется: а) к договорам, заключаемым для реализации инвестиционных проектов стоимостью свыше 10 млн. рублей (без НДС); б) к договорам поставки оборудования(запчастей), кото</w:t>
      </w:r>
      <w:r>
        <w:rPr>
          <w:rFonts w:ascii="Liberation Serif" w:hAnsi="Liberation Serif" w:cs="Liberation Serif"/>
          <w:i/>
          <w:color w:val="ff0000"/>
          <w:sz w:val="20"/>
          <w:szCs w:val="20"/>
        </w:rPr>
        <w:t xml:space="preserve">рые могут повлиять на обеспечение бесперебойной производственной деятельности; в) к договорам, в которых обязанность поставщика передать товар покупателю считается исполненной в момент сдачи товара перевозчику или организации связи для доставки покупателю)</w:t>
      </w:r>
      <w:r>
        <w:rPr>
          <w:rFonts w:ascii="Liberation Serif" w:hAnsi="Liberation Serif" w:cs="Liberation Serif"/>
          <w:i/>
          <w:color w:val="ff0000"/>
          <w:sz w:val="20"/>
          <w:szCs w:val="20"/>
        </w:rPr>
      </w:r>
      <w:r>
        <w:rPr>
          <w:rFonts w:ascii="Liberation Serif" w:hAnsi="Liberation Serif" w:cs="Liberation Serif"/>
          <w:i/>
          <w:color w:val="ff0000"/>
          <w:sz w:val="20"/>
          <w:szCs w:val="20"/>
        </w:rPr>
      </w:r>
    </w:p>
    <w:p>
      <w:pPr>
        <w:ind w:firstLine="284"/>
        <w:jc w:val="both"/>
        <w:spacing w:after="0" w:line="250" w:lineRule="exact"/>
        <w:shd w:val="clear" w:color="auto" w:fill="ffff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8.1.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 должен обеспечить страхование Товара во время его перевозки любым видом транспорта на условиях «С ответственностью за все риски» (категория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А). Договор страхования должен покрывать гибель, утрату и/или повреждение Товара с момента начала его погрузки на транспортное средство в пункте отправления (завод-изготовителя или склад Поставщика) до момента окончания разгрузки в пункте назначения (склад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Покупателя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или иное место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, указанное в Спецификации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), включая перегрузки и перевалки, а также хранение на складах временного хранения в пунктах перегрузок и перевалок.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Страховая сумма должна составлять не менее 100% от стоимости Товара, определенной в соответствии с условиями настоящего Договора.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pStyle w:val="960"/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num" w:pos="284" w:leader="none"/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Договор страхования должен быть заключен со страховой компанией, зарегистрированной на территории Российской Федерации, и удовлетворяющей помимо требований, установленных законодательством Российской Федерации, следующим критериям: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pStyle w:val="960"/>
        <w:ind w:left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- иметь действующие лицензии по видам страхования, принимаемым на страхование;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pStyle w:val="960"/>
        <w:ind w:left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- не должна находиться в процессе ликвидации, банкротства или реорганизации, на её имущество не должен быть наложен арест;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pStyle w:val="960"/>
        <w:ind w:left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- не должна быть включенной в Реестр недобросовестных поставщиков, который ведется в соответствии с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законодательством РФ;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pStyle w:val="960"/>
        <w:ind w:left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- иметь действующий рейтинг надежности по классификации одного из следующих рейтинговых агентств: АО «Эксперт РА» - не ниже «ruАА»; АКРА (АО) - не ниже AA(RU); ООО «НКР» - не ниже AA+.ru; ООО «НРА» - не ниже AA+|ru|;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pStyle w:val="960"/>
        <w:ind w:left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- иметь опыт работы на страховом рынке - не менее 10-ти лет;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pStyle w:val="960"/>
        <w:ind w:left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- иметь размер оплаченного уставного капитала - не менее 7 500 000 000 руб.;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pStyle w:val="960"/>
        <w:ind w:left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- иметь размер собственного капитала - не менее 20 000 000 000 руб.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До заключения договора страхования Поставщик обязан в письменном виде представить Покупателю кандидатуру страховой компании и согласовать проект договора страхования.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Покупатель, при соответствии условий договора страхования требованиям настоящего Договора и при удовлетворении кандидатурой страховой компании, в течение 10 дней направляет Поставщику уведомление о своем согласии на заключение договора страхования.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несогласия Покупателя с предложенной кандидатурой, Поставщик обязан в течение 10 дней предложить Покупателю новую кандидатуру страховой компании.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 должен предоставить Покупателю экземпляр договора страхования и документ, подтверждающий оплату страховой премии по договору страхования, за 10 дней до начала транспортировки.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Если Поставщик не сможет заключить и поддерживать в силе договор страхования, или не сможет представить удовлетворительных доказательств (договор страхования или копии платежных документов об оплате страховой премии) в соответствии с по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ложениями настоящей Статьи, то Покупатель вправе (но не обязан) заключить договор страхования для покрытия соответствующих рисков, которые не были застрахованы вследствие такого неисполнения обязательств Поставщиком, и оплачивать страховую премию, что не 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граничивает какого-либо иного права или способа защиты Покупателя. Оплаченная страховая премия подлежит возмещению Поставщиком Покупателю и вычитается Покупателем из любых сумм, которые подлежат или будут подлежать уплате Поставщику по настоящему Договору.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гибели, утраты и/или повреждения Товара до передачи Покупателю и получения соответствующего страхового возмещения, Поставщик гарантирует, что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направит полученные средства на изготовление Товара взамен подвергшегося гибели, утрате и/или повреждению. Стороны считают такую гарантию Поставщика существенным условием настоящего Договора, и Покупатель полностью полагается на такую гарантию Поставщика.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Страхование не освобождает Покупателя и Поставщика от обязанности принять необходимые меры для предотвращения наступления страхового случая.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  должен обеспечить в договоре страхования отказ страховщика от права суброгации или действий, которые мог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ут быть предприняты для реализации права суброгации, в отношении Покупателя , дочерних обществ ПАО «Интер РАО» и иных компаний Группы «Интер РАО» при наступлении страхового случая и выплате страхового возмещения, кроме случаев умышленного причинения вреда.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Условия настояще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го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Раздела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являются существенными условиями настоящего Договора.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left="0" w:firstLine="0"/>
        <w:jc w:val="both"/>
        <w:spacing w:after="0" w:line="250" w:lineRule="exact"/>
        <w:shd w:val="clear" w:color="auto" w:fill="ffffff"/>
        <w:tabs>
          <w:tab w:val="left" w:pos="720" w:leader="none"/>
        </w:tabs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ind w:firstLine="284"/>
        <w:jc w:val="both"/>
        <w:spacing w:after="0" w:line="250" w:lineRule="exact"/>
        <w:shd w:val="clear" w:color="auto" w:fill="ffffff"/>
        <w:tabs>
          <w:tab w:val="left" w:pos="720" w:leader="none"/>
        </w:tabs>
        <w:rPr>
          <w:rFonts w:ascii="Liberation Serif" w:hAnsi="Liberation Serif" w:cs="Liberation Serif"/>
          <w:i/>
          <w:sz w:val="20"/>
          <w:szCs w:val="20"/>
        </w:rPr>
      </w:pPr>
      <w:r>
        <w:rPr>
          <w:rFonts w:ascii="Liberation Serif" w:hAnsi="Liberation Serif" w:cs="Liberation Serif"/>
          <w:i/>
          <w:sz w:val="20"/>
          <w:szCs w:val="20"/>
        </w:rPr>
      </w:r>
      <w:r>
        <w:rPr>
          <w:rFonts w:ascii="Liberation Serif" w:hAnsi="Liberation Serif" w:cs="Liberation Serif"/>
          <w:i/>
          <w:sz w:val="20"/>
          <w:szCs w:val="20"/>
        </w:rPr>
      </w:r>
      <w:r>
        <w:rPr>
          <w:rFonts w:ascii="Liberation Serif" w:hAnsi="Liberation Serif" w:cs="Liberation Serif"/>
          <w:i/>
          <w:sz w:val="20"/>
          <w:szCs w:val="20"/>
        </w:rPr>
      </w:r>
    </w:p>
    <w:p>
      <w:pPr>
        <w:numPr>
          <w:ilvl w:val="0"/>
          <w:numId w:val="3"/>
        </w:numPr>
        <w:ind w:left="0" w:firstLine="284"/>
        <w:jc w:val="center"/>
        <w:spacing w:after="0" w:line="250" w:lineRule="exact"/>
        <w:shd w:val="clear" w:color="auto" w:fill="ffffff"/>
        <w:widowControl w:val="off"/>
        <w:tabs>
          <w:tab w:val="left" w:pos="1190" w:leader="none"/>
          <w:tab w:val="left" w:pos="3686" w:leader="none"/>
          <w:tab w:val="left" w:pos="3828" w:leader="none"/>
        </w:tabs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Приемка по количеству и качеству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pStyle w:val="960"/>
        <w:numPr>
          <w:ilvl w:val="1"/>
          <w:numId w:val="3"/>
        </w:numPr>
        <w:ind w:left="0" w:firstLine="284"/>
        <w:jc w:val="both"/>
        <w:spacing w:after="0" w:line="250" w:lineRule="exact"/>
        <w:tabs>
          <w:tab w:val="num" w:pos="284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Внешний осмотр тары и упаковки Товара с целью выявления наружных повреждений и проверки соответствия количества отгруженн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и поступивш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его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на склад Покупателя Товара (либо подготовленн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 к 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тгрузке Товара) выполняется Покупателем без нарушения целостности тары, упаковки и консервации в течение 1 (одного) рабочего дня с даты начала приемки.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Товар принимается путем сравнения результатов осмотра, взвешивания, определения количества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овара с данными, указанными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Поставщиком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товаросопроводительных документах, содержащих данные о количестве и качестве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овара, а также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проверки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соответствия товаросопроводительных документов условиям настоящего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оговора.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num" w:pos="284" w:leader="none"/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Приемка Товара по количеству, комплектности и качеству производится Покупателем на своем складе в срок, не позднее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3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(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трех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) рабочих дней с даты поставки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(а для Товара, принимаемого с входным контролем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согласно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п.9.10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Договора,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-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не позднее 10 (десяти) рабочих дней)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 В случае, если в течение указанного срока Покупателем не будет заявлено о недо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статках Товара, Товар считается принятым по качеству (за исключением скрытых дефектов/ недостатков (заводского брака), если на Товар установлен гарантийный срок), количеству и комплектности без замечаний и соответствующим требованиям и условиям настоящего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оговора.</w:t>
      </w: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Представитель Поставщика вправе присутствовать при приемке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овара Покупателем, но Покупатель не обязан уведомлять Поставщика о дате приемки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овара.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num" w:pos="284" w:leader="none"/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обнаружения несоответствия качества, комплектности или количества поступившего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овара данным о количестве и качестве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овара, указанным Поставщиком, Покупатель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обяза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 известить Поставщика, вызвать его представителя для участия в составлении совместного Акта приемки Товара. При этом Покупатель обязан обеспечить сохранность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овара, не соответствующего условиям Договора о качестве и/или количестве, и/или комплектности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,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до прибытия представителя Поставщика.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num" w:pos="284" w:leader="none"/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 обязан не позднее чем на следующий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рабочий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день после получения вызова Покупателя сообщить любым способом связи (включая телефоногр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амму), будет ли им направлен представитель для участия в проверке количества/качества Товара. Неполучение ответа на вызов в указанный срок дает право Покупателю осуществить приемку Товара до истечения установленного срока для явки представителя Поставщика.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num" w:pos="284" w:leader="none"/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Представитель одногороднего Поставщика обязан явитьс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я не позднее чем на следующий день после получения вызова, если в нем не указан иной срок явки. Представитель иногороднего Поставщика обязан явиться не позднее чем в 3 (трех)-дневный срок после получения вызова, не считая времени, необходимого для проезда.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num" w:pos="284" w:leader="none"/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Результаты совместной приемки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Товара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 количеству и/или качеству, и/или комплектности оформляются актом, подписываемым лицами, участвующими в приемке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овара.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Если при совместной проверке Товара представители Покупателя и Поставщика разойдутся во мнении о содержании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кта пр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ием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ки, то лю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бая из Сторон может предъявить Товар независимой экспертной организации на повторную проверку. Свидетельство, выдаваемое этой организацией, будет являться основанием для выставления претензий. Затраты по проведению экспертизы относятся на виновную Сторону.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еприбыти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представителя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Поставщика к дате, определяемой в соответствии с п. 9.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6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 настоящего Договора, на приемку Товара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, признается Сторонами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добровольным согласием Поставщика на приемку Товара без его участия.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Покупатель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таком случае вправе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одностороннем порядке прове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сти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приемку Товара, составит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ь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Ак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приемки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и направит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ь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его почтовым сообщением в адрес Поставщика, указанный в разделе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5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настоящего Договора.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num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Покупатель имеет право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осуществить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входной контроль, инспекцию, испытания и, в случае необходимости, отказ от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Товара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после 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го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получения, что ни в коем случае не ограничивается и не отменяется тем, что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Товар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ранее прош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л входной контроль, испытания и/или был проверен Покупателем или его представителями до момента отгрузки.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Входной контроль осуществляется в соответствии с «Методикой по организации и проведению входного контроля материально-технических ресурсов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в АО «Томская генерация»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», утвержденной Покупателем и размещенной на сайте Покупателя в сети Интернет по адресу: </w:t>
      </w:r>
      <w:hyperlink r:id="rId11" w:tooltip="http://energo.tom.ru/treads/legal_acts/" w:history="1">
        <w:r>
          <w:rPr>
            <w:rStyle w:val="958"/>
            <w:rFonts w:ascii="Liberation Serif" w:hAnsi="Liberation Serif" w:eastAsia="Times New Roman" w:cs="Liberation Serif"/>
            <w:color w:val="auto"/>
            <w:sz w:val="20"/>
            <w:szCs w:val="20"/>
            <w:lang w:eastAsia="ru-RU"/>
          </w:rPr>
          <w:t xml:space="preserve">http://energo.tom.ru/treads/legal_acts/</w:t>
        </w:r>
      </w:hyperlink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 подписанием настоящего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оговора подтверждает, что ознакомлен с указанной выше «Методикой по организации и проведению входного контроля материально-технических ресурсов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в АО «Томская генерация»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».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pStyle w:val="960"/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num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Покупатель вправе осуществить отбор образцов проб для проведения исследования на предмет соответствия поставленного Товара предоставленным сертификатам (паспортам) качества, с привлечением специализированной организации.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pStyle w:val="960"/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num" w:pos="284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 в дату, следующую за датой доставки Товара на склад Покупателя (до 12:00 по томскому времени), обязан переда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ть Покупателю сканированные копии документов, подтверждающих факт поставки, средствами факсимильной/электронной связи по номеру факса/адресу электронной почты, указанному в статье 15 настоящего Договора. Оригиналы документов, подтверждающих факт поставки (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подписанные Поставщиком акт по форме ОС-14 и товарная накладная по форме ТОРГ-12/ универсальный передаточный документ (УПД) и счета–фактуры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), должны быть направлены Покупателю не позднее 5 (пяти) календарных дней с даты доставки/отгрузки Товара на склад Покупателя. (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если не применимо – указать иной базис поставки).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Документы, указанные в настоящем пункте Договора, должны быть оформлены на имя Покупателя. При непредставлении Поставщик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ом копий документов, подтверждающих факт поставки Товара, в порядке и сроки, указанные выше, Покупатель незамедлительно уведомляет об этом Поставщика. Поставщик обязан в течение 1 (одного) календарного дня со дня получения такого уведомления Покупателя пре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дставить недостающие документы Покупателю, что не освобождает Поставщика от ответственности, предусмотренной в пункте 10.7 настоящего Договора. В течение 2 (двух) календарных дней со дня получения от Поставщика копий документов, подтверждающих факт поставк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 Товара, Покупатель уведомляет Поставщика о ошибках, неточностях в представленных документах. В указанном уведомлении Покупатель указывает способ устранения ошибок, неточностей в представленных документах. Поставщик обязан в течение 2 (двух) календарных 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ней с момента получения данного уведомления от Покупателя устранить ошибки, неточности в документах и представить Покупателю копии исправленных документов, что не освобождает Поставщика от ответственности, предусмотренной пунктом 10.7. настоящего Договора.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pStyle w:val="960"/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num" w:pos="284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течение 5 (пяти) рабочих дней с даты получения подписанных со стороны Поставщика оригиналов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акта по форме ОС-14 и товарной накладной по форме ТОРГ-12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/УПД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Покупатель направляет Поставщику подписанные со своей стороны экземпляры указанных оригиналов доку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ментов, либо предоставляет мотивированный отказ в приемке Товара с указанием дефектов и недостатков, выявленных в процессе приемки, а также с требованием об устранении Поставщиком указанных дефектов и неточностей в приемлемой для Покупателя форме и сроки.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pStyle w:val="960"/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В случае если поставка и приемка Товара осуществляется по фактической массе, то допустимое отклонение количества Товара при приемке составляет в пределах +/- 5 % от количества, указанного в Спецификации (иях).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pStyle w:val="960"/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При поставке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Товара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с учетом таких отклонений, обязательства Поставщика считаются выполненными надлежащим образом, при этом оплате подлежит фактически поставленное количество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Товара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, указанное в товаросопроводительных документах, по ценам, указанным в Спецификации (иях), в пределах общей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С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уммы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оговора (п.3.1.)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b/>
          <w:i/>
          <w:sz w:val="20"/>
          <w:szCs w:val="20"/>
          <w:lang w:eastAsia="ru-RU"/>
        </w:rPr>
        <w:t xml:space="preserve">(применяется при поставке труб, металлопроката, химреактивов, химреагентов, кабельных изделий, сыпучих материало</w:t>
      </w:r>
      <w:r>
        <w:rPr>
          <w:rFonts w:ascii="Liberation Serif" w:hAnsi="Liberation Serif" w:eastAsia="Times New Roman" w:cs="Liberation Serif"/>
          <w:b/>
          <w:i/>
          <w:sz w:val="20"/>
          <w:szCs w:val="20"/>
          <w:lang w:eastAsia="ru-RU"/>
        </w:rPr>
        <w:t xml:space="preserve">в</w:t>
      </w:r>
      <w:r>
        <w:rPr>
          <w:rFonts w:ascii="Liberation Serif" w:hAnsi="Liberation Serif" w:eastAsia="Times New Roman" w:cs="Liberation Serif"/>
          <w:b/>
          <w:i/>
          <w:sz w:val="20"/>
          <w:szCs w:val="20"/>
          <w:lang w:eastAsia="ru-RU"/>
        </w:rPr>
        <w:t xml:space="preserve">).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tabs>
          <w:tab w:val="left" w:pos="119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3"/>
        </w:numPr>
        <w:ind w:left="0" w:firstLine="284"/>
        <w:jc w:val="center"/>
        <w:spacing w:after="0" w:line="250" w:lineRule="exact"/>
        <w:shd w:val="clear" w:color="auto" w:fill="ffffff"/>
        <w:widowControl w:val="off"/>
        <w:tabs>
          <w:tab w:val="left" w:pos="1190" w:leader="none"/>
          <w:tab w:val="left" w:pos="3969" w:leader="none"/>
        </w:tabs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Ответственность по Договору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num" w:pos="709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и настоящим Договором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За нарушение сроков окончательных расчетов за поставленные по настоящему Договору Товары Покупатель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несет ответственность в соответствии с действующим законодательством РФ.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За нарушение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предусмотренного Договором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срока поставки Товара,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ассортимента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, качества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и количества поставляемого Товара Поставщик выплатит по письменному требованию Покупателя неустойку в размере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0,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2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% от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Суммы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Договора за каждый день просрочки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исполнения обязательства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, но не более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8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0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(вос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ь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м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десят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% от Суммы Договора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Если Поставщик поставил Товар не в полном объеме либо не выполнил требования Покупателя о замене недоброкачественного Това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ра в установленный срок, Покупатель вправе приобрести недопоставленный/качественный Товар у других лиц с отнесением на Поставщика разницы стоимости Товара, а также иных расходов, связанных с нарушением Поставщиком своих обязательств по настоящему Договору.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За нарушение обязательств, предусмотренных п. 14.4. настоящего Договора, Поставщик уплачивает Покупателю 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штраф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в размере 30 (тридцать) % от общей Суммы Договора.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За не предоставление документов, предусмотренных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4.2. Договора, Покупатель вправе требовать, а Поставщик обязан уплатить штраф в размере 30 000 (тридцать тысяч) рублей за каждый документ, в течение 10 (десяти) календарных дней с даты получения требования Покупателя.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При несвоевременном представлении Поставщи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ком товаросопроводительной документации, а также при нарушении условий упаковки или маркировки Товара Поставщик возмещает Покупателю убытки, вызванные указанной задержкой или несоблюдением условий упаковки или маркировки, установленных настоящим Договором.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За нарушение Поставщиком сроков исполнения обязательств по предоставлению документов в соответствии пунктами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3.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6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.,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9.12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 настоящего Договора Покупатель имеет право потребовать от Поставщика уплаты неустойки в размере 1/360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ключевой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ставки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Банка России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от суммы неисполненного обязательства за каждый день просрочки. Стороны договорились, для целей расчета неустойки, указанной в настоящем пункте, суммой неисполненного Поставщиком обязательства считается сумма, которая должна быть указана в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счете-фактуре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/УПД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и/или документах, подтверждающих факт поставки.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случае, если при приемке Товара будет выявлен факт незаконного использования Поставщиком товарного знака (поставки поддельн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(контрафактн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)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Товара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), либо предоставление поддельных документов на Товар, Покупатель вправе требовать, а Поставщик обязан оплатить штраф в размере 100 (сто) % от стоим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ости такого Товара в течение 10 (десяти) календарных дней с даты получения требования Покупателя. При этом убытки взыскиваются Покупателем с Поставщика в полной сумме сверх суммы штрафа, и Покупатель вправе распорядиться таким Товаром по своему усмотрению.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Независимо от уплаты неустойки Сторона, нарушившая Договор, возмещает другой Стороне причиненные в результате этого убытки, включая любые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убытки, понесенные Покупателем в связи с невозможностью поставлять электроэнергию (мощность) на оптовый рынок электроэнергии и мощности. Уплата неустойки и возмещение убытков не освобождает Стороны от полного выполнения Сторонами обязательств по Договору.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left" w:pos="720" w:leader="none"/>
          <w:tab w:val="num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возникновения претензий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со Стороны третьих лиц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к Поставщику независимо от их характера, Покупатель не несет по ним никакой ответственности.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widowControl w:val="off"/>
        <w:tabs>
          <w:tab w:val="num" w:pos="0" w:leader="none"/>
          <w:tab w:val="left" w:pos="567" w:leader="none"/>
          <w:tab w:val="num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Стороны пришли к соглашению, что в случае изъятия Товара (предъявления требования об изъятии/предполагающее изъятие) у Покупателя при признании Договора недействительным или расторжени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Договора по обстоятельствам, возникшим по вине Поставщика, а также вследствие предъявления претензии третьими лицами к Покупателю, в том числе со стороны предыдущих собственников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овара или иных третьих лиц,  Поставщик обязуется в сроки, указанные в требовании Покупателя, приобрести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для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я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равнозначный товар или предоставить Покупателю денежные средства для самостоятельного приобретения товара, исходя 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з стоимости аналогичного товара, действующей на рынке аналогичных товаров на момент расторжения Договора (применения последствий недействительности Договора), а также возместить все понесенные убытки и расходы, связанные с приобретением товара по Договору.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widowControl w:val="off"/>
        <w:tabs>
          <w:tab w:val="num" w:pos="0" w:leader="none"/>
          <w:tab w:val="left" w:pos="567" w:leader="none"/>
          <w:tab w:val="num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В случае непоставки Товара в связи с любыми действиями любого государственн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 органа любого государства в отношении объявления эмбарго, санкций и т.д. в связи с поставкой Товара на территорию Российской Федерации Покупатель имеет право расторгнуть в одностороннем внесудебном порядке настоящий Договор и потребовать от Поставщика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возврата уплаченного по Договору авансового платежа, а также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компенсации понесенных Покупателем убытков.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widowControl w:val="off"/>
        <w:tabs>
          <w:tab w:val="num" w:pos="0" w:leader="none"/>
          <w:tab w:val="left" w:pos="567" w:leader="none"/>
          <w:tab w:val="num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Подписанием настоящего договора Поставщик подтверждает свое согласие на оплату не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устоек (пеней, штрафов), предусмотренных настоящим договором, а также возмещение убытков Покупателя, возникших из настоящего Договора, путем проведения зачета встречных однородных требований сторон при текущих и/или последующих платежах по Договору. Кроме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того, удержание пени и штрафов, подлежащих уплате Поставщиком, может быть произведено по усмотрению Покупателя, путем вычета суммы пени (штрафов) из стоимости поставленного и принятого Покупателем Товара. Для применения настоящего пункта Покупатель обязан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направить Поставщику претензию о нарушении последним условий Договора. Стороны договорились, что в случае отсутствия обоснованных возражений или неполучения ответа на претензию в установленный в ней срок, штрафные санкции считаются признанными Поставщиком.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widowControl w:val="off"/>
        <w:tabs>
          <w:tab w:val="num" w:pos="0" w:leader="none"/>
          <w:tab w:val="left" w:pos="567" w:leader="none"/>
          <w:tab w:val="num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применения административными органами штрафных санкций к Покупателю, если они явились результатом нарушения Поставщиком своих обязательств или совершения Поставщиком иных действий (бездействия), влеку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щих применение к Покупателю штрафных санкций, Поставщик обязан возместить Покупателю убытки в размере предъявленных к Покупателю санкций, в течение 10 (десяти) календарных дней с даты получения требования Покупателя с приложением подтверждающих документов.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widowControl w:val="off"/>
        <w:tabs>
          <w:tab w:val="left" w:pos="567" w:leader="none"/>
          <w:tab w:val="num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принятия Покупателем Товара на ответственное хранение Поставщик обязан в пятидневный срок вывезти указанный Товар или распорядиться им иным образом, приняв на себя дальнейшую ответственность за судьбу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Товара. В случае нарушения указанного срока Покупатель имеет право требовать, а Поставщик обязан уплатить штраф в размере 10 (десять) % от общей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уммы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widowControl w:val="off"/>
        <w:tabs>
          <w:tab w:val="left" w:pos="567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Отношения сторон в части ответственного хранения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Товара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, не принятого Покупателем, регулируются в соответствии с законодательством Российской Федерации.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3"/>
        </w:numPr>
        <w:ind w:left="0" w:firstLine="284"/>
        <w:jc w:val="center"/>
        <w:spacing w:after="0" w:line="240" w:lineRule="auto"/>
        <w:shd w:val="clear" w:color="auto" w:fill="ffffff"/>
        <w:widowControl w:val="off"/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  <w:t xml:space="preserve">Форс-мажор</w:t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  <w:t xml:space="preserve">. Разрешение споров.</w:t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num" w:pos="567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Стороны освобождаются от ответственности за частичное или п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олное неисполнение обязательств по настоящему Договору, если оно явилось следствием природных явлений, военных действий и прочих обстоятельств непреодолимой силы, включая действия и решения органов государственной власти и органов местного самоуправления,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и,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если эти обстоятельства непосредственно повлияли на исполнение настоящего Договора.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num" w:pos="567" w:leader="none"/>
          <w:tab w:val="num" w:pos="851" w:leader="none"/>
          <w:tab w:val="left" w:pos="1134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Стороны договорились, что для целей исполнения обязательств по настоящему Договору Стороны не будут считать обстоятельством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непреодолимой силы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любые действия любого государственного органа любого государства в отношении объявления эмбарго, санкций и т.д. в связи с поставкой Товара на территорию Российской Федерации.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num" w:pos="567" w:leader="none"/>
          <w:tab w:val="num" w:pos="851" w:leader="none"/>
          <w:tab w:val="left" w:pos="1134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Сторона, не исполняющая своих обязательств, вследствие обстоятельств непреодолимой силы, должна в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3-х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дневный срок сообщить другой Стороне о возникновении такого обстоятельства. Связанные с форс-мажором обстоятельства должны быть документально подтверждены Торговой Палатой соответствующей страны.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num" w:pos="567" w:leader="none"/>
          <w:tab w:val="num" w:pos="709" w:leader="none"/>
          <w:tab w:val="left" w:pos="1134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Срок исполнения обязательств по настоящему Договору отодвигается соразмерно времени, в течение которого действовали обстоятельства непреодолимой силы, а также последствия, вызванные этими обстоятельствами.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num" w:pos="567" w:leader="none"/>
          <w:tab w:val="left" w:pos="709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Если обстоятельства непреодолимой силы или их последствия будут длиться более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2 (двух)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месяцев, то Покупатель и Поставщик обсудят, какие меры следует принять для продолжения выполнения условий Договора.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num" w:pos="567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Если в течение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 (одного) месяца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соглашения, устраивающего Стороны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,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не будет достигнуто, каждая из Сторон вправе потребовать расторжения настоящего Договора.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Все споры, возникающие при заключении, исполнении, расторжении настоящего Договора, разрешаются сторонами в обязател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ьном претензионном порядке. Данный порядок предусматривает предъявление письменной претензии, которая должна быть вручена под расписку либо направлена заказным или ценным письмом, по телеграфу, телетайпу, электронной почте по адресу, указанному в разделе 1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5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настоящего Договора, а также с использованием иных средств связи, обеспечивающих фиксирование отправления.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num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Претензия подлежит рассмотрению получившей стороной в течение 10 (десяти) календарных дней с момента ее получения. Ответ на претензию дается в письменной форме и направляется в порядке, предусмотренном для предъявления (направления) претензии.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При удовлетворении претензии, подлежащей денежной оценке, к ответу на претензию прилагается поручение банку на перечисление денежных средств с отметкой об исполнении (принятии к исполнению).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3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При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невозможности достижения согласия в переговорах или отказе в переговорах, споры и разногласия, возникающие из Договора или в связи с ним, в том числе касающиеся его выполнения, нарушения, прекращения или действительности рассматриваются в Арбитражном суде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Томской области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в порядке, установленном действующим законодательством РФ.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left="360"/>
        <w:jc w:val="center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/>
      <w:bookmarkStart w:id="13" w:name="_Hlk114564687"/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12. Заверения об обстоятельствах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. Антикоррупционная оговорка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12.1. 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соответствии со статьей 431.2 Гражданского кодекса Российской Федерации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 заверяет Покупателя, что на момент заключения Договора: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20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num" w:pos="142" w:leader="none"/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работники и иные физические лица, привлекаемые Поставщиком для исполнения обязательств, возникших из Договора, имеют необходимые для этого знания, опыт и квалификацию, подтверждаемые соответствующими документами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20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num" w:pos="284" w:leader="none"/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Поставщик, а также привлекаемые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им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целях исполнения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оговора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лица (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соисполнители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обладают ресурсами, технологиями, деловыми связями, знаниями, навыками и умениями, а также опытом, необходимыми для исполнения обязательств, возникших из Договора;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20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num" w:pos="142" w:leader="none"/>
          <w:tab w:val="num" w:pos="284" w:leader="none"/>
          <w:tab w:val="left" w:pos="720" w:leader="none"/>
          <w:tab w:val="num" w:pos="121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Поставщик, 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также привлекаемые им в целях исполнения Договора лица (субподрядчики, соисполнители, субпоставщики и т.п.) являются добросовестными налогоплательщиками; в отношении каждого привлеченного лица (субподрядчика, соисполнителя, субпоставщика и т.п.) Поставщик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располагает необходимыми документами, свидетельствующими о соблюдении привлеченными контрагентами требований налогового законодательства;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20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num" w:pos="284" w:leader="none"/>
          <w:tab w:val="left" w:pos="720" w:leader="none"/>
          <w:tab w:val="num" w:pos="121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обязательства по Договору будут исполняться непосредственно Поставщи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ком и (или) лицом (лицами), на которого (которых) Поставщик возложил исполнение обязательств по соответствующему договору; Поставщик несет ответственность за действительность отношений с лицами, привлекаемыми им в целях исполнения обязательств по Договору.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left="57" w:firstLine="227"/>
        <w:jc w:val="both"/>
        <w:spacing w:after="0" w:line="240" w:lineRule="auto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Покупатель полагается на указанные в настоящем пункте заверения об обстоятельствах при заключении и исполнении настоящего Договора, каждое из указанных заверений имеет для Покупателя существенное значение.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12.2.</w:t>
      </w:r>
      <w:r>
        <w:rPr>
          <w:rFonts w:ascii="Liberation Serif" w:hAnsi="Liberation Serif" w:eastAsia="Times New Roman" w:cs="Liberation Serif"/>
          <w:color w:val="000000"/>
          <w:sz w:val="24"/>
          <w:szCs w:val="24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соответствии со статьей 307 Гражданского кодекса Российской Федерации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обязуется обеспечить соответствие своей деятельности и деятельности привлекаемых им лиц (субподрядчиков, соисполнителей, с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убпоставщиков и т.п.) условиям, указанным в п. 12.1. Договора, в налоговых периодах, в течение которых осуществляется исполнение обязательств по Договору, совершаются какие-либо операции по Договору. В этом смысле все обстоятельства, в отношении которых По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ставщик дает заверения в п. 12.1. Договора на момент его заключения, одновременно являются условиями, исполнение которых Контрагент обязуется обеспечить в будущем и отвечать за их неисполнение по правилам главы 25 Гражданского кодекса Российской Федерации.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12.3.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Возмещение имущественных потерь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соответствии со статьей 406.1 Гражданского кодекса Российской Федерации Поставщик обязуется возместить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Покупателю полностью все его имущественные потери, возникшие в связи с искажением Контрагентом сведений о фактах хозяйственной жизни и об объекта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х налогообложения, неисполнением или ненадлежащим исполнением Контрагентом своих налоговых обязанностей, либо в связи с привлечением им в качестве своих контрагентов (например, субподрядчиков, субпоставщиков) организаций, не исполняющих либо ненадлежащим 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бразом исполняющих свои налоговые обязанности или имеющих иные признаки недобросовестности, либо в связи с привлечением контрагентами Контрагента в качестве своих контрагентов организаций, не исполняющих либо ненадлежащим образом исполняющих свои налоговые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обязанности или имеющих иные признаки недобросовестности независимо от длины цепочки контрагентов (и в любом из указанных случаев - независимо от того, знал ли Контрагент о данных фактах или нет), в случае наступления совокупности следующих обстоятельств: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а) в порядке применения статьи 101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, 105.17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Налогового кодекса Российской Федерации налоговым органом в отношении Покупателя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вынесено решение о привлечении к ответственности или об отказе в привлечении к ответственности за совершение налогового правонарушения с указанием сумм недоимки по налогам (налог на прибыль, НДС), соответствующих сумм штрафов, пеней (далее - «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Решение налогового органа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»),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б) суммы недоимки по налогам (налог на прибыль, НДС), соответствующие суммы штрафов (если применимо), пеней списаны с банковского счета </w:t>
      </w:r>
      <w:bookmarkStart w:id="14" w:name="_Hlk147406625"/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Покупателя </w:t>
      </w:r>
      <w:bookmarkEnd w:id="14"/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безакцептном порядке или перечислены Покупателем добровольно (</w:t>
      </w:r>
      <w:r>
        <w:rPr>
          <w:rFonts w:ascii="Liberation Serif" w:hAnsi="Liberation Serif" w:eastAsia="Times New Roman" w:cs="Liberation Serif"/>
          <w:iCs/>
          <w:sz w:val="20"/>
          <w:szCs w:val="20"/>
          <w:lang w:eastAsia="ru-RU"/>
        </w:rPr>
        <w:t xml:space="preserve">вследствие добровольного отказа Покупателя от применения вычета по операциям с Поставщиком)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соответствии с решением налогового органа.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12.4. </w:t>
      </w:r>
      <w:r>
        <w:rPr>
          <w:rFonts w:ascii="Liberation Serif" w:hAnsi="Liberation Serif" w:eastAsia="Times New Roman" w:cs="Liberation Serif"/>
          <w:iCs/>
          <w:sz w:val="20"/>
          <w:szCs w:val="20"/>
          <w:lang w:eastAsia="ru-RU"/>
        </w:rPr>
        <w:t xml:space="preserve">Размер имущественных потерь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Покупателя </w:t>
      </w:r>
      <w:r>
        <w:rPr>
          <w:rFonts w:ascii="Liberation Serif" w:hAnsi="Liberation Serif" w:eastAsia="Times New Roman" w:cs="Liberation Serif"/>
          <w:iCs/>
          <w:sz w:val="20"/>
          <w:szCs w:val="20"/>
          <w:lang w:eastAsia="ru-RU"/>
        </w:rPr>
        <w:t xml:space="preserve">определяется как совокупность следующих сумм: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- суммы налога на прибыль и/или НДС, доначисленного Покупателю в связи с эпизодами, связанными с Поставщиком, </w:t>
      </w:r>
      <w:r>
        <w:rPr>
          <w:rFonts w:ascii="Liberation Serif" w:hAnsi="Liberation Serif" w:eastAsia="Times New Roman" w:cs="Liberation Serif"/>
          <w:iCs/>
          <w:sz w:val="20"/>
          <w:szCs w:val="20"/>
          <w:lang w:eastAsia="ru-RU"/>
        </w:rPr>
        <w:t xml:space="preserve">или уплаченного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Покупателем </w:t>
      </w:r>
      <w:r>
        <w:rPr>
          <w:rFonts w:ascii="Liberation Serif" w:hAnsi="Liberation Serif" w:eastAsia="Times New Roman" w:cs="Liberation Serif"/>
          <w:iCs/>
          <w:sz w:val="20"/>
          <w:szCs w:val="20"/>
          <w:lang w:eastAsia="ru-RU"/>
        </w:rPr>
        <w:t xml:space="preserve">в бюджет вследствие добровольного отказа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Покупателя </w:t>
      </w:r>
      <w:r>
        <w:rPr>
          <w:rFonts w:ascii="Liberation Serif" w:hAnsi="Liberation Serif" w:eastAsia="Times New Roman" w:cs="Liberation Serif"/>
          <w:iCs/>
          <w:sz w:val="20"/>
          <w:szCs w:val="20"/>
          <w:lang w:eastAsia="ru-RU"/>
        </w:rPr>
        <w:t xml:space="preserve">от применения вычета по операциям с Поставщиком</w:t>
      </w:r>
      <w:r>
        <w:rPr>
          <w:rFonts w:ascii="Liberation Serif" w:hAnsi="Liberation Serif" w:eastAsia="Times New Roman" w:cs="Liberation Serif"/>
          <w:i/>
          <w:iCs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(«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Доначисленные налоги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») в соответствии с Решением налогового органа; плюс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- суммы начисленных Покупателю пеней на сумму Доначисленных налогов в соответствии с Решением налогового органа («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Пени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»); плюс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- штрафов, начисленных Покупателю за соответствующие налоговые нарушения в связи с неуплатой ею Доначисленных налогов в соответствии с Решением налогового органа («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Штрафы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»).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 возмещает Покупателю указанные в настоящем пункте имущественные потери в течение 10 (десяти) дней с даты предъявления Покупателем соответствующего требования.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Покупатель вправе удержать сумму возмещения потерь из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причитающихся платежей </w:t>
      </w:r>
      <w:r>
        <w:rPr>
          <w:rFonts w:ascii="Liberation Serif" w:hAnsi="Liberation Serif" w:eastAsia="Times New Roman" w:cs="Liberation Serif"/>
          <w:iCs/>
          <w:sz w:val="20"/>
          <w:szCs w:val="20"/>
          <w:lang w:eastAsia="ru-RU"/>
        </w:rPr>
        <w:t xml:space="preserve">Исполнителю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 договору, а также из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иных расчетов по любым сделкам с Поставщиком (в том числе произвести зачет встречных однородных требований).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i/>
          <w:i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12.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5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Стороны согласовали следующую процедуру взаимодействия сторон по минимизации имущественных потерь</w:t>
      </w:r>
      <w:r>
        <w:rPr>
          <w:rFonts w:ascii="Liberation Serif" w:hAnsi="Liberation Serif" w:eastAsia="Times New Roman" w:cs="Liberation Serif"/>
          <w:iCs/>
          <w:sz w:val="20"/>
          <w:szCs w:val="20"/>
          <w:lang w:eastAsia="ru-RU"/>
        </w:rPr>
        <w:t xml:space="preserve">:</w:t>
      </w:r>
      <w:r>
        <w:rPr>
          <w:rFonts w:ascii="Liberation Serif" w:hAnsi="Liberation Serif" w:eastAsia="Times New Roman" w:cs="Liberation Serif"/>
          <w:i/>
          <w:i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iCs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12.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5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.1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 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При получении в порядке статьи 100 Налогового кодекса Российской Федерации акта налоговой проверки (далее – «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Акт налоговой проверки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»), в котором проверяющими отражены выявленные нарушения законодательства о налогах и сборах, вызванные действиями или бездействием Поставщика при исчислении и уплате налогов, а также привлеченных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Поставщиком в целях исполнения обязательств по Договору субконтрагентов (например, субподрядчиков, соисполнителей, субпоставщиков), Покупатель в течение 10 (десяти) календарных дней с момента получения акта налоговой проверки направляет в адрес Поставщика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выписку из акта налогового органа по соответствующему эпизоду (далее – «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Выписка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»).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12.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5.2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случае несогласия с фактами, изложенными в Выписке, а также с выводами и предложениями проверяющих, Поставщик в течение 10 (десяти) календарных дней с момента получения Выписки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из акта налогового органа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направляет в адрес Покупателя письменные мотивированные возражения по фактам (выводам проверяющих), содержащимся в ней,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а также им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еющиеся документы/информацию, подтверждающие необоснованность претензий налогового органа, указанных в Выписке, которые Заказчик обязан учесть при представлении Возражений в налоговый орган в порядке, предусмотренном Налоговым Кодексом Российской Федерации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12.6.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непредставления Поставщиком в указанный выше срок письменных мотивированных возражений по фактам (выводам проверяющих), содержащимся в Выписке, считается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, что у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Поставщика отсутствуют возражения против выводов проверяющих, изложенных в Выписке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12.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7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Заказчик вправе потребовать с Поставщика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возмещения имущественных потерь, связанных с наступлением обстоятельств, указанных в п. 12.3. Договора, в течение срока действия Договора и в течение трех лет после окончания срока действия Договора.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12.8. Антикоррупционная оговорка: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12.8.1. Поставщику известно о том, что Покупатель ведет антикоррупционную политику и развивает не допускающую коррупционных проявлений культуру.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При исполнении своих обязательств по настоящему Договору, Стороны, их аффилированные лица, работники или посредники не выплачивают, не п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иные неправомерные цели.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При исполнении своих обязательств по настоящему Договору, Стороны, их аффилированные лица, работники или посредники не осуществляют действия, квалифицируе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мые применимым для целей настоящего Договора законодательством, как дача/ получение взятки, коммерческий подкуп, а также действия, нарушающие требования применимого законодательства и международных актов о противодействии коррупции легализации (отмыванию)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доходов, полученных преступным путем.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возникновения у одной Стороны подозрений, что с другой Стороны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и (или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) его представителя, и (или) работника, и (или) его аффилированного лица п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роизошло или может произойти нарушение каких-либо положений настоящего пункта, соответствующая Сторона обязуется незамедлительно уведомить о данном обстоятельстве другую Сторону в письменной форме и продублировать уведомление на горячую линию этой Стороны 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(</w:t>
      </w:r>
      <w:r>
        <w:rPr>
          <w:rFonts w:ascii="Liberation Serif" w:hAnsi="Liberation Serif" w:eastAsia="Times New Roman" w:cs="Liberation Serif"/>
          <w:b/>
          <w:i/>
          <w:sz w:val="20"/>
          <w:szCs w:val="20"/>
          <w:lang w:eastAsia="ru-RU"/>
        </w:rPr>
        <w:t xml:space="preserve">указать адреса горячих линий Сторон в случае наличия горячей линии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).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Сторона, направившая письменное уведомление, имеет право приостановить исполнение обязательств по настоящему Договору до получения подтверждения от другой С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тороны, что нарушения не произошло или не произойдет. Это подтверждение должно быть направлено Стороной, получившей указанное уведомление, в адрес направившей его Стороны, в течение семи рабочих дней с даты получения вышеуказанного письменного уведомления.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письменном уведомлении Сторона обязана сослаться на факты или предоставить материалы,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достоверно подтверждающие или дающие основание предполагать, что произошло или может произойти нарушение каких-либо положений настоящего пункта другой Стороной, его аффилированными лицами, работниками или посредниками выражающееся в действиях, квалифицируе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мых применимым законодательством, как дача или получение взятки, коммерческий подкуп, а также действиях, нарушающих требования применимого законодательства и международных актов о противодействии коррупции, легализации доходов, полученных преступным путем.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12.8.2. В случае нарушения одной Стороной обязательств воздерживаться от запрещенных в п. 12.8.1.  настоящего Договора действий и/или неполучения другой Сторо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ной в установленный п. 12.8.1. настоящего Договора срок подтверждения, что нарушения не произошло или не произойдет, другая Сторона имеет право расторгнуть Договор в одностороннем порядке, направив письменное уведомление о его расторжении. Сторона, по чьей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инициативе был расторгнут настоящий Договор в соответствии с положениями настоящего пункта, вправе требовать возмещения реального ущерба, возникшего в результате такого расторжения, при условии представления подтверждающих такой реальный ущерб документов.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12.9.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Договор, дополнительные соглашения к нему, а также документы по исполнению сделки могут быть подписаны с использованием усиленной квалифицированной электронной подписи и получены сторонами в системе электронного документооборота «Контур.Диадок» </w:t>
      </w:r>
      <w:r>
        <w:rPr>
          <w:rFonts w:ascii="Liberation Serif" w:hAnsi="Liberation Serif" w:eastAsia="Times New Roman" w:cs="Liberation Serif"/>
          <w:i/>
          <w:sz w:val="20"/>
          <w:szCs w:val="20"/>
          <w:u w:val="single"/>
          <w:lang w:eastAsia="ru-RU"/>
        </w:rPr>
        <w:t xml:space="preserve">(допускается дополнительно указать иного оператора по согласованию с контрагентом)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 Электронный документооборот Стороны осуществляют в соответствии с требованиями Федерального закона от 06.04.2011 № 63-ФЗ «Об электронной подписи», иных нормативных правовых актов, условиями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С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оглашени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я об электронном документообороте (Приложение №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__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к Договору)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, а также с учетом положений регламентирующих документов оператора Электронного документооборота (ЭДО).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12.10. Стороны в ходе исполнения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оговора при направлении исходящего электронного документа в интерфейсе Оператора ЭДО указывают в поле «комментарий»: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25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электронный адрес получателя документа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,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для (</w:t>
      </w:r>
      <w:r>
        <w:rPr>
          <w:rFonts w:ascii="Liberation Serif" w:hAnsi="Liberation Serif" w:eastAsia="Times New Roman" w:cs="Liberation Serif"/>
          <w:i/>
          <w:sz w:val="20"/>
          <w:szCs w:val="20"/>
          <w:u w:val="single"/>
          <w:lang w:eastAsia="ru-RU"/>
        </w:rPr>
        <w:t xml:space="preserve">указать наименование </w:t>
      </w:r>
      <w:r>
        <w:rPr>
          <w:rFonts w:ascii="Liberation Serif" w:hAnsi="Liberation Serif" w:eastAsia="Times New Roman" w:cs="Liberation Serif"/>
          <w:i/>
          <w:sz w:val="20"/>
          <w:szCs w:val="20"/>
          <w:u w:val="single"/>
          <w:lang w:eastAsia="ru-RU"/>
        </w:rPr>
        <w:t xml:space="preserve">Стороны</w:t>
      </w:r>
      <w:r>
        <w:rPr>
          <w:rFonts w:ascii="Liberation Serif" w:hAnsi="Liberation Serif" w:eastAsia="Times New Roman" w:cs="Liberation Serif"/>
          <w:i/>
          <w:sz w:val="20"/>
          <w:szCs w:val="20"/>
          <w:u w:val="single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25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регистрационный номер и дату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12.11. Стороны под номером Договора понимают регистрационный номер договора, указанный со стороны Покупателя. Регистрационный номер Договора также указывается во всех документах, предусмотренных в рамках исполнения Договора. </w:t>
      </w:r>
      <w:r>
        <w:rPr>
          <w:rFonts w:ascii="Liberation Serif" w:hAnsi="Liberation Serif" w:eastAsia="Times New Roman" w:cs="Liberation Serif"/>
          <w:i/>
          <w:sz w:val="20"/>
          <w:szCs w:val="20"/>
          <w:u w:val="single"/>
          <w:lang w:eastAsia="ru-RU"/>
        </w:rPr>
        <w:t xml:space="preserve">(Если контрагент имеет свои правила формирования номера договора, допускается применение формулировки: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«номер договора сформированный как номер договора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Поставщика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/регистрационный номер договора Покупателя»)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</w:t>
      </w:r>
      <w:bookmarkEnd w:id="13"/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left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pStyle w:val="960"/>
        <w:numPr>
          <w:ilvl w:val="0"/>
          <w:numId w:val="21"/>
        </w:numPr>
        <w:jc w:val="center"/>
        <w:spacing w:after="0" w:line="240" w:lineRule="auto"/>
        <w:shd w:val="clear" w:color="auto" w:fill="ffffff"/>
        <w:widowControl w:val="off"/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  <w:t xml:space="preserve">Основания расторжения Договора</w:t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r>
    </w:p>
    <w:p>
      <w:pPr>
        <w:pStyle w:val="960"/>
        <w:numPr>
          <w:ilvl w:val="1"/>
          <w:numId w:val="21"/>
        </w:numPr>
        <w:ind w:left="0" w:firstLine="284"/>
        <w:jc w:val="both"/>
        <w:spacing w:after="0" w:line="240" w:lineRule="auto"/>
        <w:shd w:val="clear" w:color="auto" w:fill="ffffff"/>
        <w:widowControl w:val="off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Покупатель вправе в одностороннем порядке отказаться от исполнения настоящего Договора в следующих случаях: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pStyle w:val="960"/>
        <w:numPr>
          <w:ilvl w:val="2"/>
          <w:numId w:val="21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num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задержки Поставщиком выполнения обязательств по настоящему Договору более чем на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15 (пятнадцать) рабочих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дней по причинам, не зависящим от Покупателя;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2"/>
          <w:numId w:val="21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num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нарушения Поставщиком условий настоящего Договора, ведущее к существенному снижению качества Товара, в том числе при поставке некачественного Товара;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2"/>
          <w:numId w:val="21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num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непоставки Товара в связи с любыми действиями любого государственного органа любого государства в отношении объявления эмбарго, санкций и т.д. в связи с поставкой Товара на территорию Российской Федерации;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2"/>
          <w:numId w:val="21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num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иных случаях ненадлежащего исполнения обязательств Поставщиком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(указывать при необходимости)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;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2"/>
          <w:numId w:val="21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num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при установлении нецелесообразности дальнейшего исполнения Договора, определяемой Покупателем – с возмещением Поставщику фактически понесенных затрат.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21"/>
        </w:numPr>
        <w:ind w:left="0" w:firstLine="284"/>
        <w:jc w:val="both"/>
        <w:spacing w:after="0" w:line="240" w:lineRule="auto"/>
        <w:shd w:val="clear" w:color="auto" w:fill="ffffff"/>
        <w:widowControl w:val="off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Уведомление о расторжении настоящего Договора должно быть направлено Поставщику посредством факсимильной / электронной связи, либо по телеграфу не позднее, чем за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15 (пятнадцать) календарных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дней до предполагаемой даты его расторжения с последующей досылкой на бумажном носителе.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21"/>
        </w:numPr>
        <w:ind w:left="0" w:firstLine="284"/>
        <w:jc w:val="both"/>
        <w:spacing w:after="0" w:line="240" w:lineRule="auto"/>
        <w:shd w:val="clear" w:color="auto" w:fill="ffffff"/>
        <w:widowControl w:val="off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Договор считается расторгнутым по основаниям, предусмотренным пунктом 13.1. настоящего Договора, с даты, указанной в уведомлении о расторжении настоящего Договора.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21"/>
        </w:numPr>
        <w:ind w:left="0" w:firstLine="284"/>
        <w:jc w:val="both"/>
        <w:spacing w:after="0" w:line="240" w:lineRule="auto"/>
        <w:shd w:val="clear" w:color="auto" w:fill="ffffff"/>
        <w:widowControl w:val="off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расторжения настоящего Договора Покупатель вправе потребовать от Поставщика возврата ранее уплаченных сумм,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возмещения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причиненных убытков в течение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10 (десяти) рабочих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дней с даты расторжения Договора.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tabs>
          <w:tab w:val="left" w:pos="119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0"/>
          <w:numId w:val="21"/>
        </w:numPr>
        <w:ind w:left="0" w:firstLine="284"/>
        <w:jc w:val="center"/>
        <w:spacing w:after="0" w:line="250" w:lineRule="exact"/>
        <w:shd w:val="clear" w:color="auto" w:fill="ffffff"/>
        <w:widowControl w:val="off"/>
        <w:tabs>
          <w:tab w:val="left" w:pos="1190" w:leader="none"/>
        </w:tabs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Заключительные положения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numPr>
          <w:ilvl w:val="1"/>
          <w:numId w:val="21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Вся информация, полученная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в ходе реализации настоящего Договора, включая информацию о финансовом положении Сторон, считается конфиденциальной и не подлежит разглашению или передаче третьим лицам, как в период действия настоящего Договора, так и по окончании его действия в течение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3 (трех)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лет.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21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При изменении реквизитов Стороны обязуются извещать друг друга о таких изменениях в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5-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дневный срок. В противном случае сообщения и расчеты, переданные и произведенные по последнему известному адресу и реквизитам, считаются переданными и произведенными надлежащим образом.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21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Документы, переданные средствами факсимильной/электронной связи, имеют юридическую силу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при условии направления в адрес получателя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оригинал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ов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указанных документов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почтовым отправлением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течение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3 (трех) календарных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дней с даты передачи средствами факсимильной/электронной связи.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21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Права и/или обязанности по настоящему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оговору могут быть переданы одной из сторон третьим лицам только при наличии предварительного письменного согласия другой стороны, кроме того, при соблюдении следующих условий: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     - уступка Поставщиком права требования, уступка денежного т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ребования по договору факторинга, передача в залог права требования из настоящего договора осуществляется только с письменного согласия Покупателя, оформляемого путем подписания трехстороннего уведомления между Поставщиком, Покупателем и третьей стороной.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Условие о необходимости получения письменного согласия Покупателя на уступку права требования, уступку денежного требования по договору факторинга, передачу в залог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права требования является существенным условием настоящего Договора. В случае невыполнения Поставщиком обязательства по получению письменного согласия на уступку права требования, уступку денежного требования по договору факторинга, передачу в залог права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требования, Покупатель имеет право в одностороннем внесудебном порядке отказаться от исполнения Договора без возмещения убытков Поставщику, причиненных прекращением Договора, и предъявить требования об уплате штрафной неустойки, предусмотренной настоящим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оговором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21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любых изменений сведений о собственниках (номинальных владельц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ах) долей/акций/паев/ Поставщика, включая бенефициаров (в том числе конечного выгодоприобретателя/бенефициара), в течение 5 (пяти) календарных дней с даты, наступления таких изменений предоставить Покупателю актуализированные сведения по форме Приложения №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___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к настоящему Договору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Положен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ия настоящего пункта стороны признают существенным условием Договора. В случае невыполнения или ненадлежащего выполнения Поставщиком обязательств, предусмотренных настоящим пунктом, Покупатель вправе в одностороннем внесудебном порядке расторгнуть Договор.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При раскрытии информации, указанной в настоящем пункте, стороны обязуются производить обработку персональных данных в соответствии с Федеральным законом от 27.07.2006 г. № 152-ФЗ «О персональных данных».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21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Настоящий Договор выражает все договорные условия и понимание между Сторона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ми в отношении всех упомянутых здесь вопросов, при этом все предыдущие обсуждения, обещания, согласования и представления между Сторонами, если таковые имелись, кроме упомянутых в тексте настоящего Договора, теряют силу и заменяются вышеизложенным текстом.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21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Настоящий Договор вступает в силу с даты подписания его Сторонами и действует до _______, а в части расчетов и гарантийных обязательств – до полного исполнения обязательств Сторонами.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Настоящий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 может быть пролонгирован по соглашению Сторон путем подписания дополнительного соглашения.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cs="Liberation Serif"/>
          <w:color w:val="000000"/>
        </w:rPr>
      </w:pPr>
      <w:r>
        <w:rPr>
          <w:rFonts w:ascii="Liberation Serif" w:hAnsi="Liberation Serif" w:cs="Liberation Serif"/>
          <w:color w:val="000000"/>
        </w:rPr>
        <w:t xml:space="preserve">Датой заключения договора признается наиболее поздняя дата подписания сторонами договора либо протокола разногласий (при наличии), указанная рядом с подписью уполномоченного лица. </w:t>
      </w:r>
      <w:r>
        <w:rPr>
          <w:rFonts w:ascii="Liberation Serif" w:hAnsi="Liberation Serif" w:cs="Liberation Serif"/>
          <w:color w:val="000000"/>
        </w:rPr>
      </w:r>
      <w:r>
        <w:rPr>
          <w:rFonts w:ascii="Liberation Serif" w:hAnsi="Liberation Serif" w:cs="Liberation Serif"/>
          <w:color w:val="000000"/>
        </w:rPr>
      </w:r>
    </w:p>
    <w:p>
      <w:pPr>
        <w:ind w:firstLine="284"/>
        <w:jc w:val="both"/>
        <w:spacing w:after="0" w:line="240" w:lineRule="auto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cs="Liberation Serif"/>
          <w:color w:val="000000"/>
        </w:rPr>
      </w:pPr>
      <w:r>
        <w:rPr>
          <w:rFonts w:ascii="Liberation Serif" w:hAnsi="Liberation Serif" w:cs="Liberation Serif"/>
          <w:color w:val="000000"/>
        </w:rPr>
        <w:t xml:space="preserve">Датой регистрации договора у Заказчика является дата заключения договора.</w:t>
      </w:r>
      <w:r>
        <w:rPr>
          <w:rFonts w:ascii="Liberation Serif" w:hAnsi="Liberation Serif" w:cs="Liberation Serif"/>
          <w:color w:val="000000"/>
        </w:rPr>
      </w:r>
      <w:r>
        <w:rPr>
          <w:rFonts w:ascii="Liberation Serif" w:hAnsi="Liberation Serif" w:cs="Liberation Serif"/>
          <w:color w:val="000000"/>
        </w:rPr>
      </w:r>
    </w:p>
    <w:p>
      <w:pPr>
        <w:ind w:firstLine="284"/>
        <w:jc w:val="both"/>
        <w:spacing w:after="0" w:line="240" w:lineRule="auto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cs="Liberation Serif"/>
          <w:color w:val="000000"/>
        </w:rPr>
      </w:pPr>
      <w:r>
        <w:rPr>
          <w:rFonts w:ascii="Liberation Serif" w:hAnsi="Liberation Serif" w:cs="Liberation Serif"/>
          <w:color w:val="000000"/>
        </w:rPr>
        <w:t xml:space="preserve">Настоящий Договор может быть пролонгирован по соглашению Сторон путем подписания дополнительного соглашения</w:t>
      </w:r>
      <w:r>
        <w:rPr>
          <w:rFonts w:ascii="Liberation Serif" w:hAnsi="Liberation Serif" w:cs="Liberation Serif"/>
          <w:color w:val="000000"/>
        </w:rPr>
      </w:r>
      <w:r>
        <w:rPr>
          <w:rFonts w:ascii="Liberation Serif" w:hAnsi="Liberation Serif" w:cs="Liberation Serif"/>
          <w:color w:val="000000"/>
        </w:rPr>
      </w:r>
    </w:p>
    <w:p>
      <w:pPr>
        <w:numPr>
          <w:ilvl w:val="1"/>
          <w:numId w:val="21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Все изменения и дополнения к настоящему Договору должны быть совершены в письменной форме в виде единого документа и вступают в силу после подписания обеими Сторонами.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numPr>
          <w:ilvl w:val="1"/>
          <w:numId w:val="21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части, не урегулированной настоящим Договором, отношения Сторон регламентируются действующим законодательством Российской Федерации.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left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</w:pPr>
      <w:r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  <w:t xml:space="preserve">В случае заключения договора в письменной форме пункт 4.10. излагается:</w:t>
      </w:r>
      <w:r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</w:r>
      <w:r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</w:r>
    </w:p>
    <w:p>
      <w:pPr>
        <w:numPr>
          <w:ilvl w:val="1"/>
          <w:numId w:val="21"/>
        </w:numPr>
        <w:ind w:left="0"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Настоящий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 составлен в письменной форме на русском языке в 2 (двух) экземплярах, каждый из которых, после урегулирования всех разногласий по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оговору и подписания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оговора обеими сторонами, имеет одинаковую юридическую силу.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Договор, переданный средствами факсимильной связи/электронной связи, имеет юридическую силу, в случае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если оригинал Договора на бумажном носителе, полученный Поставщиком почтовым отправлением/курьерской доставкой от Покупателя, будет возвращен Поставщиком почтовым отправлением/курьерской доставкой в течение 3 (трех) рабочих дней с даты получения договора.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Положения настоящего пункта стороны признают существенным условием Договора.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случае невыполнения или ненадлежащего выполнения Поставщиком обязательств, предусмотренных настоящим пунктом, Покупатель вправе отказаться от договора в соответствии со ст. 450.1. ГК РФ.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</w:pPr>
      <w:r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  <w:t xml:space="preserve">В случае заключения договора в электронной форме пункт 4.10. излагается:</w:t>
      </w:r>
      <w:r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</w:r>
      <w:r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</w:r>
    </w:p>
    <w:p>
      <w:pPr>
        <w:ind w:firstLine="284"/>
        <w:jc w:val="both"/>
        <w:spacing w:after="0" w:line="250" w:lineRule="exact"/>
        <w:shd w:val="clear" w:color="auto" w:fill="ffffff"/>
        <w:widowControl w:val="off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14.10.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Настоящий Договор подписан уполномоченными представителями сторон с использованием усиленной квалифицированной электронной подписи в систем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е электронного документооборота «Контур.Диадок». Оригинал настоящего Договора в виде одного или нескольких электронных документов хранится на сервере системы Контур.Диадок https://www.diadoc.ru/ с возможностью доступа к электронному документу обеих Сторон.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shd w:val="clear" w:color="auto" w:fill="ffffff"/>
        <w:widowControl w:val="off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</w:pPr>
      <w:r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  <w:t xml:space="preserve">В случае заключения договора по результатам закупочных процедур с контрагентом, являющимся субъектом малого и среднего предпринимательства, пункт 14.1</w:t>
      </w:r>
      <w:r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  <w:t xml:space="preserve">0</w:t>
      </w:r>
      <w:r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  <w:t xml:space="preserve"> излагается:</w:t>
      </w:r>
      <w:r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</w:r>
      <w:r>
        <w:rPr>
          <w:rFonts w:ascii="Liberation Serif" w:hAnsi="Liberation Serif" w:eastAsia="Times New Roman" w:cs="Liberation Serif"/>
          <w:i/>
          <w:color w:val="ff0000"/>
          <w:sz w:val="16"/>
          <w:szCs w:val="16"/>
          <w:lang w:eastAsia="ru-RU"/>
        </w:rPr>
      </w:r>
    </w:p>
    <w:p>
      <w:pPr>
        <w:pStyle w:val="960"/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left" w:pos="851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14.10.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Настоящий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оговор подписан уполномоченными представителями сторон с использованием усиленной квалифицированной электронной подписи (далее – ЭП) на электронной торговой площадке___________, адрес в сети интернет _____________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_ (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далее – ЭТП) на следующих условиях: 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pStyle w:val="960"/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left" w:pos="851" w:leader="none"/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14.10.1.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настоящий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оговор, подписанный с использованием вышеуказанной ЭП, признается электронным документом, равнозначным документу на бумажном носителе, подписанному собственноручной подписью уполномоченного представителя стороны по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оговору;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pStyle w:val="960"/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left" w:pos="851" w:leader="none"/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14.10.2.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в случае оспаривания любой из сторон действительности ЭП, такая ЭП признается действительной до тех пор, пока решением суда, вступившим в законную силу, не будет установлено иное;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pStyle w:val="960"/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left" w:pos="851" w:leader="none"/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14.10.3.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в случае подписания настоящего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оговора с использованием ЭП экземпляр настоящего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оговора в виде одного электронного документа или в виде нескольких электронных документов хранится на электронной торговой площадке, указанной в п.1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4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1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0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., с возможностью доступа к электронному документу каждой из сторон;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pStyle w:val="960"/>
        <w:numPr>
          <w:ilvl w:val="2"/>
          <w:numId w:val="43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left" w:pos="851" w:leader="none"/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стороны прямо договорились, что заключение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оговора в виде электронного документа с использованием ЭП не является препятствием для подписания дополнительных соглашений к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оговору на бумажном носителе собственноручными подписями уполномоченных представителей сторон;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pStyle w:val="960"/>
        <w:numPr>
          <w:ilvl w:val="2"/>
          <w:numId w:val="43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left" w:pos="851" w:leader="none"/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стороны самостоятельно обеспечивают и несут ответственность за надлежащее использование уполномоченными лицами ЭП в соответствии с Федеральным законом от 06.04.2011 №63-ФЗ «Об электронной подписи»;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pStyle w:val="960"/>
        <w:numPr>
          <w:ilvl w:val="2"/>
          <w:numId w:val="43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left" w:pos="851" w:leader="none"/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при использовании ЭП стороны обязаны принимать необходимые организационные и технические меры обеспечения безопасности для недопущения нарушений конфиденциальности ключа ЭП (компрометации ключа ЭП),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в том числе (включая, но не ограничиваясь): использовать специализированные программные и программно-аппаратные средства защиты информации, средства антивирусной защиты, лицензионное программное обеспечение, не допускать к компьютерам посторонних лиц, обес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печивать надежность хранения ключей ЭП, имен и паролей, используемых при работе с ними, соблюдать иные требования, установленные законодательством РФ, а также документами, регламентирующими вопросы обеспечения информационной безопасности при работе на ЭТП;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pStyle w:val="960"/>
        <w:numPr>
          <w:ilvl w:val="2"/>
          <w:numId w:val="43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left" w:pos="851" w:leader="none"/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каждая из сторон обязана письменно уведомить другую сторону о нарушении конфиденциальности ключа ЭП (компрометации ключа ЭП), в течение не более чем одного рабочего дня со дня получения информации о таком нарушении;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pStyle w:val="960"/>
        <w:numPr>
          <w:ilvl w:val="2"/>
          <w:numId w:val="43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left" w:pos="851" w:leader="none"/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использование ЭП, владельцем которой является уполномоченное лицо стороны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оговора, с нарушением конфиденциальности соответствующего ключа (компрометации ключа ЭП) не освобождает сторону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оговора от ответственности за неблагоприятные последствия, наступившие в результате такого использования;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pStyle w:val="960"/>
        <w:numPr>
          <w:ilvl w:val="2"/>
          <w:numId w:val="43"/>
        </w:numPr>
        <w:ind w:left="0" w:firstLine="284"/>
        <w:jc w:val="both"/>
        <w:spacing w:after="0" w:line="240" w:lineRule="auto"/>
        <w:shd w:val="clear" w:color="auto" w:fill="ffffff"/>
        <w:widowControl w:val="off"/>
        <w:tabs>
          <w:tab w:val="left" w:pos="851" w:leader="none"/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сторона несет ответственность за ущерб, возникший у другой стороны вследствие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использования ЭП, владельцем которой являются уполномоченные лица первой стороны, неуполномоченными лицами, вследствие несоблюдения первой стороной мер обеспечения безопасности для недопущения нарушений конфиденциальности ключа ЭП (компрометации ключа ЭП).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pStyle w:val="960"/>
        <w:numPr>
          <w:ilvl w:val="1"/>
          <w:numId w:val="43"/>
        </w:numPr>
        <w:ind w:left="993" w:hanging="709"/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Приложениями и неотъемлемой частью настоящего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оговора являются: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pStyle w:val="960"/>
        <w:numPr>
          <w:ilvl w:val="2"/>
          <w:numId w:val="44"/>
        </w:numPr>
        <w:ind w:left="0" w:firstLine="284"/>
        <w:jc w:val="both"/>
        <w:spacing w:after="0" w:line="240" w:lineRule="auto"/>
        <w:widowControl w:val="off"/>
        <w:tabs>
          <w:tab w:val="left" w:pos="426" w:leader="none"/>
          <w:tab w:val="left" w:pos="851" w:leader="none"/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Приложение № 1. Спецификация (по форме Приложения №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1.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1)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;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pStyle w:val="960"/>
        <w:numPr>
          <w:ilvl w:val="2"/>
          <w:numId w:val="44"/>
        </w:numPr>
        <w:ind w:left="0" w:firstLine="284"/>
        <w:jc w:val="both"/>
        <w:spacing w:after="0" w:line="240" w:lineRule="auto"/>
        <w:widowControl w:val="off"/>
        <w:tabs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Приложение №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__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. Форма по раскрытию информации в отношении всей цепочки собственников, включая бенефициаров (в том числе, конечных);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pStyle w:val="960"/>
        <w:numPr>
          <w:ilvl w:val="2"/>
          <w:numId w:val="44"/>
        </w:numPr>
        <w:ind w:left="0" w:firstLine="284"/>
        <w:jc w:val="both"/>
        <w:spacing w:after="0" w:line="240" w:lineRule="auto"/>
        <w:widowControl w:val="off"/>
        <w:tabs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Приложение №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__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.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Форма Заявки на пост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а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вку То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в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ара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;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pStyle w:val="960"/>
        <w:numPr>
          <w:ilvl w:val="2"/>
          <w:numId w:val="44"/>
        </w:numPr>
        <w:ind w:left="0" w:firstLine="284"/>
        <w:jc w:val="both"/>
        <w:spacing w:after="0" w:line="240" w:lineRule="auto"/>
        <w:widowControl w:val="off"/>
        <w:tabs>
          <w:tab w:val="left" w:pos="993" w:leader="none"/>
        </w:tabs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Приложение №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__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. Соглашение об электронном документообороте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;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widowControl w:val="off"/>
        <w:tabs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center"/>
        <w:spacing w:before="108" w:after="108" w:line="240" w:lineRule="auto"/>
        <w:tabs>
          <w:tab w:val="num" w:pos="426" w:leader="none"/>
        </w:tabs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  <w:outlineLvl w:val="0"/>
      </w:pPr>
      <w:r/>
      <w:bookmarkStart w:id="16" w:name="_Toc109046801"/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  <w:t xml:space="preserve">1</w:t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  <w:t xml:space="preserve">5</w:t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  <w:tab/>
        <w:t xml:space="preserve">Адреса и реквизиты Сторон</w:t>
      </w:r>
      <w:bookmarkEnd w:id="16"/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r>
    </w:p>
    <w:p>
      <w:pPr>
        <w:jc w:val="right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tbl>
      <w:tblPr>
        <w:tblW w:w="10490" w:type="dxa"/>
        <w:tblLook w:val="0000" w:firstRow="0" w:lastRow="0" w:firstColumn="0" w:lastColumn="0" w:noHBand="0" w:noVBand="0"/>
      </w:tblPr>
      <w:tblGrid>
        <w:gridCol w:w="5245"/>
        <w:gridCol w:w="5245"/>
      </w:tblGrid>
      <w:tr>
        <w:tblPrEx/>
        <w:trPr>
          <w:trHeight w:val="540"/>
        </w:trPr>
        <w:tc>
          <w:tcPr>
            <w:tcW w:w="5245" w:type="dxa"/>
            <w:textDirection w:val="lrTb"/>
            <w:noWrap w:val="false"/>
          </w:tcPr>
          <w:p>
            <w:pPr>
              <w:jc w:val="center"/>
              <w:spacing w:after="12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Поставщик:</w:t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tcW w:w="5245" w:type="dxa"/>
            <w:textDirection w:val="lrTb"/>
            <w:noWrap w:val="false"/>
          </w:tcPr>
          <w:p>
            <w:pPr>
              <w:ind w:left="184"/>
              <w:jc w:val="center"/>
              <w:spacing w:after="12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Покупатель:</w:t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4197"/>
        </w:trPr>
        <w:tc>
          <w:tcPr>
            <w:tcW w:w="524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________ «___________________ »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______________________________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ОКПО ____________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Юр.адрес (индекс), __________________________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Почтовый адрес (индекс) ____________________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Телефон _________Факс ____________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val="en-US" w:eastAsia="ru-RU"/>
              </w:rPr>
              <w:t xml:space="preserve">e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-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val="en-US" w:eastAsia="ru-RU"/>
              </w:rPr>
              <w:t xml:space="preserve">mail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____________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ОГРН _____________________________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ИНН ________ КПП ________ (</w:t>
            </w:r>
            <w:r>
              <w:rPr>
                <w:rFonts w:ascii="Liberation Serif" w:hAnsi="Liberation Serif" w:eastAsia="Times New Roman" w:cs="Liberation Serif"/>
                <w:i/>
                <w:sz w:val="20"/>
                <w:szCs w:val="20"/>
                <w:lang w:eastAsia="ru-RU"/>
              </w:rPr>
              <w:t xml:space="preserve">для счетов-фактур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КПП ________________ (</w:t>
            </w:r>
            <w:r>
              <w:rPr>
                <w:rFonts w:ascii="Liberation Serif" w:hAnsi="Liberation Serif" w:eastAsia="Times New Roman" w:cs="Liberation Serif"/>
                <w:i/>
                <w:sz w:val="20"/>
                <w:szCs w:val="20"/>
                <w:lang w:eastAsia="ru-RU"/>
              </w:rPr>
              <w:t xml:space="preserve">для первичных документов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ОКПО ____________ </w:t>
            </w:r>
            <w:r>
              <w:rPr>
                <w:rFonts w:ascii="Liberation Serif" w:hAnsi="Liberation Serif" w:eastAsia="Times New Roman" w:cs="Liberation Serif"/>
                <w:i/>
                <w:sz w:val="20"/>
                <w:szCs w:val="20"/>
                <w:lang w:eastAsia="ru-RU"/>
              </w:rPr>
              <w:t xml:space="preserve">(филиала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ОКАТО _________ ОКОНХ ____________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Банковские реквизиты: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Р/с _________________ в __________________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К/с ________________ БИК ______________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tcW w:w="524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Акционерное общество «Томская генерация»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ОКПО ____________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Юр.адрес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: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634041, г. Томск, пр. Кирова, д. 36.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Почтовый адрес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: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634041, г. Томск, пр. Кирова, д. 36.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Телефон _________Факс ____________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val="en-US" w:eastAsia="ru-RU"/>
              </w:rPr>
              <w:t xml:space="preserve">e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-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val="en-US" w:eastAsia="ru-RU"/>
              </w:rPr>
              <w:t xml:space="preserve">mail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____________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ОГРН 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1155543012240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ИНН 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7017373959 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КПП 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701701001 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(</w:t>
            </w:r>
            <w:r>
              <w:rPr>
                <w:rFonts w:ascii="Liberation Serif" w:hAnsi="Liberation Serif" w:eastAsia="Times New Roman" w:cs="Liberation Serif"/>
                <w:i/>
                <w:sz w:val="20"/>
                <w:szCs w:val="20"/>
                <w:lang w:eastAsia="ru-RU"/>
              </w:rPr>
              <w:t xml:space="preserve">для счетов-фактур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КПП _____________ (</w:t>
            </w:r>
            <w:r>
              <w:rPr>
                <w:rFonts w:ascii="Liberation Serif" w:hAnsi="Liberation Serif" w:eastAsia="Times New Roman" w:cs="Liberation Serif"/>
                <w:i/>
                <w:sz w:val="20"/>
                <w:szCs w:val="20"/>
                <w:lang w:eastAsia="ru-RU"/>
              </w:rPr>
              <w:t xml:space="preserve">для первичных документов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Банковские реквизиты: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Р/с 40702810600000019748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Банк ГПБ (АО) 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кор. счет 30101810200000000823, 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БИК 044525823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624"/>
        </w:trPr>
        <w:tc>
          <w:tcPr>
            <w:tcW w:w="524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__________________/___________________/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М.П.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«___»_________20__г.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tcW w:w="524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______________________/___________________/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М.П.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«___»____________20___г.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</w:tbl>
    <w:p>
      <w:pPr>
        <w:jc w:val="right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jc w:val="right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jc w:val="right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jc w:val="right"/>
        <w:spacing w:after="120" w:line="240" w:lineRule="auto"/>
        <w:rPr>
          <w:rFonts w:ascii="Liberation Serif" w:hAnsi="Liberation Serif" w:eastAsia="Times New Roman" w:cs="Liberation Serif"/>
          <w:sz w:val="24"/>
          <w:szCs w:val="24"/>
          <w:lang w:eastAsia="ru-RU"/>
        </w:rPr>
        <w:sectPr>
          <w:footerReference w:type="default" r:id="rId9"/>
          <w:footnotePr/>
          <w:endnotePr/>
          <w:type w:val="nextPage"/>
          <w:pgSz w:w="11901" w:h="16840" w:orient="portrait"/>
          <w:pgMar w:top="851" w:right="561" w:bottom="851" w:left="851" w:header="709" w:footer="709" w:gutter="0"/>
          <w:pgNumType w:start="1"/>
          <w:cols w:num="1" w:sep="0" w:space="708" w:equalWidth="1"/>
          <w:docGrid w:linePitch="360"/>
          <w:titlePg/>
        </w:sectPr>
      </w:pP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</w: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</w:r>
      <w:r>
        <w:rPr>
          <w:rFonts w:ascii="Liberation Serif" w:hAnsi="Liberation Serif" w:eastAsia="Times New Roman" w:cs="Liberation Serif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Liberation Serif" w:hAnsi="Liberation Serif" w:eastAsia="Times New Roman" w:cs="Liberation Serif"/>
          <w:b/>
          <w:bCs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  <w:t xml:space="preserve">Приложение № </w:t>
      </w:r>
      <w:r>
        <w:rPr>
          <w:rFonts w:ascii="Liberation Serif" w:hAnsi="Liberation Serif" w:eastAsia="Times New Roman" w:cs="Liberation Serif"/>
          <w:b/>
          <w:bCs/>
          <w:i/>
          <w:sz w:val="20"/>
          <w:szCs w:val="20"/>
          <w:lang w:eastAsia="ru-RU"/>
        </w:rPr>
        <w:t xml:space="preserve">1</w:t>
      </w:r>
      <w:r>
        <w:rPr>
          <w:rFonts w:ascii="Liberation Serif" w:hAnsi="Liberation Serif" w:eastAsia="Times New Roman" w:cs="Liberation Serif"/>
          <w:b/>
          <w:bCs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bCs/>
          <w:i/>
          <w:sz w:val="20"/>
          <w:szCs w:val="20"/>
          <w:lang w:eastAsia="ru-RU"/>
        </w:rPr>
      </w:r>
    </w:p>
    <w:p>
      <w:pPr>
        <w:ind w:left="5940"/>
        <w:jc w:val="right"/>
        <w:spacing w:after="0" w:line="240" w:lineRule="auto"/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к Договору поставки № __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________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___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</w:p>
    <w:p>
      <w:pPr>
        <w:pStyle w:val="960"/>
        <w:ind w:left="0" w:firstLine="284"/>
        <w:jc w:val="center"/>
        <w:spacing w:after="0" w:line="240" w:lineRule="auto"/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СПЕЦИФИКАЦИЯ 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pStyle w:val="960"/>
        <w:ind w:left="0" w:firstLine="284"/>
        <w:jc w:val="center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на поставку____________________________</w:t>
      </w:r>
      <w:r>
        <w:rPr>
          <w:rFonts w:ascii="Liberation Serif" w:hAnsi="Liberation Serif" w:cs="Liberation Serif"/>
          <w:sz w:val="20"/>
          <w:szCs w:val="20"/>
        </w:rPr>
        <w:t xml:space="preserve"> 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jc w:val="center"/>
        <w:spacing w:after="0" w:line="240" w:lineRule="auto"/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tbl>
      <w:tblPr>
        <w:tblW w:w="145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6"/>
        <w:gridCol w:w="1613"/>
        <w:gridCol w:w="584"/>
        <w:gridCol w:w="918"/>
        <w:gridCol w:w="1036"/>
        <w:gridCol w:w="842"/>
        <w:gridCol w:w="441"/>
        <w:gridCol w:w="441"/>
        <w:gridCol w:w="444"/>
        <w:gridCol w:w="441"/>
        <w:gridCol w:w="520"/>
        <w:gridCol w:w="520"/>
        <w:gridCol w:w="441"/>
        <w:gridCol w:w="520"/>
        <w:gridCol w:w="441"/>
        <w:gridCol w:w="441"/>
        <w:gridCol w:w="475"/>
        <w:gridCol w:w="455"/>
        <w:gridCol w:w="1754"/>
        <w:gridCol w:w="1754"/>
      </w:tblGrid>
      <w:tr>
        <w:tblPrEx/>
        <w:trPr>
          <w:trHeight w:val="300"/>
        </w:trPr>
        <w:tc>
          <w:tcPr>
            <w:shd w:val="clear" w:color="auto" w:fill="auto"/>
            <w:tcW w:w="466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№ п/п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1613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i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Наименование Товара (</w:t>
            </w:r>
            <w:r>
              <w:rPr>
                <w:rFonts w:ascii="Liberation Serif" w:hAnsi="Liberation Serif" w:eastAsia="Times New Roman" w:cs="Liberation Serif"/>
                <w:bCs/>
                <w:i/>
                <w:sz w:val="18"/>
                <w:szCs w:val="18"/>
                <w:lang w:eastAsia="ru-RU"/>
              </w:rPr>
              <w:t xml:space="preserve">запчастей, этапов поставки, партий)</w:t>
            </w:r>
            <w:r>
              <w:rPr>
                <w:rFonts w:ascii="Liberation Serif" w:hAnsi="Liberation Serif" w:eastAsia="Times New Roman" w:cs="Liberation Serif"/>
                <w:bCs/>
                <w:i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i/>
                <w:sz w:val="18"/>
                <w:szCs w:val="18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i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i/>
                <w:sz w:val="18"/>
                <w:szCs w:val="18"/>
                <w:lang w:eastAsia="ru-RU"/>
              </w:rPr>
              <w:t xml:space="preserve">(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технические характеристики, ГОСТ, ТУ, год выпуска)</w:t>
            </w:r>
            <w:r>
              <w:rPr>
                <w:rFonts w:ascii="Liberation Serif" w:hAnsi="Liberation Serif" w:eastAsia="Times New Roman" w:cs="Liberation Serif"/>
                <w:bCs/>
                <w:i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i/>
                <w:sz w:val="18"/>
                <w:szCs w:val="18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58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Ед. Изм.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918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Кол-во (итого за год)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1036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Цена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За единицу Товара, (руб.), 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br/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без НДС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842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Сумма Товара (руб.),  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6"/>
                <w:szCs w:val="16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без НДС</w:t>
            </w:r>
            <w:r>
              <w:rPr>
                <w:rFonts w:ascii="Liberation Serif" w:hAnsi="Liberation Serif" w:eastAsia="Times New Roman" w:cs="Liberation Serif"/>
                <w:bCs/>
                <w:sz w:val="16"/>
                <w:szCs w:val="16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6"/>
                <w:szCs w:val="16"/>
                <w:lang w:eastAsia="ru-RU"/>
              </w:rPr>
            </w:r>
          </w:p>
        </w:tc>
        <w:tc>
          <w:tcPr>
            <w:gridSpan w:val="12"/>
            <w:shd w:val="clear" w:color="auto" w:fill="auto"/>
            <w:tcW w:w="558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Сроки поставки в 20____ году 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175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Наименование производителя (</w:t>
            </w:r>
            <w:r>
              <w:rPr>
                <w:rFonts w:ascii="Liberation Serif" w:hAnsi="Liberation Serif" w:eastAsia="Times New Roman" w:cs="Liberation Serif"/>
                <w:bCs/>
                <w:i/>
                <w:sz w:val="18"/>
                <w:szCs w:val="18"/>
                <w:lang w:eastAsia="ru-RU"/>
              </w:rPr>
              <w:t xml:space="preserve">включается по требованию Покупателя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), страны производителя Товара 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1754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Грузополучатель - 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Структурное подразделение Покупателя, адрес места нахождения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 склада Покупателя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  <w:p>
            <w:pPr>
              <w:pStyle w:val="960"/>
              <w:ind w:left="0" w:hanging="6"/>
              <w:spacing w:after="0" w:line="240" w:lineRule="auto"/>
              <w:rPr>
                <w:rFonts w:ascii="Liberation Serif" w:hAnsi="Liberation Serif" w:cs="Liberation Serif"/>
                <w:i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(</w:t>
            </w:r>
            <w:r>
              <w:rPr>
                <w:rFonts w:ascii="Liberation Serif" w:hAnsi="Liberation Serif" w:eastAsia="Times New Roman" w:cs="Liberation Serif"/>
                <w:bCs/>
                <w:i/>
                <w:sz w:val="18"/>
                <w:szCs w:val="18"/>
                <w:lang w:eastAsia="ru-RU"/>
              </w:rPr>
              <w:t xml:space="preserve">указывается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  <w:t xml:space="preserve">для поставки материалов постоянного потребления (МПП) первой группы критичности)</w:t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i/>
                <w:sz w:val="20"/>
                <w:szCs w:val="20"/>
              </w:rPr>
            </w:r>
          </w:p>
        </w:tc>
      </w:tr>
      <w:tr>
        <w:tblPrEx/>
        <w:trPr>
          <w:trHeight w:val="958"/>
        </w:trPr>
        <w:tc>
          <w:tcPr>
            <w:shd w:val="clear" w:color="auto" w:fill="auto"/>
            <w:tcW w:w="466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1613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584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918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1036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842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6"/>
                <w:szCs w:val="16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6"/>
                <w:szCs w:val="16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6"/>
                <w:szCs w:val="16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btLr"/>
            <w:noWrap w:val="false"/>
          </w:tcPr>
          <w:p>
            <w:pPr>
              <w:ind w:hanging="13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   январь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btLr"/>
            <w:noWrap w:val="false"/>
          </w:tcPr>
          <w:p>
            <w:pPr>
              <w:ind w:hanging="13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   февраль 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444" w:type="dxa"/>
            <w:textDirection w:val="btLr"/>
            <w:noWrap w:val="false"/>
          </w:tcPr>
          <w:p>
            <w:pPr>
              <w:ind w:hanging="13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   март 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btLr"/>
            <w:noWrap w:val="false"/>
          </w:tcPr>
          <w:p>
            <w:pPr>
              <w:ind w:hanging="13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   апрель 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btLr"/>
            <w:noWrap w:val="false"/>
          </w:tcPr>
          <w:p>
            <w:pPr>
              <w:ind w:hanging="13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   май 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btLr"/>
            <w:noWrap w:val="false"/>
          </w:tcPr>
          <w:p>
            <w:pPr>
              <w:ind w:hanging="13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   июнь 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btLr"/>
            <w:noWrap w:val="false"/>
          </w:tcPr>
          <w:p>
            <w:pPr>
              <w:ind w:hanging="13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   июль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btLr"/>
            <w:noWrap w:val="false"/>
          </w:tcPr>
          <w:p>
            <w:pPr>
              <w:ind w:hanging="13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   август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btLr"/>
            <w:noWrap w:val="false"/>
          </w:tcPr>
          <w:p>
            <w:pPr>
              <w:ind w:hanging="13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   сентябрь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btLr"/>
            <w:noWrap w:val="false"/>
          </w:tcPr>
          <w:p>
            <w:pPr>
              <w:ind w:hanging="13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   октябрь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475" w:type="dxa"/>
            <w:textDirection w:val="btLr"/>
            <w:noWrap w:val="false"/>
          </w:tcPr>
          <w:p>
            <w:pPr>
              <w:ind w:hanging="13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   ноябрь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455" w:type="dxa"/>
            <w:textDirection w:val="btLr"/>
            <w:noWrap w:val="false"/>
          </w:tcPr>
          <w:p>
            <w:pPr>
              <w:ind w:hanging="13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  <w:t xml:space="preserve">   декабрь</w:t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1754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1754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18"/>
                <w:szCs w:val="18"/>
                <w:lang w:eastAsia="ru-RU"/>
              </w:rPr>
            </w:r>
          </w:p>
        </w:tc>
      </w:tr>
      <w:tr>
        <w:tblPrEx/>
        <w:trPr>
          <w:trHeight w:val="244"/>
        </w:trPr>
        <w:tc>
          <w:tcPr>
            <w:shd w:val="clear" w:color="auto" w:fill="auto"/>
            <w:tcW w:w="46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61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918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03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84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7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7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7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163"/>
        </w:trPr>
        <w:tc>
          <w:tcPr>
            <w:shd w:val="clear" w:color="auto" w:fill="auto"/>
            <w:tcBorders>
              <w:bottom w:val="single" w:color="auto" w:sz="4" w:space="0"/>
            </w:tcBorders>
            <w:tcW w:w="46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61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918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03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84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7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7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7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203"/>
        </w:trPr>
        <w:tc>
          <w:tcPr>
            <w:shd w:val="clear" w:color="auto" w:fill="auto"/>
            <w:tcBorders>
              <w:right w:val="none" w:color="000000" w:sz="4" w:space="0"/>
            </w:tcBorders>
            <w:tcW w:w="46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gridSpan w:val="4"/>
            <w:shd w:val="clear" w:color="auto" w:fill="auto"/>
            <w:tcBorders>
              <w:left w:val="none" w:color="000000" w:sz="4" w:space="0"/>
            </w:tcBorders>
            <w:tcW w:w="415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ИТОГО по договору без НДС: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84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7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7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7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279"/>
        </w:trPr>
        <w:tc>
          <w:tcPr>
            <w:shd w:val="clear" w:color="auto" w:fill="auto"/>
            <w:tcBorders>
              <w:right w:val="none" w:color="000000" w:sz="4" w:space="0"/>
            </w:tcBorders>
            <w:tcW w:w="46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gridSpan w:val="4"/>
            <w:shd w:val="clear" w:color="auto" w:fill="auto"/>
            <w:tcBorders>
              <w:left w:val="none" w:color="000000" w:sz="4" w:space="0"/>
            </w:tcBorders>
            <w:tcW w:w="415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i/>
                <w:sz w:val="20"/>
                <w:szCs w:val="20"/>
                <w:lang w:eastAsia="ru-RU"/>
              </w:rPr>
              <w:t xml:space="preserve">Кроме того,</w:t>
            </w:r>
            <w:r>
              <w:rPr>
                <w:rFonts w:ascii="Liberation Serif" w:hAnsi="Liberation Serif" w:eastAsia="Times New Roman" w:cs="Liberation Serif"/>
                <w:b/>
                <w:i/>
                <w:sz w:val="20"/>
                <w:szCs w:val="20"/>
                <w:lang w:eastAsia="ru-RU"/>
              </w:rPr>
              <w:t xml:space="preserve"> НДС __ %: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84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7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7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7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269"/>
        </w:trPr>
        <w:tc>
          <w:tcPr>
            <w:shd w:val="clear" w:color="auto" w:fill="auto"/>
            <w:tcBorders>
              <w:right w:val="none" w:color="000000" w:sz="4" w:space="0"/>
            </w:tcBorders>
            <w:tcW w:w="46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gridSpan w:val="4"/>
            <w:shd w:val="clear" w:color="auto" w:fill="auto"/>
            <w:tcBorders>
              <w:left w:val="none" w:color="000000" w:sz="4" w:space="0"/>
            </w:tcBorders>
            <w:tcW w:w="415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ИТОГО по договору с НДС: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8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20" w:type="dxa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7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5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7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7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0"/>
                <w:szCs w:val="20"/>
                <w:lang w:eastAsia="ru-RU"/>
              </w:rPr>
            </w:r>
          </w:p>
        </w:tc>
      </w:tr>
    </w:tbl>
    <w:p>
      <w:pPr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contextualSpacing/>
        <w:ind w:firstLine="284"/>
        <w:jc w:val="both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sz w:val="20"/>
          <w:szCs w:val="20"/>
        </w:rPr>
        <w:t xml:space="preserve">Способ доставки Товара: ______________________________ транспортом и/или иным согласованным сторонами способом до склада Покупателя.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ind w:left="567"/>
        <w:jc w:val="both"/>
        <w:spacing w:after="0" w:line="240" w:lineRule="auto"/>
        <w:widowControl w:val="off"/>
        <w:tabs>
          <w:tab w:val="num" w:pos="144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left="567"/>
        <w:jc w:val="both"/>
        <w:spacing w:after="0" w:line="240" w:lineRule="auto"/>
        <w:widowControl w:val="off"/>
        <w:tabs>
          <w:tab w:val="num" w:pos="1440" w:leader="none"/>
        </w:tabs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tbl>
      <w:tblPr>
        <w:tblpPr w:horzAnchor="margin" w:tblpXSpec="left" w:vertAnchor="text" w:tblpY="106" w:leftFromText="180" w:topFromText="0" w:rightFromText="180" w:bottomFromText="0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7093"/>
        <w:gridCol w:w="7093"/>
      </w:tblGrid>
      <w:tr>
        <w:tblPrEx/>
        <w:trPr>
          <w:trHeight w:val="245"/>
        </w:trPr>
        <w:tc>
          <w:tcPr>
            <w:shd w:val="clear" w:color="auto" w:fill="auto"/>
            <w:tcW w:w="7093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От 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Поставщика: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7093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От 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По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купателя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: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400"/>
        </w:trPr>
        <w:tc>
          <w:tcPr>
            <w:shd w:val="clear" w:color="auto" w:fill="auto"/>
            <w:tcW w:w="70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7093" w:type="dxa"/>
            <w:vAlign w:val="bottom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r>
          </w:p>
        </w:tc>
      </w:tr>
    </w:tbl>
    <w:p>
      <w:pPr>
        <w:jc w:val="both"/>
        <w:spacing w:after="0" w:line="240" w:lineRule="auto"/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spacing w:after="0" w:line="240" w:lineRule="auto"/>
        <w:rPr>
          <w:rFonts w:ascii="Liberation Serif" w:hAnsi="Liberation Serif" w:eastAsia="Times New Roman" w:cs="Liberation Serif"/>
          <w:b/>
          <w:sz w:val="24"/>
          <w:szCs w:val="24"/>
          <w:lang w:eastAsia="ru-RU"/>
        </w:rPr>
        <w:sectPr>
          <w:footnotePr/>
          <w:endnotePr/>
          <w:type w:val="nextPage"/>
          <w:pgSz w:w="16840" w:h="11901" w:orient="landscape"/>
          <w:pgMar w:top="851" w:right="567" w:bottom="851" w:left="1418" w:header="709" w:footer="709" w:gutter="0"/>
          <w:cols w:num="1" w:sep="0" w:space="708" w:equalWidth="1"/>
          <w:docGrid w:linePitch="360"/>
          <w:titlePg/>
        </w:sectPr>
      </w:pPr>
      <w:r>
        <w:rPr>
          <w:rFonts w:ascii="Liberation Serif" w:hAnsi="Liberation Serif" w:eastAsia="Times New Roman" w:cs="Liberation Serif"/>
          <w:b/>
          <w:sz w:val="24"/>
          <w:szCs w:val="24"/>
          <w:lang w:eastAsia="ru-RU"/>
        </w:rPr>
      </w:r>
      <w:r>
        <w:rPr>
          <w:rFonts w:ascii="Liberation Serif" w:hAnsi="Liberation Serif" w:eastAsia="Times New Roman" w:cs="Liberation Serif"/>
          <w:b/>
          <w:sz w:val="24"/>
          <w:szCs w:val="24"/>
          <w:lang w:eastAsia="ru-RU"/>
        </w:rPr>
      </w:r>
      <w:r>
        <w:rPr>
          <w:rFonts w:ascii="Liberation Serif" w:hAnsi="Liberation Serif" w:eastAsia="Times New Roman" w:cs="Liberation Serif"/>
          <w:b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Приложение № 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__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ind w:left="5940"/>
        <w:jc w:val="right"/>
        <w:spacing w:after="0" w:line="240" w:lineRule="auto"/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к Договору поставки № _____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</w:r>
    </w:p>
    <w:p>
      <w:pPr>
        <w:jc w:val="center"/>
        <w:spacing w:after="0" w:line="240" w:lineRule="auto"/>
        <w:tabs>
          <w:tab w:val="center" w:pos="4677" w:leader="none"/>
          <w:tab w:val="right" w:pos="9355" w:leader="none"/>
        </w:tabs>
        <w:rPr>
          <w:rFonts w:ascii="Liberation Serif" w:hAnsi="Liberation Serif" w:eastAsia="Times New Roman" w:cs="Liberation Serif"/>
          <w:b/>
          <w:sz w:val="20"/>
          <w:szCs w:val="20"/>
        </w:rPr>
      </w:pPr>
      <w:r>
        <w:rPr>
          <w:rFonts w:ascii="Liberation Serif" w:hAnsi="Liberation Serif" w:eastAsia="Times New Roman" w:cs="Liberation Serif"/>
          <w:b/>
          <w:sz w:val="20"/>
          <w:szCs w:val="20"/>
        </w:rPr>
        <w:t xml:space="preserve">Форма по раскрытию информации в отношении всей цепочки собственников,</w:t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</w:p>
    <w:p>
      <w:pPr>
        <w:jc w:val="center"/>
        <w:spacing w:after="0" w:line="240" w:lineRule="auto"/>
        <w:tabs>
          <w:tab w:val="center" w:pos="4677" w:leader="none"/>
          <w:tab w:val="right" w:pos="9355" w:leader="none"/>
        </w:tabs>
        <w:rPr>
          <w:rFonts w:ascii="Liberation Serif" w:hAnsi="Liberation Serif" w:eastAsia="Times New Roman" w:cs="Liberation Serif"/>
          <w:b/>
          <w:sz w:val="20"/>
          <w:szCs w:val="20"/>
        </w:rPr>
      </w:pPr>
      <w:r>
        <w:rPr>
          <w:rFonts w:ascii="Liberation Serif" w:hAnsi="Liberation Serif" w:eastAsia="Times New Roman" w:cs="Liberation Serif"/>
          <w:b/>
          <w:sz w:val="20"/>
          <w:szCs w:val="20"/>
        </w:rPr>
        <w:t xml:space="preserve">включая бенефициаров (в том числе, конечных)</w:t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</w:p>
    <w:p>
      <w:pPr>
        <w:jc w:val="center"/>
        <w:spacing w:after="0" w:line="240" w:lineRule="auto"/>
        <w:tabs>
          <w:tab w:val="center" w:pos="4677" w:leader="none"/>
          <w:tab w:val="right" w:pos="9355" w:leader="none"/>
        </w:tabs>
        <w:rPr>
          <w:rFonts w:ascii="Liberation Serif" w:hAnsi="Liberation Serif" w:eastAsia="Times New Roman" w:cs="Liberation Serif"/>
          <w:i/>
          <w:sz w:val="20"/>
          <w:szCs w:val="20"/>
        </w:rPr>
      </w:pPr>
      <w:r>
        <w:rPr>
          <w:rFonts w:ascii="Liberation Serif" w:hAnsi="Liberation Serif" w:eastAsia="Times New Roman" w:cs="Liberation Serif"/>
          <w:i/>
          <w:sz w:val="20"/>
          <w:szCs w:val="20"/>
        </w:rPr>
        <w:t xml:space="preserve">Организационно-правовая форма (полностью) «Наименование контрагента»</w:t>
      </w:r>
      <w:r>
        <w:rPr>
          <w:rFonts w:ascii="Liberation Serif" w:hAnsi="Liberation Serif" w:eastAsia="Times New Roman" w:cs="Liberation Serif"/>
          <w:i/>
          <w:sz w:val="20"/>
          <w:szCs w:val="20"/>
        </w:rPr>
      </w:r>
      <w:r>
        <w:rPr>
          <w:rFonts w:ascii="Liberation Serif" w:hAnsi="Liberation Serif" w:eastAsia="Times New Roman" w:cs="Liberation Serif"/>
          <w:i/>
          <w:sz w:val="20"/>
          <w:szCs w:val="20"/>
        </w:rPr>
      </w:r>
    </w:p>
    <w:p>
      <w:pPr>
        <w:jc w:val="right"/>
        <w:spacing w:before="120" w:after="0" w:line="240" w:lineRule="auto"/>
        <w:tabs>
          <w:tab w:val="center" w:pos="4677" w:leader="none"/>
          <w:tab w:val="right" w:pos="9355" w:leader="none"/>
        </w:tabs>
        <w:rPr>
          <w:rFonts w:ascii="Liberation Serif" w:hAnsi="Liberation Serif" w:eastAsia="Times New Roman" w:cs="Liberation Serif"/>
          <w:i/>
          <w:sz w:val="20"/>
          <w:szCs w:val="20"/>
        </w:rPr>
      </w:pPr>
      <w:r>
        <w:rPr>
          <w:rFonts w:ascii="Liberation Serif" w:hAnsi="Liberation Serif" w:eastAsia="Times New Roman" w:cs="Liberation Serif"/>
          <w:i/>
          <w:sz w:val="20"/>
          <w:szCs w:val="20"/>
        </w:rPr>
        <w:t xml:space="preserve">Дата заполнения число / месяц/ год</w:t>
      </w:r>
      <w:r>
        <w:rPr>
          <w:rFonts w:ascii="Liberation Serif" w:hAnsi="Liberation Serif" w:eastAsia="Times New Roman" w:cs="Liberation Serif"/>
          <w:i/>
          <w:sz w:val="20"/>
          <w:szCs w:val="20"/>
        </w:rPr>
      </w:r>
      <w:r>
        <w:rPr>
          <w:rFonts w:ascii="Liberation Serif" w:hAnsi="Liberation Serif" w:eastAsia="Times New Roman" w:cs="Liberation Serif"/>
          <w:i/>
          <w:sz w:val="20"/>
          <w:szCs w:val="20"/>
        </w:rPr>
      </w:r>
    </w:p>
    <w:tbl>
      <w:tblPr>
        <w:tblpPr w:horzAnchor="margin" w:tblpXSpec="center" w:vertAnchor="text" w:tblpY="86" w:leftFromText="180" w:topFromText="0" w:rightFromText="180" w:bottomFromText="0"/>
        <w:tblW w:w="15315" w:type="dxa"/>
        <w:tblLayout w:type="fixed"/>
        <w:tblLook w:val="00A0" w:firstRow="1" w:lastRow="0" w:firstColumn="1" w:lastColumn="0" w:noHBand="0" w:noVBand="0"/>
      </w:tblPr>
      <w:tblGrid>
        <w:gridCol w:w="583"/>
        <w:gridCol w:w="887"/>
        <w:gridCol w:w="905"/>
        <w:gridCol w:w="1173"/>
        <w:gridCol w:w="1032"/>
        <w:gridCol w:w="952"/>
        <w:gridCol w:w="1418"/>
        <w:gridCol w:w="445"/>
        <w:gridCol w:w="752"/>
        <w:gridCol w:w="753"/>
        <w:gridCol w:w="957"/>
        <w:gridCol w:w="740"/>
        <w:gridCol w:w="1848"/>
        <w:gridCol w:w="1135"/>
        <w:gridCol w:w="1735"/>
      </w:tblGrid>
      <w:tr>
        <w:tblPrEx/>
        <w:trPr>
          <w:trHeight w:val="315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vMerge w:val="restart"/>
            <w:textDirection w:val="lrTb"/>
            <w:noWrap w:val="false"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№ п/п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  <w:tc>
          <w:tcPr>
            <w:gridSpan w:val="6"/>
            <w:shd w:val="clear" w:color="auto" w:fill="bfbfb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365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Наименование контрагента (ИНН, вид деятельности)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  <w:tc>
          <w:tcPr>
            <w:gridSpan w:val="8"/>
            <w:shd w:val="clear" w:color="auto" w:fill="bfbfb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63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Информация о цепочке собственников, включая </w:t>
            </w: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бенефициаров (</w:t>
            </w: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в том числе конечных)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</w:tr>
      <w:tr>
        <w:tblPrEx/>
        <w:trPr>
          <w:trHeight w:val="109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ИНН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ОГРН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Наименование краткое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Код ОКВЭД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Фамилия, Имя, Отчество руководителя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Серия и номер документа удостоверяющего личность руководителя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№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ИНН (при наличии)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ОГРН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Наименование / Ф.И.О.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Адрес регистрации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Серия и номер документа удостоверяющего личность руководителя (для физических лиц)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Руководитель/участник/бенефициар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Информация о подтверждающих документов (наименование, номера и </w:t>
            </w: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т.д.</w:t>
            </w:r>
            <w:r>
              <w:rPr>
                <w:rFonts w:ascii="Liberation Serif" w:hAnsi="Liberation Serif" w:eastAsia="Times New Roman" w:cs="Liberation Serif"/>
                <w:sz w:val="16"/>
                <w:szCs w:val="16"/>
                <w:lang w:eastAsia="ru-RU"/>
              </w:rPr>
              <w:t xml:space="preserve">)</w:t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16"/>
                <w:szCs w:val="16"/>
                <w:lang w:eastAsia="zh-TW"/>
              </w:rPr>
            </w:r>
          </w:p>
        </w:tc>
      </w:tr>
      <w:tr>
        <w:tblPrEx/>
        <w:trPr>
          <w:trHeight w:val="123"/>
        </w:trPr>
        <w:tc>
          <w:tcPr>
            <w:shd w:val="clear" w:color="auto" w:fill="bfbfb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i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i/>
                <w:sz w:val="16"/>
                <w:szCs w:val="16"/>
                <w:lang w:eastAsia="ru-RU"/>
              </w:rPr>
              <w:t xml:space="preserve">2</w:t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i/>
                <w:sz w:val="16"/>
                <w:szCs w:val="16"/>
                <w:lang w:eastAsia="ru-RU"/>
              </w:rPr>
              <w:t xml:space="preserve">3</w:t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i/>
                <w:sz w:val="16"/>
                <w:szCs w:val="16"/>
                <w:lang w:eastAsia="ru-RU"/>
              </w:rPr>
              <w:t xml:space="preserve">4</w:t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i/>
                <w:sz w:val="16"/>
                <w:szCs w:val="16"/>
                <w:lang w:eastAsia="ru-RU"/>
              </w:rPr>
              <w:t xml:space="preserve">5</w:t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i/>
                <w:sz w:val="16"/>
                <w:szCs w:val="16"/>
                <w:lang w:eastAsia="ru-RU"/>
              </w:rPr>
              <w:t xml:space="preserve">6</w:t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i/>
                <w:sz w:val="16"/>
                <w:szCs w:val="16"/>
                <w:lang w:eastAsia="ru-RU"/>
              </w:rPr>
              <w:t xml:space="preserve">7</w:t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i/>
                <w:sz w:val="16"/>
                <w:szCs w:val="16"/>
                <w:lang w:eastAsia="ru-RU"/>
              </w:rPr>
              <w:t xml:space="preserve">8</w:t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i/>
                <w:sz w:val="16"/>
                <w:szCs w:val="16"/>
                <w:lang w:eastAsia="ru-RU"/>
              </w:rPr>
              <w:t xml:space="preserve">9</w:t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i/>
                <w:sz w:val="16"/>
                <w:szCs w:val="16"/>
                <w:lang w:eastAsia="ru-RU"/>
              </w:rPr>
              <w:t xml:space="preserve">10</w:t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i/>
                <w:sz w:val="16"/>
                <w:szCs w:val="16"/>
                <w:lang w:eastAsia="ru-RU"/>
              </w:rPr>
              <w:t xml:space="preserve">11</w:t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i/>
                <w:sz w:val="16"/>
                <w:szCs w:val="16"/>
                <w:lang w:eastAsia="ru-RU"/>
              </w:rPr>
              <w:t xml:space="preserve">12</w:t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i/>
                <w:sz w:val="16"/>
                <w:szCs w:val="16"/>
                <w:lang w:eastAsia="ru-RU"/>
              </w:rPr>
              <w:t xml:space="preserve">13</w:t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i/>
                <w:sz w:val="16"/>
                <w:szCs w:val="16"/>
                <w:lang w:eastAsia="ru-RU"/>
              </w:rPr>
              <w:t xml:space="preserve">14</w:t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pPr>
            <w:r>
              <w:rPr>
                <w:rFonts w:ascii="Liberation Serif" w:hAnsi="Liberation Serif" w:eastAsia="Times New Roman" w:cs="Liberation Serif"/>
                <w:i/>
                <w:sz w:val="16"/>
                <w:szCs w:val="16"/>
                <w:lang w:eastAsia="ru-RU"/>
              </w:rPr>
              <w:t xml:space="preserve">15</w:t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  <w:r>
              <w:rPr>
                <w:rFonts w:ascii="Liberation Serif" w:hAnsi="Liberation Serif" w:eastAsia="PMingLiU" w:cs="Liberation Serif"/>
                <w:i/>
                <w:sz w:val="16"/>
                <w:szCs w:val="16"/>
                <w:lang w:eastAsia="zh-TW"/>
              </w:rPr>
            </w:r>
          </w:p>
        </w:tc>
      </w:tr>
      <w:tr>
        <w:tblPrEx/>
        <w:trPr>
          <w:trHeight w:val="227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7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5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</w:tr>
      <w:tr>
        <w:tblPrEx/>
        <w:trPr>
          <w:trHeight w:val="1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3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7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7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5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34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widowControl w:val="off"/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pP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  <w:r>
              <w:rPr>
                <w:rFonts w:ascii="Liberation Serif" w:hAnsi="Liberation Serif" w:eastAsia="PMingLiU" w:cs="Liberation Serif"/>
                <w:sz w:val="24"/>
                <w:szCs w:val="24"/>
                <w:lang w:eastAsia="zh-TW"/>
              </w:rPr>
            </w:r>
          </w:p>
        </w:tc>
      </w:tr>
    </w:tbl>
    <w:p>
      <w:pPr>
        <w:pStyle w:val="960"/>
        <w:numPr>
          <w:ilvl w:val="0"/>
          <w:numId w:val="48"/>
        </w:numPr>
        <w:ind w:right="-62"/>
        <w:spacing w:after="0" w:line="240" w:lineRule="auto"/>
        <w:tabs>
          <w:tab w:val="center" w:pos="284" w:leader="none"/>
          <w:tab w:val="right" w:pos="9355" w:leader="none"/>
        </w:tabs>
        <w:rPr>
          <w:rFonts w:ascii="Liberation Serif" w:hAnsi="Liberation Serif" w:eastAsia="PMingLiU" w:cs="Liberation Serif"/>
          <w:sz w:val="18"/>
          <w:szCs w:val="18"/>
        </w:rPr>
      </w:pPr>
      <w:r>
        <w:rPr>
          <w:rFonts w:ascii="Liberation Serif" w:hAnsi="Liberation Serif" w:eastAsia="Times New Roman" w:cs="Liberation Serif"/>
          <w:sz w:val="18"/>
          <w:szCs w:val="18"/>
        </w:rPr>
        <w:t xml:space="preserve">Поставщик гарантирует Покупателю, что сведения и документы в отношении всей цепочки собственников и руководителей, включая бенефициаров (в том числе конечных), передаваемые </w:t>
      </w:r>
      <w:r>
        <w:rPr>
          <w:rFonts w:ascii="Liberation Serif" w:hAnsi="Liberation Serif" w:eastAsia="Times New Roman" w:cs="Liberation Serif"/>
          <w:sz w:val="18"/>
          <w:szCs w:val="18"/>
        </w:rPr>
        <w:t xml:space="preserve">Покупателю, являются</w:t>
      </w:r>
      <w:r>
        <w:rPr>
          <w:rFonts w:ascii="Liberation Serif" w:hAnsi="Liberation Serif" w:eastAsia="Times New Roman" w:cs="Liberation Serif"/>
          <w:sz w:val="18"/>
          <w:szCs w:val="18"/>
        </w:rPr>
        <w:t xml:space="preserve"> полными, точными и достоверными.</w:t>
      </w:r>
      <w:r>
        <w:rPr>
          <w:rFonts w:ascii="Liberation Serif" w:hAnsi="Liberation Serif" w:eastAsia="PMingLiU" w:cs="Liberation Serif"/>
          <w:sz w:val="18"/>
          <w:szCs w:val="18"/>
        </w:rPr>
      </w:r>
      <w:r>
        <w:rPr>
          <w:rFonts w:ascii="Liberation Serif" w:hAnsi="Liberation Serif" w:eastAsia="PMingLiU" w:cs="Liberation Serif"/>
          <w:sz w:val="18"/>
          <w:szCs w:val="18"/>
        </w:rPr>
      </w:r>
    </w:p>
    <w:p>
      <w:pPr>
        <w:pStyle w:val="960"/>
        <w:numPr>
          <w:ilvl w:val="0"/>
          <w:numId w:val="48"/>
        </w:numPr>
        <w:ind w:right="-62"/>
        <w:spacing w:after="0" w:line="240" w:lineRule="auto"/>
        <w:tabs>
          <w:tab w:val="center" w:pos="284" w:leader="none"/>
          <w:tab w:val="right" w:pos="9355" w:leader="none"/>
        </w:tabs>
        <w:rPr>
          <w:rFonts w:ascii="Liberation Serif" w:hAnsi="Liberation Serif" w:eastAsia="Times New Roman" w:cs="Liberation Serif"/>
          <w:sz w:val="18"/>
          <w:szCs w:val="18"/>
          <w:highlight w:val="none"/>
        </w:rPr>
      </w:pPr>
      <w:r>
        <w:rPr>
          <w:rFonts w:ascii="Liberation Serif" w:hAnsi="Liberation Serif" w:eastAsia="Times New Roman" w:cs="Liberation Serif"/>
          <w:sz w:val="18"/>
          <w:szCs w:val="18"/>
        </w:rPr>
        <w:t xml:space="preserve">Поставщик настоящим выдает согласие и подтверждает получение им всех требуемых в соответствии с действующим законодательством</w:t>
      </w:r>
      <w:r>
        <w:rPr>
          <w:rFonts w:ascii="Liberation Serif" w:hAnsi="Liberation Serif" w:eastAsia="Times New Roman" w:cs="Liberation Serif"/>
          <w:sz w:val="18"/>
          <w:szCs w:val="18"/>
        </w:rPr>
        <w:t xml:space="preserve"> РФ (в том числе о коммерческой тайне и о персональных данных) согласий всех упомянутых в сведениях, заинтересованных или причастных к сведениям лиц на обработку, а также на раскрытие Покупателем полностью или частично предоставленных сведений компетентным</w:t>
      </w:r>
      <w:r>
        <w:rPr>
          <w:rFonts w:ascii="Liberation Serif" w:hAnsi="Liberation Serif" w:eastAsia="Times New Roman" w:cs="Liberation Serif"/>
          <w:sz w:val="18"/>
          <w:szCs w:val="18"/>
        </w:rPr>
        <w:t xml:space="preserve"> органам государственной власти (в том числе, но не ограничиваясь, Федеральной налоговой службе РФ, Минэнерго России, Росфинмониторингу, Правительству РФ) и последующую обработку сведений такими органами (далее - Раскрытие). Поставщик настоящим освобождает</w:t>
      </w:r>
      <w:r>
        <w:rPr>
          <w:rFonts w:ascii="Liberation Serif" w:hAnsi="Liberation Serif" w:eastAsia="Times New Roman" w:cs="Liberation Serif"/>
          <w:sz w:val="18"/>
          <w:szCs w:val="18"/>
        </w:rPr>
        <w:t xml:space="preserve"> Покупателя от любой ответственности в связи с Раскрытием, в том числе возмещает Покупателю убытки, понесенные в связи с предъявлением Покупателю претензий, исков и требований любыми третьими лицами, чьи права были или могли быть нарушены таким Раскрытием.</w:t>
      </w:r>
      <w:r>
        <w:rPr>
          <w:rFonts w:ascii="Liberation Serif" w:hAnsi="Liberation Serif" w:eastAsia="Times New Roman" w:cs="Liberation Serif"/>
          <w:sz w:val="18"/>
          <w:szCs w:val="18"/>
          <w:highlight w:val="none"/>
        </w:rPr>
      </w:r>
      <w:r>
        <w:rPr>
          <w:rFonts w:ascii="Liberation Serif" w:hAnsi="Liberation Serif" w:eastAsia="Times New Roman" w:cs="Liberation Serif"/>
          <w:sz w:val="18"/>
          <w:szCs w:val="18"/>
          <w:highlight w:val="none"/>
        </w:rPr>
      </w:r>
    </w:p>
    <w:p>
      <w:pPr>
        <w:ind w:left="283" w:right="-62"/>
        <w:spacing w:after="0" w:line="240" w:lineRule="auto"/>
        <w:tabs>
          <w:tab w:val="center" w:pos="284" w:leader="none"/>
          <w:tab w:val="right" w:pos="9355" w:leader="none"/>
        </w:tabs>
        <w:rPr>
          <w:rFonts w:ascii="Liberation Serif" w:hAnsi="Liberation Serif" w:eastAsia="Times New Roman" w:cs="Liberation Serif"/>
          <w:sz w:val="18"/>
          <w:szCs w:val="18"/>
        </w:rPr>
      </w:pPr>
      <w:r>
        <w:rPr>
          <w:rFonts w:ascii="Liberation Serif" w:hAnsi="Liberation Serif" w:eastAsia="Times New Roman" w:cs="Liberation Serif"/>
          <w:sz w:val="18"/>
          <w:szCs w:val="18"/>
        </w:rPr>
      </w:r>
      <w:r>
        <w:rPr>
          <w:rFonts w:ascii="Liberation Serif" w:hAnsi="Liberation Serif" w:eastAsia="Times New Roman" w:cs="Liberation Serif"/>
          <w:sz w:val="18"/>
          <w:szCs w:val="18"/>
        </w:rPr>
      </w:r>
      <w:r>
        <w:rPr>
          <w:rFonts w:ascii="Liberation Serif" w:hAnsi="Liberation Serif" w:eastAsia="Times New Roman" w:cs="Liberation Serif"/>
          <w:sz w:val="18"/>
          <w:szCs w:val="18"/>
        </w:rPr>
      </w:r>
    </w:p>
    <w:p>
      <w:pPr>
        <w:jc w:val="right"/>
        <w:spacing w:after="0" w:line="240" w:lineRule="auto"/>
        <w:tabs>
          <w:tab w:val="center" w:pos="4677" w:leader="none"/>
          <w:tab w:val="right" w:pos="9355" w:leader="none"/>
        </w:tabs>
        <w:rPr>
          <w:rFonts w:ascii="Liberation Serif" w:hAnsi="Liberation Serif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cs="Liberation Serif"/>
          <w:b/>
          <w:sz w:val="24"/>
          <w:szCs w:val="24"/>
          <w:lang w:eastAsia="ru-RU"/>
        </w:rPr>
        <w:t xml:space="preserve"> </w:t>
      </w:r>
      <w:r>
        <w:rPr>
          <w:rFonts w:ascii="Liberation Serif" w:hAnsi="Liberation Serif" w:cs="Liberation Serif"/>
          <w:b/>
          <w:sz w:val="20"/>
          <w:szCs w:val="20"/>
          <w:lang w:eastAsia="ru-RU"/>
        </w:rPr>
        <w:t xml:space="preserve">подпись уполномоченного лица организации</w:t>
      </w:r>
      <w:r>
        <w:rPr>
          <w:rFonts w:ascii="Liberation Serif" w:hAnsi="Liberation Serif" w:cs="Liberation Serif"/>
          <w:b/>
          <w:sz w:val="20"/>
          <w:szCs w:val="20"/>
          <w:lang w:eastAsia="ru-RU"/>
        </w:rPr>
      </w:r>
      <w:r>
        <w:rPr>
          <w:rFonts w:ascii="Liberation Serif" w:hAnsi="Liberation Serif" w:cs="Liberation Serif"/>
          <w:b/>
          <w:sz w:val="20"/>
          <w:szCs w:val="20"/>
          <w:lang w:eastAsia="ru-RU"/>
        </w:rPr>
      </w:r>
    </w:p>
    <w:p>
      <w:pPr>
        <w:jc w:val="right"/>
        <w:spacing w:after="0" w:line="240" w:lineRule="auto"/>
        <w:tabs>
          <w:tab w:val="center" w:pos="4677" w:leader="none"/>
          <w:tab w:val="right" w:pos="9355" w:leader="none"/>
        </w:tabs>
        <w:rPr>
          <w:rFonts w:ascii="Liberation Serif" w:hAnsi="Liberation Serif" w:cs="Liberation Serif"/>
          <w:b/>
          <w:sz w:val="24"/>
          <w:szCs w:val="20"/>
          <w:lang w:eastAsia="ru-RU"/>
        </w:rPr>
      </w:pPr>
      <w:r>
        <w:rPr>
          <w:rFonts w:ascii="Liberation Serif" w:hAnsi="Liberation Serif" w:cs="Liberation Serif"/>
          <w:b/>
          <w:sz w:val="24"/>
          <w:szCs w:val="20"/>
          <w:lang w:eastAsia="ru-RU"/>
        </w:rPr>
      </w:r>
      <w:r>
        <w:rPr>
          <w:rFonts w:ascii="Liberation Serif" w:hAnsi="Liberation Serif" w:cs="Liberation Serif"/>
          <w:b/>
          <w:sz w:val="24"/>
          <w:szCs w:val="20"/>
          <w:lang w:eastAsia="ru-RU"/>
        </w:rPr>
      </w:r>
      <w:r>
        <w:rPr>
          <w:rFonts w:ascii="Liberation Serif" w:hAnsi="Liberation Serif" w:cs="Liberation Serif"/>
          <w:b/>
          <w:sz w:val="24"/>
          <w:szCs w:val="20"/>
          <w:lang w:eastAsia="ru-RU"/>
        </w:rPr>
      </w:r>
    </w:p>
    <w:p>
      <w:pPr>
        <w:jc w:val="right"/>
        <w:spacing w:after="0" w:line="240" w:lineRule="auto"/>
        <w:tabs>
          <w:tab w:val="center" w:pos="4677" w:leader="none"/>
          <w:tab w:val="right" w:pos="9355" w:leader="none"/>
        </w:tabs>
        <w:rPr>
          <w:rFonts w:ascii="Liberation Serif" w:hAnsi="Liberation Serif" w:cs="Liberation Serif"/>
          <w:b/>
          <w:sz w:val="24"/>
          <w:szCs w:val="20"/>
          <w:lang w:eastAsia="ru-RU"/>
        </w:rPr>
      </w:pPr>
      <w:r>
        <w:rPr>
          <w:rFonts w:ascii="Liberation Serif" w:hAnsi="Liberation Serif" w:cs="Liberation Serif"/>
          <w:b/>
          <w:sz w:val="24"/>
          <w:szCs w:val="20"/>
          <w:lang w:eastAsia="ru-RU"/>
        </w:rPr>
      </w:r>
      <w:r>
        <w:rPr>
          <w:rFonts w:ascii="Liberation Serif" w:hAnsi="Liberation Serif" w:cs="Liberation Serif"/>
          <w:b/>
          <w:sz w:val="24"/>
          <w:szCs w:val="20"/>
          <w:lang w:eastAsia="ru-RU"/>
        </w:rPr>
      </w:r>
      <w:r>
        <w:rPr>
          <w:rFonts w:ascii="Liberation Serif" w:hAnsi="Liberation Serif" w:cs="Liberation Serif"/>
          <w:b/>
          <w:sz w:val="24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Liberation Serif" w:hAnsi="Liberation Serif" w:eastAsia="Times New Roman" w:cs="Liberation Serif"/>
          <w:sz w:val="18"/>
          <w:szCs w:val="18"/>
          <w:lang w:eastAsia="ru-RU"/>
        </w:rPr>
      </w:pPr>
      <w:r>
        <w:rPr>
          <w:rFonts w:ascii="Liberation Serif" w:hAnsi="Liberation Serif" w:eastAsia="Times New Roman" w:cs="Liberation Serif"/>
          <w:sz w:val="18"/>
          <w:szCs w:val="18"/>
          <w:lang w:eastAsia="ru-RU"/>
        </w:rPr>
        <w:t xml:space="preserve">Форму утверждаем:</w:t>
      </w:r>
      <w:r>
        <w:rPr>
          <w:rFonts w:ascii="Liberation Serif" w:hAnsi="Liberation Serif" w:eastAsia="Times New Roman" w:cs="Liberation Serif"/>
          <w:sz w:val="18"/>
          <w:szCs w:val="18"/>
          <w:lang w:eastAsia="ru-RU"/>
        </w:rPr>
      </w:r>
      <w:r>
        <w:rPr>
          <w:rFonts w:ascii="Liberation Serif" w:hAnsi="Liberation Serif" w:eastAsia="Times New Roman" w:cs="Liberation Serif"/>
          <w:sz w:val="18"/>
          <w:szCs w:val="18"/>
          <w:lang w:eastAsia="ru-RU"/>
        </w:rPr>
      </w:r>
    </w:p>
    <w:tbl>
      <w:tblPr>
        <w:tblpPr w:horzAnchor="margin" w:tblpXSpec="left" w:vertAnchor="text" w:tblpY="452" w:leftFromText="180" w:topFromText="0" w:rightFromText="180" w:bottomFromText="0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6232"/>
        <w:gridCol w:w="6379"/>
      </w:tblGrid>
      <w:tr>
        <w:tblPrEx/>
        <w:trPr/>
        <w:tc>
          <w:tcPr>
            <w:shd w:val="clear" w:color="auto" w:fill="auto"/>
            <w:tcW w:w="6232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От 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Поставщик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а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: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637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От 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По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купател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я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: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auto"/>
            <w:tcW w:w="6232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6379" w:type="dxa"/>
            <w:vAlign w:val="bottom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35"/>
        </w:trPr>
        <w:tc>
          <w:tcPr>
            <w:shd w:val="clear" w:color="auto" w:fill="auto"/>
            <w:tcW w:w="6232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6379" w:type="dxa"/>
            <w:vAlign w:val="bottom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r>
          </w:p>
        </w:tc>
      </w:tr>
    </w:tbl>
    <w:p>
      <w:pPr>
        <w:jc w:val="center"/>
        <w:spacing w:after="0" w:line="240" w:lineRule="auto"/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sectPr>
          <w:footnotePr/>
          <w:endnotePr/>
          <w:type w:val="nextPage"/>
          <w:pgSz w:w="16838" w:h="11906" w:orient="landscape"/>
          <w:pgMar w:top="1701" w:right="1134" w:bottom="851" w:left="1134" w:header="709" w:footer="709" w:gutter="0"/>
          <w:cols w:num="1" w:sep="0" w:space="708" w:equalWidth="1"/>
          <w:docGrid w:linePitch="360"/>
        </w:sect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jc w:val="right"/>
        <w:spacing w:after="0" w:line="240" w:lineRule="auto"/>
        <w:rPr>
          <w:rFonts w:ascii="Liberation Serif" w:hAnsi="Liberation Serif" w:eastAsia="MS Mincho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MS Mincho" w:cs="Liberation Serif"/>
          <w:b/>
          <w:sz w:val="20"/>
          <w:szCs w:val="20"/>
          <w:lang w:eastAsia="ru-RU"/>
        </w:rPr>
        <w:t xml:space="preserve">Приложение № </w:t>
      </w:r>
      <w:r>
        <w:rPr>
          <w:rFonts w:ascii="Liberation Serif" w:hAnsi="Liberation Serif" w:eastAsia="MS Mincho" w:cs="Liberation Serif"/>
          <w:b/>
          <w:sz w:val="20"/>
          <w:szCs w:val="20"/>
          <w:lang w:eastAsia="ru-RU"/>
        </w:rPr>
        <w:t xml:space="preserve">__</w:t>
      </w:r>
      <w:r>
        <w:rPr>
          <w:rFonts w:ascii="Liberation Serif" w:hAnsi="Liberation Serif" w:eastAsia="MS Mincho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MS Mincho" w:cs="Liberation Serif"/>
          <w:b/>
          <w:sz w:val="20"/>
          <w:szCs w:val="20"/>
          <w:lang w:eastAsia="ru-RU"/>
        </w:rPr>
      </w:r>
    </w:p>
    <w:p>
      <w:pPr>
        <w:jc w:val="right"/>
        <w:spacing w:after="0" w:line="240" w:lineRule="auto"/>
        <w:rPr>
          <w:rFonts w:ascii="Liberation Serif" w:hAnsi="Liberation Serif" w:eastAsia="MS Mincho" w:cs="Liberation Serif"/>
          <w:sz w:val="20"/>
          <w:szCs w:val="20"/>
          <w:lang w:eastAsia="ru-RU"/>
        </w:rPr>
      </w:pPr>
      <w:r>
        <w:rPr>
          <w:rFonts w:ascii="Liberation Serif" w:hAnsi="Liberation Serif" w:eastAsia="MS Mincho" w:cs="Liberation Serif"/>
          <w:sz w:val="20"/>
          <w:szCs w:val="20"/>
          <w:lang w:eastAsia="ru-RU"/>
        </w:rPr>
        <w:t xml:space="preserve">к договору №__________________</w:t>
      </w:r>
      <w:r>
        <w:rPr>
          <w:rFonts w:ascii="Liberation Serif" w:hAnsi="Liberation Serif" w:eastAsia="MS Mincho" w:cs="Liberation Serif"/>
          <w:sz w:val="20"/>
          <w:szCs w:val="20"/>
          <w:lang w:eastAsia="ru-RU"/>
        </w:rPr>
      </w:r>
      <w:r>
        <w:rPr>
          <w:rFonts w:ascii="Liberation Serif" w:hAnsi="Liberation Serif" w:eastAsia="MS Mincho" w:cs="Liberation Serif"/>
          <w:sz w:val="20"/>
          <w:szCs w:val="20"/>
          <w:lang w:eastAsia="ru-RU"/>
        </w:rPr>
      </w:r>
    </w:p>
    <w:p>
      <w:pPr>
        <w:ind w:firstLine="708"/>
        <w:jc w:val="right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jc w:val="center"/>
        <w:spacing w:after="0" w:line="240" w:lineRule="auto"/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ФОРМА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ind w:firstLine="708"/>
        <w:jc w:val="center"/>
        <w:spacing w:after="0" w:line="240" w:lineRule="auto"/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p>
      <w:pPr>
        <w:ind w:firstLine="708"/>
        <w:jc w:val="center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На бланке АО «Томская генерация»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jc w:val="right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jc w:val="right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jc w:val="center"/>
        <w:spacing w:after="0" w:line="240" w:lineRule="auto"/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  <w:t xml:space="preserve">Заявка на поставку Товара</w:t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r>
    </w:p>
    <w:p>
      <w:pPr>
        <w:ind w:firstLine="708"/>
        <w:jc w:val="center"/>
        <w:spacing w:after="0" w:line="240" w:lineRule="auto"/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  <w:t xml:space="preserve">(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направляется по электронной почте Поставщика_____________________(</w:t>
      </w:r>
      <w:r>
        <w:rPr>
          <w:rFonts w:ascii="Liberation Serif" w:hAnsi="Liberation Serif" w:eastAsia="Times New Roman" w:cs="Liberation Serif"/>
          <w:bCs/>
          <w:i/>
          <w:sz w:val="20"/>
          <w:szCs w:val="20"/>
          <w:lang w:eastAsia="ru-RU"/>
        </w:rPr>
        <w:t xml:space="preserve">указать)</w:t>
      </w:r>
      <w:r>
        <w:rPr>
          <w:rFonts w:ascii="Liberation Serif" w:hAnsi="Liberation Serif" w:eastAsia="Times New Roman" w:cs="Liberation Serif"/>
          <w:bCs/>
          <w:sz w:val="20"/>
          <w:szCs w:val="20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r>
    </w:p>
    <w:p>
      <w:pPr>
        <w:ind w:firstLine="708"/>
        <w:jc w:val="right"/>
        <w:spacing w:after="0" w:line="240" w:lineRule="auto"/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bCs/>
          <w:sz w:val="20"/>
          <w:szCs w:val="20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Поставщик: (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указать наименование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Покупатель: АО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«Томская генерация»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Реквизиты грузополучателя (</w:t>
      </w:r>
      <w:r>
        <w:rPr>
          <w:rFonts w:ascii="Liberation Serif" w:hAnsi="Liberation Serif" w:eastAsia="Times New Roman" w:cs="Liberation Serif"/>
          <w:i/>
          <w:sz w:val="16"/>
          <w:szCs w:val="16"/>
          <w:lang w:eastAsia="ru-RU"/>
        </w:rPr>
        <w:t xml:space="preserve">указать структурное подразделение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________________):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Адрес склада: __________________________________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Отгрузочные реквизиты: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(</w:t>
      </w:r>
      <w:r>
        <w:rPr>
          <w:rFonts w:ascii="Liberation Serif" w:hAnsi="Liberation Serif" w:eastAsia="Times New Roman" w:cs="Liberation Serif"/>
          <w:i/>
          <w:sz w:val="16"/>
          <w:szCs w:val="16"/>
          <w:lang w:eastAsia="ru-RU"/>
        </w:rPr>
        <w:t xml:space="preserve">указать при необходимости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рамках исполнения обязательств по договору №__________________ от «__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_» _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_______20__г. прошу поставить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в _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_____________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_ (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указать срок/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i/>
          <w:sz w:val="20"/>
          <w:szCs w:val="20"/>
          <w:lang w:eastAsia="ru-RU"/>
        </w:rPr>
        <w:t xml:space="preserve">или указать график поставки)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Товар: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jc w:val="right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 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tbl>
      <w:tblPr>
        <w:tblW w:w="104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"/>
        <w:gridCol w:w="2933"/>
        <w:gridCol w:w="949"/>
        <w:gridCol w:w="1103"/>
        <w:gridCol w:w="1672"/>
        <w:gridCol w:w="1749"/>
        <w:gridCol w:w="1521"/>
      </w:tblGrid>
      <w:tr>
        <w:tblPrEx/>
        <w:trPr/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23" w:type="dxa"/>
            <w:textDirection w:val="lrTb"/>
            <w:noWrap w:val="false"/>
          </w:tcPr>
          <w:p>
            <w:pPr>
              <w:ind w:firstLine="133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N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ind w:firstLine="133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п/п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W w:w="2933" w:type="dxa"/>
            <w:textDirection w:val="lrTb"/>
            <w:noWrap w:val="false"/>
          </w:tcPr>
          <w:p>
            <w:pPr>
              <w:ind w:firstLine="135"/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Наименование Товара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W w:w="949" w:type="dxa"/>
            <w:textDirection w:val="lrTb"/>
            <w:noWrap w:val="false"/>
          </w:tcPr>
          <w:p>
            <w:pPr>
              <w:ind w:firstLine="147"/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Единицы измерения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W w:w="110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Количество в единицах измерения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W w:w="1672" w:type="dxa"/>
            <w:textDirection w:val="lrTb"/>
            <w:noWrap w:val="false"/>
          </w:tcPr>
          <w:p>
            <w:pPr>
              <w:ind w:firstLine="13"/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Цена за единицу измерения, руб. (включая НДС) </w:t>
            </w:r>
            <w:r>
              <w:rPr>
                <w:rFonts w:ascii="Liberation Serif" w:hAnsi="Liberation Serif" w:eastAsia="Times New Roman" w:cs="Liberation Serif"/>
                <w:i/>
                <w:sz w:val="20"/>
                <w:szCs w:val="20"/>
                <w:lang w:eastAsia="ru-RU"/>
              </w:rPr>
              <w:t xml:space="preserve">(если облагается НДС)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W w:w="174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Стоимость, руб. (включая НДС) </w:t>
            </w:r>
            <w:r>
              <w:rPr>
                <w:rFonts w:ascii="Liberation Serif" w:hAnsi="Liberation Serif" w:eastAsia="Times New Roman" w:cs="Liberation Serif"/>
                <w:i/>
                <w:sz w:val="20"/>
                <w:szCs w:val="20"/>
                <w:lang w:eastAsia="ru-RU"/>
              </w:rPr>
              <w:t xml:space="preserve">(если облагается НДС)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W w:w="152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Страна происхождения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23" w:type="dxa"/>
            <w:textDirection w:val="lrTb"/>
            <w:noWrap w:val="false"/>
          </w:tcPr>
          <w:p>
            <w:pPr>
              <w:ind w:firstLine="133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1.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2933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949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1103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1672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1749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1521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23" w:type="dxa"/>
            <w:textDirection w:val="lrTb"/>
            <w:noWrap w:val="false"/>
          </w:tcPr>
          <w:p>
            <w:pPr>
              <w:ind w:firstLine="133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2.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2933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949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1103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1672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1749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1521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23" w:type="dxa"/>
            <w:textDirection w:val="lrTb"/>
            <w:noWrap w:val="false"/>
          </w:tcPr>
          <w:p>
            <w:pPr>
              <w:ind w:firstLine="133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3.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2933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949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1103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1672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1749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  <w:right w:val="single" w:color="000000" w:sz="6" w:space="0"/>
            </w:tcBorders>
            <w:tcW w:w="1521" w:type="dxa"/>
            <w:textDirection w:val="lrTb"/>
            <w:noWrap w:val="false"/>
          </w:tcPr>
          <w:p>
            <w:pPr>
              <w:ind w:firstLine="708"/>
              <w:jc w:val="right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</w:tbl>
    <w:p>
      <w:pPr>
        <w:ind w:firstLine="284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Оплата будет произведена в соответствии с условиями договора.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284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На весь отгружаемый Товар в адр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ес АО «Томская генерация», прошу Вас предоставлять сертификаты качества заводов-изготовителей, а также письменные подтверждения заводов-изготовителей, выдавших сертификаты (паспорта) соответствия (качества) о подлинности сертификатов (паспортов) качества.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jc w:val="right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 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По доверенности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№______ от___________20____г.                                                                                _____________/ФИО/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Исп.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ФИО,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тел., адрес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  <w:t xml:space="preserve">эл. почты</w:t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ind w:firstLine="708"/>
        <w:jc w:val="center"/>
        <w:spacing w:after="0" w:line="240" w:lineRule="auto"/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  <w:t xml:space="preserve">Форму утверждаем:</w:t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b/>
          <w:sz w:val="20"/>
          <w:szCs w:val="20"/>
          <w:lang w:eastAsia="ru-RU"/>
        </w:rPr>
      </w:r>
    </w:p>
    <w:tbl>
      <w:tblPr>
        <w:tblpPr w:horzAnchor="margin" w:tblpXSpec="left" w:vertAnchor="text" w:tblpY="452" w:leftFromText="180" w:topFromText="0" w:rightFromText="180" w:bottomFromText="0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674"/>
        <w:gridCol w:w="4670"/>
      </w:tblGrid>
      <w:tr>
        <w:tblPrEx/>
        <w:trPr/>
        <w:tc>
          <w:tcPr>
            <w:shd w:val="clear" w:color="auto" w:fill="auto"/>
            <w:tcW w:w="467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pPr>
            <w:r/>
            <w:bookmarkStart w:id="17" w:name="_Hlk114816047"/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От 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Поставщик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а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: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670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От 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Покупател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я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  <w:t xml:space="preserve">: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auto"/>
            <w:tcW w:w="467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670" w:type="dxa"/>
            <w:vAlign w:val="bottom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474"/>
        </w:trPr>
        <w:tc>
          <w:tcPr>
            <w:shd w:val="clear" w:color="auto" w:fill="auto"/>
            <w:tcW w:w="467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4670" w:type="dxa"/>
            <w:vAlign w:val="bottom"/>
            <w:textDirection w:val="lrTb"/>
            <w:noWrap w:val="false"/>
          </w:tcPr>
          <w:p>
            <w:pPr>
              <w:jc w:val="both"/>
              <w:spacing w:after="120" w:line="240" w:lineRule="auto"/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r>
            <w:bookmarkEnd w:id="17"/>
            <w:r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4"/>
                <w:szCs w:val="24"/>
                <w:lang w:eastAsia="ru-RU"/>
              </w:rPr>
            </w:r>
          </w:p>
        </w:tc>
      </w:tr>
    </w:tbl>
    <w:p>
      <w:pPr>
        <w:ind w:firstLine="708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eastAsia="ru-RU"/>
        </w:rPr>
      </w:pP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  <w:r>
        <w:rPr>
          <w:rFonts w:ascii="Liberation Serif" w:hAnsi="Liberation Serif" w:eastAsia="Times New Roman" w:cs="Liberation Serif"/>
          <w:sz w:val="20"/>
          <w:szCs w:val="20"/>
          <w:lang w:eastAsia="ru-RU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rPr>
          <w:rFonts w:ascii="Liberation Serif" w:hAnsi="Liberation Serif" w:cs="Liberation Serif"/>
        </w:rPr>
        <w:sectPr>
          <w:footnotePr/>
          <w:endnotePr/>
          <w:type w:val="nextPage"/>
          <w:pgSz w:w="11906" w:h="16838" w:orient="portrait"/>
          <w:pgMar w:top="720" w:right="720" w:bottom="720" w:left="720" w:header="709" w:footer="709" w:gutter="0"/>
          <w:cols w:num="1" w:sep="0" w:space="708" w:equalWidth="1"/>
          <w:docGrid w:linePitch="360"/>
        </w:sect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jc w:val="right"/>
        <w:spacing w:after="0" w:line="240" w:lineRule="auto"/>
        <w:rPr>
          <w:rFonts w:ascii="Liberation Serif" w:hAnsi="Liberation Serif" w:eastAsia="MS Mincho" w:cs="Liberation Serif"/>
          <w:b/>
          <w:i/>
          <w:sz w:val="20"/>
          <w:szCs w:val="20"/>
          <w:lang w:eastAsia="ru-RU"/>
        </w:rPr>
      </w:pPr>
      <w:r>
        <w:rPr>
          <w:rFonts w:ascii="Liberation Serif" w:hAnsi="Liberation Serif" w:eastAsia="MS Mincho" w:cs="Liberation Serif"/>
          <w:b/>
          <w:sz w:val="20"/>
          <w:szCs w:val="20"/>
          <w:lang w:eastAsia="ru-RU"/>
        </w:rPr>
        <w:t xml:space="preserve">Приложение </w:t>
      </w:r>
      <w:r>
        <w:rPr>
          <w:rFonts w:ascii="Liberation Serif" w:hAnsi="Liberation Serif" w:eastAsia="MS Mincho" w:cs="Liberation Serif"/>
          <w:b/>
          <w:i/>
          <w:sz w:val="20"/>
          <w:szCs w:val="20"/>
          <w:lang w:eastAsia="ru-RU"/>
        </w:rPr>
        <w:t xml:space="preserve">№ </w:t>
      </w:r>
      <w:r>
        <w:rPr>
          <w:rFonts w:ascii="Liberation Serif" w:hAnsi="Liberation Serif" w:eastAsia="MS Mincho" w:cs="Liberation Serif"/>
          <w:b/>
          <w:i/>
          <w:sz w:val="20"/>
          <w:szCs w:val="20"/>
          <w:lang w:eastAsia="ru-RU"/>
        </w:rPr>
        <w:t xml:space="preserve">__</w:t>
      </w:r>
      <w:r>
        <w:rPr>
          <w:rFonts w:ascii="Liberation Serif" w:hAnsi="Liberation Serif" w:eastAsia="MS Mincho" w:cs="Liberation Serif"/>
          <w:b/>
          <w:i/>
          <w:sz w:val="20"/>
          <w:szCs w:val="20"/>
          <w:lang w:eastAsia="ru-RU"/>
        </w:rPr>
      </w:r>
      <w:r>
        <w:rPr>
          <w:rFonts w:ascii="Liberation Serif" w:hAnsi="Liberation Serif" w:eastAsia="MS Mincho" w:cs="Liberation Serif"/>
          <w:b/>
          <w:i/>
          <w:sz w:val="20"/>
          <w:szCs w:val="20"/>
          <w:lang w:eastAsia="ru-RU"/>
        </w:rPr>
      </w:r>
    </w:p>
    <w:p>
      <w:pPr>
        <w:jc w:val="right"/>
        <w:spacing w:after="0" w:line="240" w:lineRule="auto"/>
        <w:rPr>
          <w:rFonts w:ascii="Liberation Serif" w:hAnsi="Liberation Serif" w:eastAsia="MS Mincho" w:cs="Liberation Serif"/>
          <w:sz w:val="20"/>
          <w:szCs w:val="20"/>
          <w:lang w:eastAsia="ru-RU"/>
        </w:rPr>
      </w:pPr>
      <w:r>
        <w:rPr>
          <w:rFonts w:ascii="Liberation Serif" w:hAnsi="Liberation Serif" w:eastAsia="MS Mincho" w:cs="Liberation Serif"/>
          <w:sz w:val="20"/>
          <w:szCs w:val="20"/>
          <w:lang w:eastAsia="ru-RU"/>
        </w:rPr>
        <w:t xml:space="preserve">к договору №__________________</w:t>
      </w:r>
      <w:r>
        <w:rPr>
          <w:rFonts w:ascii="Liberation Serif" w:hAnsi="Liberation Serif" w:eastAsia="MS Mincho" w:cs="Liberation Serif"/>
          <w:sz w:val="20"/>
          <w:szCs w:val="20"/>
          <w:lang w:eastAsia="ru-RU"/>
        </w:rPr>
      </w:r>
      <w:r>
        <w:rPr>
          <w:rFonts w:ascii="Liberation Serif" w:hAnsi="Liberation Serif" w:eastAsia="MS Mincho" w:cs="Liberation Serif"/>
          <w:sz w:val="20"/>
          <w:szCs w:val="20"/>
          <w:lang w:eastAsia="ru-RU"/>
        </w:rPr>
      </w:r>
    </w:p>
    <w:p>
      <w:pPr>
        <w:ind w:left="6804"/>
        <w:jc w:val="right"/>
        <w:spacing w:after="0" w:line="240" w:lineRule="auto"/>
        <w:rPr>
          <w:rFonts w:ascii="Liberation Serif" w:hAnsi="Liberation Serif" w:eastAsia="Times New Roman" w:cs="Liberation Serif"/>
          <w:bCs/>
          <w:spacing w:val="-2"/>
        </w:rPr>
      </w:pPr>
      <w:r>
        <w:rPr>
          <w:rFonts w:ascii="Liberation Serif" w:hAnsi="Liberation Serif" w:eastAsia="Times New Roman" w:cs="Liberation Serif"/>
          <w:bCs/>
          <w:spacing w:val="-2"/>
        </w:rPr>
      </w:r>
      <w:r>
        <w:rPr>
          <w:rFonts w:ascii="Liberation Serif" w:hAnsi="Liberation Serif" w:eastAsia="Times New Roman" w:cs="Liberation Serif"/>
          <w:bCs/>
          <w:spacing w:val="-2"/>
        </w:rPr>
      </w:r>
      <w:r>
        <w:rPr>
          <w:rFonts w:ascii="Liberation Serif" w:hAnsi="Liberation Serif" w:eastAsia="Times New Roman" w:cs="Liberation Serif"/>
          <w:bCs/>
          <w:spacing w:val="-2"/>
        </w:rPr>
      </w:r>
    </w:p>
    <w:p>
      <w:pPr>
        <w:spacing w:after="0" w:line="240" w:lineRule="auto"/>
        <w:rPr>
          <w:rFonts w:ascii="Liberation Serif" w:hAnsi="Liberation Serif" w:eastAsia="Calibri Light" w:cs="Liberation Serif"/>
          <w:color w:val="000000"/>
        </w:rPr>
      </w:pPr>
      <w:r>
        <w:rPr>
          <w:rFonts w:ascii="Liberation Serif" w:hAnsi="Liberation Serif" w:eastAsia="Calibri Light" w:cs="Liberation Serif"/>
          <w:color w:val="000000"/>
        </w:rPr>
      </w:r>
      <w:r>
        <w:rPr>
          <w:rFonts w:ascii="Liberation Serif" w:hAnsi="Liberation Serif" w:eastAsia="Calibri Light" w:cs="Liberation Serif"/>
          <w:color w:val="000000"/>
        </w:rPr>
      </w:r>
      <w:r>
        <w:rPr>
          <w:rFonts w:ascii="Liberation Serif" w:hAnsi="Liberation Serif" w:eastAsia="Calibri Light" w:cs="Liberation Serif"/>
          <w:color w:val="000000"/>
        </w:rPr>
      </w:r>
    </w:p>
    <w:p>
      <w:pPr>
        <w:contextualSpacing/>
        <w:jc w:val="center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b/>
          <w:sz w:val="20"/>
          <w:szCs w:val="20"/>
        </w:rPr>
      </w:pPr>
      <w:r>
        <w:rPr>
          <w:rFonts w:ascii="Liberation Serif" w:hAnsi="Liberation Serif" w:eastAsia="Times New Roman" w:cs="Liberation Serif"/>
          <w:b/>
          <w:sz w:val="20"/>
          <w:szCs w:val="20"/>
        </w:rPr>
        <w:t xml:space="preserve">СОГЛАШЕНИЕ</w:t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</w:p>
    <w:p>
      <w:pPr>
        <w:contextualSpacing/>
        <w:jc w:val="center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b/>
          <w:sz w:val="20"/>
          <w:szCs w:val="20"/>
        </w:rPr>
      </w:pPr>
      <w:r>
        <w:rPr>
          <w:rFonts w:ascii="Liberation Serif" w:hAnsi="Liberation Serif" w:eastAsia="Times New Roman" w:cs="Liberation Serif"/>
          <w:b/>
          <w:sz w:val="20"/>
          <w:szCs w:val="20"/>
        </w:rPr>
        <w:t xml:space="preserve">ОБ ЭЛЕКТРОННОМ ДОКУМЕНТООБОРОТЕ </w:t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</w:p>
    <w:p>
      <w:pPr>
        <w:contextualSpacing/>
        <w:jc w:val="both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г. Томск                                                                </w:t>
      </w:r>
      <w:r>
        <w:rPr>
          <w:rFonts w:ascii="Liberation Serif" w:hAnsi="Liberation Serif" w:eastAsia="Times New Roman" w:cs="Liberation Serif"/>
          <w:sz w:val="20"/>
          <w:szCs w:val="20"/>
        </w:rPr>
        <w:tab/>
      </w:r>
      <w:r>
        <w:rPr>
          <w:rFonts w:ascii="Liberation Serif" w:hAnsi="Liberation Serif" w:eastAsia="Times New Roman" w:cs="Liberation Serif"/>
          <w:sz w:val="20"/>
          <w:szCs w:val="20"/>
        </w:rPr>
        <w:tab/>
      </w:r>
      <w:r>
        <w:rPr>
          <w:rFonts w:ascii="Liberation Serif" w:hAnsi="Liberation Serif" w:eastAsia="Times New Roman" w:cs="Liberation Serif"/>
          <w:sz w:val="20"/>
          <w:szCs w:val="20"/>
        </w:rPr>
        <w:tab/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contextualSpacing/>
        <w:ind w:firstLine="426"/>
        <w:jc w:val="both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b/>
          <w:sz w:val="20"/>
          <w:szCs w:val="20"/>
        </w:rPr>
        <w:t xml:space="preserve">______________________________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(полное наименование Стороны-1), именуемое в дальнейшем </w:t>
      </w:r>
      <w:r>
        <w:rPr>
          <w:rFonts w:ascii="Liberation Serif" w:hAnsi="Liberation Serif" w:eastAsia="Times New Roman" w:cs="Liberation Serif"/>
          <w:b/>
          <w:sz w:val="20"/>
          <w:szCs w:val="20"/>
        </w:rPr>
        <w:t xml:space="preserve">«Сторона-1»,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в лице __________________________ (должность, ФИО уполномоченного лица), действующего на основании ___________ (уполномочивающий документ), с одной стороны, и 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b/>
          <w:sz w:val="20"/>
          <w:szCs w:val="20"/>
        </w:rPr>
        <w:t xml:space="preserve">Акционерное общество «Томская генерация»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, именуемое в дальнейшем </w:t>
      </w:r>
      <w:r>
        <w:rPr>
          <w:rFonts w:ascii="Liberation Serif" w:hAnsi="Liberation Serif" w:eastAsia="Times New Roman" w:cs="Liberation Serif"/>
          <w:b/>
          <w:sz w:val="20"/>
          <w:szCs w:val="20"/>
        </w:rPr>
        <w:t xml:space="preserve">«Сторона-2»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, в лице _______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_________________ (должность, ФИО уполномоченного лица), действующего на основании ___________ (уполномочивающий документ), с другой стороны, совместно именуемые в дальнейшем «Стороны», заключили настоящее соглашение (далее – «Соглашение») о нижеследующем.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center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b/>
          <w:sz w:val="20"/>
          <w:szCs w:val="20"/>
        </w:rPr>
      </w:pPr>
      <w:r>
        <w:rPr>
          <w:rFonts w:ascii="Liberation Serif" w:hAnsi="Liberation Serif" w:eastAsia="Times New Roman" w:cs="Liberation Serif"/>
          <w:b/>
          <w:sz w:val="20"/>
          <w:szCs w:val="20"/>
        </w:rPr>
        <w:t xml:space="preserve">1.</w:t>
      </w:r>
      <w:r>
        <w:rPr>
          <w:rFonts w:ascii="Liberation Serif" w:hAnsi="Liberation Serif" w:eastAsia="Times New Roman" w:cs="Liberation Serif"/>
          <w:b/>
          <w:sz w:val="20"/>
          <w:szCs w:val="20"/>
        </w:rPr>
        <w:tab/>
        <w:t xml:space="preserve">Термины, определения и сокращения</w:t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1.1.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Все термины и определения используются в настоящем Соглашении и при взаимодействии Сторон на основании Соглашения в следующем значении: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cs="Liberation Serif"/>
          <w:color w:val="000000"/>
        </w:rPr>
      </w:pPr>
      <w:r>
        <w:rPr>
          <w:rFonts w:ascii="Liberation Serif" w:hAnsi="Liberation Serif" w:cs="Liberation Serif"/>
          <w:color w:val="000000"/>
        </w:rPr>
      </w:r>
      <w:r>
        <w:rPr>
          <w:rFonts w:ascii="Liberation Serif" w:hAnsi="Liberation Serif" w:cs="Liberation Serif"/>
          <w:color w:val="000000"/>
        </w:rPr>
      </w:r>
      <w:r>
        <w:rPr>
          <w:rFonts w:ascii="Liberation Serif" w:hAnsi="Liberation Serif" w:cs="Liberation Serif"/>
          <w:color w:val="000000"/>
        </w:rPr>
      </w:r>
    </w:p>
    <w:tbl>
      <w:tblPr>
        <w:tblW w:w="1059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Look w:val="04A0" w:firstRow="1" w:lastRow="0" w:firstColumn="1" w:lastColumn="0" w:noHBand="0" w:noVBand="1"/>
      </w:tblPr>
      <w:tblGrid>
        <w:gridCol w:w="3104"/>
        <w:gridCol w:w="1559"/>
        <w:gridCol w:w="5935"/>
      </w:tblGrid>
      <w:tr>
        <w:tblPrEx/>
        <w:trPr>
          <w:trHeight w:val="90"/>
        </w:trPr>
        <w:tc>
          <w:tcPr>
            <w:shd w:val="clear" w:color="auto" w:fill="bfbfbf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Наименование термина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bfbfbf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Сокращение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bfbfbf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Определение термина (расшифровка сокращения)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3974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Аккредитованный удостоверяющий центр 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АУЦ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Удостоверяющие центры, получившие аккредитацию, а также удостоверяющий центр федерального органа исполнительной власти, уполномоченного на осуществление государственной регистрации юридических лиц, удостоверяющий центр федерального органа исполнительн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ой власти, уполномоченного на правоприменительные функции по обеспечению исполнения федерального бюджета, казначейскому обслуживанию исполнения бюджетов бюджетной системы Российской Федерации, и удостоверяющий центр Центрального банка Российской Федерации.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  <w:t xml:space="preserve">Аккредитованный удостоверяющий центр осуществляет создание и выдачу сертификата ключа проверки электронной подписи*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  <w:t xml:space="preserve">Перечень АУЦ, для целей приобретения сертификатов КЭП, определяется Обществом из числа аккредитованных центров, представленных в размещенном в сети Интернет актуальном перечне на сайте Минцифры России по адресу: 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  <w:t xml:space="preserve"> 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  <w:t xml:space="preserve"> https://digital.gov.ru/ru/activity/govservices/certification_authority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Владелец квалифицированного сертификата ключа проверки электронной подписи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Владелец КЭП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Лицо, которому в установленном действующим законодательством порядке выдан квалифицированный сертификат ключа проверки электронной подписи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2155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Квалифицированная электронная подпись 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КЭП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widowControl w:val="off"/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  <w:t xml:space="preserve">Электронная подпись, которая соответствует всем признакам неквалифицированной электронной подписи и следующим дополнительным признакам: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  <w:t xml:space="preserve">1) ключ проверки электронной подписи указан в квалифицированном сертификате;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  <w:t xml:space="preserve">2) для создания и проверки электронной подписи используются средства электронной подписи, имеющие подтверждение соответствия требованиям, установленным в соответствии Федеральным законом № 63-ФЗ «Об электронной подписи»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1901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Квалифицированный сертификат ключа проверки электронной подписи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Сертификат КЭП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Сертификат ключа проверки электронной подписи, соответствующий требованиям, установленным Федеральным законом № 63-ФЗ «Об электронной подписи» и иными принимаемыми в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 соответствии с ним нормативными правовыми актами, созданный аккредитованным удостоверяющим центром либо федеральным органом исполнительной власти, уполномоченным в сфере использования электронной подписи, и являющийся в связи с этим официальным документом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Ключ проверки электронной подписи 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Открытый ключ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color w:val="000000"/>
                <w:sz w:val="20"/>
                <w:szCs w:val="20"/>
                <w:lang w:eastAsia="ru-RU"/>
              </w:rPr>
              <w:t xml:space="preserve">Уникальная последовательность символов, которая создается в паре с закрытым ключом электронной подписи с помощью криптографического алгоритма и используется для шифрования данных и проверки подлинности электронной подписи в электронном документе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Ключ электронной подписи 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Закрытый ключ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Уникальная последовательность символов, предназначенная для создания электронной подписи 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Компрометация ключа электронной подписи 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Утрата доверия к тому факту, что используемые закрытые ключи электронной подписи неизвестны посторонним лицам.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Также под компрометацией ключа элек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тронной подписи понимается его утрата, хищение, разглашение, несанкционированное копирование, любые другие виды разглашения закрытого ключа ЭП, а также такие случаи, когда нельзя достоверно установить, что произошло с носителем, содержащим закрытый ключ ЭП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Направляющая Сторона 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Сторона-1 или Сторона-2, направляющая электронный документ, подписанный ЭП по телекоммуникационным каналам связи другой Стороне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Неформализованный электронный документ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Электронный документ, исполненный в формате, не установленном законодательством РФ или в формате, самостоятельно разработанном Стороной настоящего Соглашения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Оператор электронного документооборота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Оператор ЭДО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Организация, соответствующая установленным действующим законодательством требованиям к оператору электр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онного документооборота и предоставляющая услуги по обмену открытой и конфиденциальной информацией по телекоммуникационным каналам связи в рамках обеспечения электронного документооборота между Компанией и третьими лицами с применением электронных подписей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Первичный учетный документ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Для целей настоящего документа: документ, которым оформляется факт хозяйственной операции для целей отражения в бухгалтерском и налоговом учете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Получающая Сторона 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Сторона-1 или Сторона-2, получающая от направляющей Стороны электронный документ, подписанный ЭП, по телекоммуникационным каналам связи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Роуминг (межоператорское взаимодействие)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Технология, обеспечивающая возможность обмена электронными документами между разными операторами электронного документооборота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Сертификат ключа проверки электронной подписи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Сертификат ЭП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Электронный документ или документ на бумажном носителе, выданные удостоверяющим центром и подтверждающий принадлежность ключа проверки электронной подписи Владельцу сертификата ключа проверки электронной подписи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Система электронного документооборота 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СЭД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Совокупность ИТ-решений, разработанных в соответствии с требованиями законодательства РФ и внутренними нормативными документами Группы «Интер РАО» на базе АСУД, ТТС ЭА и других смежных корпоративных систем используемых во внешнем и внутреннем ЭДО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525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Уведомление об уточнении документа 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720" w:leader="none"/>
              </w:tabs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  <w:t xml:space="preserve">УОУ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tabs>
                <w:tab w:val="left" w:pos="720" w:leader="none"/>
              </w:tabs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  <w:t xml:space="preserve">Электронный файл установленного формата, фиксирующий факт несогласия получающей Стороны с полученным электронным документом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</w:p>
        </w:tc>
      </w:tr>
      <w:tr>
        <w:tblPrEx/>
        <w:trPr>
          <w:trHeight w:val="1427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Универсальный корректировочный документ 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720" w:leader="none"/>
              </w:tabs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  <w:t xml:space="preserve">УКД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tabs>
                <w:tab w:val="left" w:pos="720" w:leader="none"/>
              </w:tabs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  <w:t xml:space="preserve">Электронный документ, применяемый при подтверждении факта согласования Сторонами соглаше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  <w:t xml:space="preserve">ния изменения (уведомления продавцом покупателя об изменении) стоимости договора в связи с изменением цены (тарифа) и (или) уточнения количества (объема) поставленных (отгруженных) товаров (выполненных работ, оказанных услуг), переданных имущественных прав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Универсальный передаточный документ 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720" w:leader="none"/>
              </w:tabs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  <w:t xml:space="preserve">УПД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tabs>
                <w:tab w:val="left" w:pos="720" w:leader="none"/>
              </w:tabs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  <w:t xml:space="preserve">Электронный документ, применяемый для оформления фактов хозяйственной жизни и/или при расчетах по налогу на добавленную стоимость, формат которого утверждается Федеральной налоговой службой России, который может применяться в одной из следующих функций: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</w:p>
          <w:p>
            <w:pPr>
              <w:numPr>
                <w:ilvl w:val="0"/>
                <w:numId w:val="39"/>
              </w:numPr>
              <w:ind w:left="0" w:firstLine="0"/>
              <w:jc w:val="both"/>
              <w:spacing w:after="0" w:line="240" w:lineRule="auto"/>
              <w:tabs>
                <w:tab w:val="left" w:pos="720" w:leader="none"/>
              </w:tabs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  <w:t xml:space="preserve">СЧФДОП - Счет-фактура, применяемый при расчетах по налогу на добавленную стоимость, и документ об отгрузке товара, выполнении работ, передаче имущественных прав, документ об оказании услуг;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</w:p>
          <w:p>
            <w:pPr>
              <w:numPr>
                <w:ilvl w:val="0"/>
                <w:numId w:val="39"/>
              </w:numPr>
              <w:ind w:left="0" w:firstLine="0"/>
              <w:jc w:val="both"/>
              <w:spacing w:after="0" w:line="240" w:lineRule="auto"/>
              <w:tabs>
                <w:tab w:val="left" w:pos="720" w:leader="none"/>
              </w:tabs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  <w:t xml:space="preserve">СЧФ – Счет-фактура, применяемый при расчетах по налогу на добавленную стоимость;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</w:p>
          <w:p>
            <w:pPr>
              <w:numPr>
                <w:ilvl w:val="0"/>
                <w:numId w:val="39"/>
              </w:numPr>
              <w:ind w:left="0" w:firstLine="0"/>
              <w:jc w:val="both"/>
              <w:spacing w:after="0" w:line="240" w:lineRule="auto"/>
              <w:tabs>
                <w:tab w:val="left" w:pos="720" w:leader="none"/>
              </w:tabs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  <w:t xml:space="preserve">ДОП – Документ об отгрузке товара, выполнении работ, передаче имущественных прав, документ об оказании услуг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Формализованный электронный документ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Электронный документ, исполненный в формате, установленном или рекомендованном законодательством РФ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Электронный документ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ЭД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Документированна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я информация, представленная в электронной форме, то есть в виде, пригодном для восприятия человеком с использованием электронных вычислительных машин, а также для передачи по информационно-телекоммуникационным сетям или обработки в информационных системах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Электронный документооборот  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ЭДО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Комплекс автоматизированных процессов, обеспечивающих движение электронных документов с момента их создания и/или получения до завершения их обработки, архивирования и/или уничтожения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3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Электронная подпись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ЭП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593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  <w:t xml:space="preserve"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применяется для определения лица, подписывающего информацию</w:t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0"/>
                <w:szCs w:val="20"/>
                <w:lang w:eastAsia="ru-RU"/>
              </w:rPr>
            </w:r>
          </w:p>
        </w:tc>
      </w:tr>
    </w:tbl>
    <w:p>
      <w:pPr>
        <w:ind w:firstLine="426"/>
        <w:jc w:val="center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b/>
          <w:sz w:val="20"/>
          <w:szCs w:val="20"/>
        </w:rPr>
      </w:pPr>
      <w:r>
        <w:rPr>
          <w:rFonts w:ascii="Liberation Serif" w:hAnsi="Liberation Serif" w:eastAsia="Times New Roman" w:cs="Liberation Serif"/>
          <w:b/>
          <w:sz w:val="20"/>
          <w:szCs w:val="20"/>
        </w:rPr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</w:p>
    <w:p>
      <w:pPr>
        <w:ind w:firstLine="426"/>
        <w:jc w:val="center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b/>
          <w:sz w:val="20"/>
          <w:szCs w:val="20"/>
        </w:rPr>
      </w:pPr>
      <w:r>
        <w:rPr>
          <w:rFonts w:ascii="Liberation Serif" w:hAnsi="Liberation Serif" w:eastAsia="Times New Roman" w:cs="Liberation Serif"/>
          <w:b/>
          <w:sz w:val="20"/>
          <w:szCs w:val="20"/>
        </w:rPr>
        <w:t xml:space="preserve">2.</w:t>
      </w:r>
      <w:r>
        <w:rPr>
          <w:rFonts w:ascii="Liberation Serif" w:hAnsi="Liberation Serif" w:eastAsia="Times New Roman" w:cs="Liberation Serif"/>
          <w:b/>
          <w:sz w:val="20"/>
          <w:szCs w:val="20"/>
        </w:rPr>
        <w:tab/>
        <w:t xml:space="preserve">Предмет соглашения</w:t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2.1.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Настоящим Соглашением Стороны устанавливают условия и порядок организации обмена электронными документами по телекоммуникационным каналам связи, подписанными КЭП в качестве аналога собственноручной подписи и печати организации.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2.2.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Стороны соглашаются признавать полученные (направленные) в рамках электронного документооборота электронные документы равнозначными аналогичным документам на бумажных носителях.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2.3.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Электронные документы, которыми обмениваются Стороны в рамках ЭДО, должны быть подписаны квалифицированной ЭП.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2.4.</w:t>
      </w:r>
      <w:r>
        <w:rPr>
          <w:rFonts w:ascii="Liberation Serif" w:hAnsi="Liberation Serif" w:eastAsia="Times New Roman" w:cs="Liberation Serif"/>
          <w:sz w:val="20"/>
          <w:szCs w:val="20"/>
        </w:rPr>
        <w:tab/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ЭДО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осуществляется Сторонами посредством обмена видами электронных документов, указанных в Приложении 1 к Соглашению.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2.4.1.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В случае если нор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мативно-правовые акты, указанные в Приложении 1 к Соглашению, будут отменены либо изменены, Стороны обязуются применять форматы формализованных документов, утвержденные действующими на соответствующую дату нормативно-правовыми актами Российской Федерации. 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2.4.2.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В случае, если вступят в силу нормативно-правовые акты в отношении утверждения форматов документов, указанных в п. Приложения 1 к Соглашению, такие документы должны формироваться с учетом вступивших в силу нормативно-правовых актов.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2.5.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Документы, не перечисленные в Приложении 1 к Соглашению, переданные по электронным каналам связи,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не являются согласованными к переходу в ЭДО, даже если они отвечают всем требованиям, предъявляемым к ЭД и подписаны КЭП. В дальнейшем ни одна из Сторон не вправе ссылаться на указанные документы в качестве подтверждения исполнения ими своих обязательств.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center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b/>
          <w:sz w:val="20"/>
          <w:szCs w:val="20"/>
        </w:rPr>
      </w:pPr>
      <w:r>
        <w:rPr>
          <w:rFonts w:ascii="Liberation Serif" w:hAnsi="Liberation Serif" w:eastAsia="Times New Roman" w:cs="Liberation Serif"/>
          <w:b/>
          <w:sz w:val="20"/>
          <w:szCs w:val="20"/>
        </w:rPr>
        <w:t xml:space="preserve">3.</w:t>
      </w:r>
      <w:r>
        <w:rPr>
          <w:rFonts w:ascii="Liberation Serif" w:hAnsi="Liberation Serif" w:eastAsia="Times New Roman" w:cs="Liberation Serif"/>
          <w:b/>
          <w:sz w:val="20"/>
          <w:szCs w:val="20"/>
        </w:rPr>
        <w:tab/>
        <w:t xml:space="preserve">Общие принципы электронного документооборота и применения электронной подписи</w:t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3.1.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Электронный докуме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нтооборот Стороны осуществляют в соответствии с нормами законодательства Российской Федерации, условиями настоящего Соглашения и иных соглашений и договоров, заключенных между Сторонами, а также с учетом положений регламентирующих документов Оператора ЭДО.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3.2.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При выставлении и получении УПД СЧФ / СЧФ ДОП в электронном виде Стороны руководствуются утвержденными нормативно-правовыми актами Российской Федерации, действующими на соответствующую дату. 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3.3.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Квалифицированные сертификаты ключей проверки ЭП приобретаются Сторонами в 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АУЦ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, ключи ЭП создаются сертифицированными Федеральной службой безопасности Российской Федерации средствами ЭП Сторон или с привлечением 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АУЦ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, выпустившего квалифицированный сертификат ЭП.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3.4.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Документы формируются,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передаются и принимаются Сторонами в электронном виде без их последующего обязательного представления на бумажном носителе. Электронный документооборот между Сторонами не отменяет возможности использования иных способов обмена документами между Сторонами.</w:t>
      </w:r>
      <w:r>
        <w:rPr>
          <w:rFonts w:ascii="Liberation Serif" w:hAnsi="Liberation Serif" w:eastAsia="Times New Roman" w:cs="Liberation Serif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Обмен документами на бумажных носителях используется Сторонами лишь в случаях, указанных в п. 3.11, 3.20, 5.7 и 6.2.1 настоящего Соглашения.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3.5.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Стороны признают, что ответственность за обеспечение конфиденциальности, целостности и доступности информации с момента передачи электронного документа Оператору ЭДО любой из Сторон несет Оператор ЭДО/Операторы ЭДО.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3.6.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Стороны признают, что использование средств криптографической защиты информации достаточно для подтверждения того, что: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pStyle w:val="960"/>
        <w:numPr>
          <w:ilvl w:val="0"/>
          <w:numId w:val="38"/>
        </w:numPr>
        <w:ind w:left="0" w:firstLine="567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электронный документ исходит от Стороны, его передавшей (подтверждение авторства документа);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pStyle w:val="960"/>
        <w:numPr>
          <w:ilvl w:val="0"/>
          <w:numId w:val="38"/>
        </w:numPr>
        <w:ind w:left="0" w:firstLine="567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электронный документ не претерпел изменений при информационном взаимодействии Сторон (подтверждение целостности и подлинности документа) при положительном результате проверки ЭП.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3.7.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Датой направления электронного документа является дата его поступления Оператору ЭДО направляющей Стороной, указанная в протоколе передачи документа. Электронные докум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енты, направленные в рамках настоящего Соглашения, считаются полученными принимающей Стороной с даты присвоения им соответствующего статуса в системе Оператора ЭДО, подтверждающего их доставку принимающей Стороне, указанной в протоколе передачи документа. 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3.8.</w:t>
      </w:r>
      <w:r>
        <w:rPr>
          <w:rFonts w:ascii="Liberation Serif" w:hAnsi="Liberation Serif" w:eastAsia="Times New Roman" w:cs="Liberation Serif"/>
          <w:sz w:val="20"/>
          <w:szCs w:val="20"/>
        </w:rPr>
        <w:tab/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Дата подписания Стороной электронного документа определяется на основании информации, указанной Оператором ЭДО в протоколе передачи документа. В случае отсутствия протокола передачи документа у Оператора ЭДО датой подписания признается д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ата подписания электронного документа второй Стороной, зафиксированная Оператором ЭДО. Стороны в нумерации договоров используют регистрационный номер договора, присваиваемый СЭД Группы Интер РАО.  Регистрационный номер договора также указывается во всех до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кументах, предусмотренных в рамках исполнения договора. Если каждая из Сторон имеет свои правила формирования номера договора, необходимые для их соблюдения, то допускается применение двойной нумерации (Стороны-1 и Стороны-2). В этом случае регистрационный</w:t>
      </w:r>
      <w:r>
        <w:rPr>
          <w:rFonts w:ascii="Liberation Serif" w:hAnsi="Liberation Serif" w:eastAsia="Times New Roman" w:cs="Liberation Serif"/>
          <w:sz w:val="20"/>
          <w:szCs w:val="20"/>
          <w:u w:val="single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номер договора будет определен следующим образом: номер договора 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Поставщика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/регистрационный номер договора 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Покупателя</w:t>
      </w:r>
      <w:r>
        <w:rPr>
          <w:rFonts w:ascii="Liberation Serif" w:hAnsi="Liberation Serif" w:eastAsia="Times New Roman" w:cs="Liberation Serif"/>
          <w:sz w:val="20"/>
          <w:szCs w:val="20"/>
          <w:vertAlign w:val="superscript"/>
        </w:rPr>
        <w:footnoteReference w:id="2"/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9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Стороны обязаны незамедлительно информировать друг друга о невозможности обмена электронными документами, подписанными ЭП, в частности в следующих случаях: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•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недоступность системы Оператора ЭДО;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•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поврежденность или недоступность каналов связи;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•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сбой учетной системы Сторон;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•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истечение срока действия квалифицированного сертификата ЭП (до момента получения квалифицированного сертификата ЭП с новым сроком действия);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•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иные случаи, не позволяющие производить обмен электронными документами.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3.1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0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В период, когда обмен электронными документами невозможен, Стороны производят обмен документами на бумажных носителях, подписанными уполномоченными представителями Сторон собственноручной подписью. 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3.1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1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Стороны обязаны незамедлительно информировать друг друга о прекращении обстоятельств, обусловливающих невозможность обмена электронными документами, после чего возобновить обмен электронными документами.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3.1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2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Информ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ирование Сторонами о невозможности обмена электронными документами, а также о прекращении обстоятельств, обусловливающих невозможность обмена электронными документами, осуществляется путем направления уведомления на адреса электронной почты, согласованные 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Сторонами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3.1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3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В случае, если дата составления первичного учетного документа отличается от даты совершения факта хозяйственной жизни, первичный учетный документ должен содержать дату совершения факта хозяйственной жизни. 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3.1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4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  <w:tab/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При обмене электронными документами Стороны обязуются заполнять в соответствующих полях и/ил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и сопровождающих документ метаданных адрес электронной почты получателя документа у Принимающей Стороны, регистрационный номер договора при отправке всех документов, относящихся к конкретному договору, исходя из требований пункта 3.15 настоящего Соглашения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 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3.1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5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При оформлении документов через web-интерфейс Контур.Диадок данные поля заполняются следующим образом: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•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для формализованных документов, а также для неформализованных дополнительных соглашений и ценовых листов данные по договору указываются в поле «основание», 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•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для иных неформализованных документов данные по договору указываются в свободном поле для комментариев,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•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для всех видов документов адрес электронной почты получателя указывается в свободном поле для комментариев.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3.1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6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При оформлении документов иным способом подход к заполнению данных полей определяется Сторонами дополнительно.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3.1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7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В случае повторного составления электронного документа или составления электронного документа на отмененную </w:t>
      </w:r>
      <w:r>
        <w:rPr>
          <w:rFonts w:ascii="Liberation Serif" w:hAnsi="Liberation Serif" w:cs="Liberation Serif"/>
          <w:sz w:val="20"/>
          <w:szCs w:val="20"/>
        </w:rPr>
        <w:t xml:space="preserve">Сторонами (Стороной) операцию (выставление счета и т.п.)</w:t>
      </w:r>
      <w:r>
        <w:rPr>
          <w:rFonts w:ascii="Liberation Serif" w:hAnsi="Liberation Serif" w:cs="Liberation Serif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Стороны применяют аннулирование документов, за исключением случаев корректировки или исправления документов, предусмотренных действующим законодательством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(например, счетов-фактур).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Также процесс аннулирования документов не применяется в случаях изменения, прекращения действия договоров и соглашений.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3.1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8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Процесс аннулирования электронных документов через Оператора ЭДО предполагает следующий порядок действий сторон: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•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принимающая/направляющая Сторона направляет второй Стороне предложение об аннулировании документа с указанием причины аннулирования документа;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•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если вторая Сторона согласна аннулировать документ и признает документ недействительным, то под соглашением необходима подпись второй Стороны. Когда вторая Сторона подпишет соглашение, аннулируемый документ потеряет юридическую силу.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•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если вторая Сторона не согласна с предложением об аннулировании, то она имеет право отказать в подписи соглашения. В этом случае электронный документ сохраняет свою юридическую силу.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19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В случае, если у Ст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орон нет возможности подписать соглашение об аннулировании в электронном виде через Оператора ЭДО, Стороны могут оформить данное соглашение на бумажном носителе в свободной форме, с указанием реквизитов аннулированного документа, причины его аннулирования.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3.2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0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В случае, когда электронный документ еще не подписан получающей Стороной, направляющая Сторона может аннулировать электронный документ в одностороннем порядке. 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3.2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1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Подтверждение аннулирования/отказ от аннулирования должно осуществляться в срок не более 3 рабочих дней с момента получения второй Стороной предложения на аннулирование.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center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b/>
          <w:sz w:val="20"/>
          <w:szCs w:val="20"/>
        </w:rPr>
      </w:pPr>
      <w:r>
        <w:rPr>
          <w:rFonts w:ascii="Liberation Serif" w:hAnsi="Liberation Serif" w:eastAsia="Times New Roman" w:cs="Liberation Serif"/>
          <w:b/>
          <w:sz w:val="20"/>
          <w:szCs w:val="20"/>
        </w:rPr>
        <w:t xml:space="preserve">4.</w:t>
      </w:r>
      <w:r>
        <w:rPr>
          <w:rFonts w:ascii="Liberation Serif" w:hAnsi="Liberation Serif" w:eastAsia="Times New Roman" w:cs="Liberation Serif"/>
          <w:b/>
          <w:sz w:val="20"/>
          <w:szCs w:val="20"/>
        </w:rPr>
        <w:tab/>
        <w:t xml:space="preserve">Условия признания электронных документов равнозначными документам на бумажном носителе</w:t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4.1.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Подписанный КЭП электронный документ признаетс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я равнозначным аналогичному подписанному собственноручно документу на бумажном носителе и порождает для Сторон юридические последствия в виде установления, изменения и прекращения взаимных прав и обязанностей при одновременном соблюдении следующих условий: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•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квалифицированный сертификат ключа проверки ЭП создан и выдан аккредитованным удостоверяющим центром, аккредитация которого действительна на момент выдачи указанного сертификата;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•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квалифицированный сертификат дей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ствителен на момент подписания электронного документа (при наличии достоверной информации о моменте подписания электронного документа) или на день проверки действительности указанного сертификата, если момент подписания электронного документа не определен;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•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имеется полож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ительный результат проверки принадлежности владельцу квалифицированного сертификата квалифицированной электронной подписи, с помощью которой подписан электронный документ, и подтверждено отсутствие изменений, внесенных в этот документ после его подписания.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4.2.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При соблюд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ении условий, приведенных в п. 4.1 настоящего Соглашения, электронный документ должен приниматься Сторонами к учету и может использоваться в качестве доказательства в судебных разбирательствах, представляться в государственные органы по запросам последних.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4.3.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Подписание одного электронного документа двумя Сторонами осуществляется путем последовательного подписания данного электронного документа каждой из Сторон.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center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b/>
          <w:sz w:val="20"/>
          <w:szCs w:val="20"/>
        </w:rPr>
      </w:pPr>
      <w:r>
        <w:rPr>
          <w:rFonts w:ascii="Liberation Serif" w:hAnsi="Liberation Serif" w:eastAsia="Times New Roman" w:cs="Liberation Serif"/>
          <w:b/>
          <w:sz w:val="20"/>
          <w:szCs w:val="20"/>
        </w:rPr>
        <w:t xml:space="preserve">5.</w:t>
      </w:r>
      <w:r>
        <w:rPr>
          <w:rFonts w:ascii="Liberation Serif" w:hAnsi="Liberation Serif" w:eastAsia="Times New Roman" w:cs="Liberation Serif"/>
          <w:b/>
          <w:sz w:val="20"/>
          <w:szCs w:val="20"/>
        </w:rPr>
        <w:tab/>
        <w:t xml:space="preserve">Взаимодействие с операторами электронного документооборота</w:t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5.1.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Оператором электронного документооборота [Стороны-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2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] / [Сторон] является АО «Производственная фирма «СКБ Контур» программа для ЭВМ «Диадок».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5.2.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До начала осущест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вления обмена электронными документами каждая из Сторон обязуется в установленном порядке обеспечить подключение (обеспечить наличие подключения) к системе электронного документооборота Оператора, в том числе заключить соответствующие договоры, оформить и 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представить Оператору заявление об участии в электронном документообороте, получить у Оператора идентификаторы участника обмена, реквизиты доступа и другие необходимые данные, уведомить об этом другую Сторону (с указанием идентификатора участника обмена). 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5.3.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По результатам тестового обмена, проверки работоспособности и/или совместимости своих технических средств,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Стороны подтверждают факт проведения успешного тестового обмена различными электронными документами, подтверждающего устойчивую работоспособность и/или совместимость технических средств Сторон, в том числе возможность передачи данных в соответствии с пп. 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3.15 - 3.18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настоящего Соглашения, возможность передачи применяемых форматов. 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5.4.</w:t>
      </w:r>
      <w:r>
        <w:rPr>
          <w:rFonts w:ascii="Liberation Serif" w:hAnsi="Liberation Serif" w:eastAsia="Times New Roman" w:cs="Liberation Serif"/>
          <w:sz w:val="20"/>
          <w:szCs w:val="20"/>
        </w:rPr>
        <w:tab/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Сторона-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1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может использова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ть услуги Оператора, отличного от указанного в п. 5.1. В этом случае обмен электронными документами между Сторонами осуществляется с использованием роуминга – технологии, обеспечивающей возможность обмена электронными документами между разными Операторами.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5.5.</w:t>
      </w:r>
      <w:r>
        <w:rPr>
          <w:rFonts w:ascii="Liberation Serif" w:hAnsi="Liberation Serif" w:eastAsia="Times New Roman" w:cs="Liberation Serif"/>
          <w:sz w:val="20"/>
          <w:szCs w:val="20"/>
        </w:rPr>
        <w:tab/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В случае, если Сторона-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1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пользуется услугами Оператора, отличного от указанного в п.5.1, то такой Оператор должен соответствовать следующим критериям: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•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между Оператором Стороны-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2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, указанным в п. 5.1 настоящего Соглашения, и Оператором Стороны-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1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обеспечено роуминговое взаимодействие;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•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оператором Стороны-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2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, указанным в п. 5.1 настоящего Соглашения, и Оператором Стороны-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1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подтверждена техническая возможность для приема и передачи всех документов, перечень и форматы которых определены в п. 2.4. настоящего Соглашения.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5.6.</w:t>
      </w:r>
      <w:r>
        <w:rPr>
          <w:rFonts w:ascii="Liberation Serif" w:hAnsi="Liberation Serif" w:eastAsia="Times New Roman" w:cs="Liberation Serif"/>
          <w:sz w:val="20"/>
          <w:szCs w:val="20"/>
        </w:rPr>
        <w:tab/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Сторона-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1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обязуется не позднее [15 календарных дней] после подписания настоящего Соглаше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ния и в дальнейшем – по мере необходимости, самостоятельно получать в аккредитованном удостоверяющем центре квалифицированные сертификаты ключа проверки ЭП, и обеспечить наличие действующих сертификатов ЭП в течение всего срока действия данного Соглашения.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5.7.</w:t>
      </w:r>
      <w:r>
        <w:rPr>
          <w:rFonts w:ascii="Liberation Serif" w:hAnsi="Liberation Serif" w:eastAsia="Times New Roman" w:cs="Liberation Serif"/>
          <w:sz w:val="20"/>
          <w:szCs w:val="20"/>
        </w:rPr>
        <w:tab/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В случае прекращения роумингового взаимодействия между Операт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орами Сторон, равно как и в случае невозможности обмена электронными документами вследствие прекращения таких отношений, Стороны осуществляют обмен документами на бумажном носителе с подписанием их собственноручной подписью и печатью, при ее необходимости.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5.8.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В случае, если Сторона намеревается сменить Оператора, услугами которого она пользуется в рамках настоящего Соглашения,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такая Сторона обязана не позднее чем за 15 календарных дней до начала обмена электронными документами посредством нового Оператора предоставить другой Стороне документы и сведения, предусмотренные настоящим Соглашением, а также осуществить тестовый обмен.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center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b/>
          <w:sz w:val="20"/>
          <w:szCs w:val="20"/>
        </w:rPr>
      </w:pPr>
      <w:r>
        <w:rPr>
          <w:rFonts w:ascii="Liberation Serif" w:hAnsi="Liberation Serif" w:eastAsia="Times New Roman" w:cs="Liberation Serif"/>
          <w:b/>
          <w:sz w:val="20"/>
          <w:szCs w:val="20"/>
        </w:rPr>
        <w:t xml:space="preserve">6.</w:t>
      </w:r>
      <w:r>
        <w:rPr>
          <w:rFonts w:ascii="Liberation Serif" w:hAnsi="Liberation Serif" w:eastAsia="Times New Roman" w:cs="Liberation Serif"/>
          <w:b/>
          <w:sz w:val="20"/>
          <w:szCs w:val="20"/>
        </w:rPr>
        <w:tab/>
        <w:t xml:space="preserve">Права и обязанности сторон</w:t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6.1.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Стороны обязуются: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6.1.1.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Обеспечить укомплектованность необходимыми программно-техническими средствами для организации работы с электронными документами, включая создание, изменение и обработку, а также обеспечить взаимодействие с системой Оператора ЭДО. 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6.1.2.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Назначить лиц, ответственных за работу с программно-техническими средствами в соответствии с п. 6.1.1, а также организовать внутренний режим функционирования ра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бочих мест ответственных лиц таким образом, чтобы исключить возможность взаимодействия с системой Оператора ЭДО лицами, не имеющими допуска к работе с ней, а также исключить возможность использования ключей ЭП и средств ЭП не уполномоченными на это лицами.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6.1.3.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Своевременно производить плановый выпуск ключей ЭП и соответствующих квалифицированных сертификатов ключей проверки ЭП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, а также машиночитаемых доверенностей, выпускаемых к КЭП физического лица, уполномоченного Стороной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6.1.4.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Принимать на себя все риски, связанные с работоспособностью своего оборудования и каналов связи.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6.1.5.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Не предпринимать действий, способных нанести ущерб другой Стороне вследствие использования ЭДО.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6.1.6.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Обмениваться электронными документами, не содержащими компьютерных вирусов и (или) иных вредоносных программ.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6.2.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Стороны вправе: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6.2.1.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В случае возникновения обстоятельств непреодолимой силы, повлекших нарушение установленного настоящим Соглашением порядка выставления 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документов в электронном виде, использовать бумажный документооборот, при этом исполнение обязательств и оплата производится в порядке и сроки, установленные соответствующим договором, в рамках исполнения которого происходит обмен электронными документами.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6.2.2.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Ограничивать и приостанавливать исп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ользование ЭДО в случаях ненадлежащего исполнения другой Стороной Соглашения с уведомлением не позднее дня приостановления и по требованию компетентных государственных органов – в случаях и в порядке, предусмотренных законодательством Российской Федерации.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993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6.2.3.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Остановить работу Системы ЭДО по техническим причинам до восстановления ее работоспособности.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center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b/>
          <w:sz w:val="20"/>
          <w:szCs w:val="20"/>
        </w:rPr>
      </w:pPr>
      <w:r>
        <w:rPr>
          <w:rFonts w:ascii="Liberation Serif" w:hAnsi="Liberation Serif" w:eastAsia="Times New Roman" w:cs="Liberation Serif"/>
          <w:b/>
          <w:sz w:val="20"/>
          <w:szCs w:val="20"/>
        </w:rPr>
        <w:t xml:space="preserve">7.</w:t>
      </w:r>
      <w:r>
        <w:rPr>
          <w:rFonts w:ascii="Liberation Serif" w:hAnsi="Liberation Serif" w:eastAsia="Times New Roman" w:cs="Liberation Serif"/>
          <w:b/>
          <w:sz w:val="20"/>
          <w:szCs w:val="20"/>
        </w:rPr>
        <w:tab/>
        <w:t xml:space="preserve">Ответственность сторон и риски</w:t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7.1.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Стороны несут ответственность за содержание любого электронного документа, подписанного КЭП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,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при условии подтверждения подлинности КЭП в соответствии с разделом 4</w:t>
      </w:r>
      <w:r>
        <w:rPr>
          <w:rFonts w:ascii="Liberation Serif" w:hAnsi="Liberation Serif" w:eastAsia="Times New Roman" w:cs="Liberation Serif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Соглашения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7.2.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Стороны несут ответственность за конфиденциальность и порядок использования ключей ЭП.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7.3.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Сторона, допустившая компрометацию ключа ЭП, несет ответственность за электронные документы, подписа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нные с использованием скомпрометированного ключа ЭП, до момента официального уведомления об аннулировании (отзыве) соответствующего квалифицированного сертификата ЭП и конкретных документов, подписанных указанным ключом ЭП. Уполномоченное лицо каждой из Ст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орон, наделенное правами использования ЭП, несет полную ответственность за любые действия, совершаемые с использованием ЭП, включая действия, совершаемые другими лицами, если ключ ЭП стал доступен другим лицам по вине уполномоченного лица каждой из Сторон.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7.4.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Сторона, несвоевременно сообщившая о случаях утраты или компрометации ключа ЭП, несет связанные с этим риски.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7.5.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Стороны могут быть освобождены от ответственности за неисполнение своих обязательств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 по Соглашению при наступлении обстоятельств непреодолимой силы, под которыми подразумеваются внешние, чрезвычайные и непредотвратимые при данных обстоятельствах события, которые не существовали во время подписания Соглашения и возникли помимо воли Сторон.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7.6.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Сторона, подвергшаяся действию обстоятельств непреодолимой силы, должна в течени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е [5 (пяти)] календарных дней уведомить другую Сторону о возникновении и возможной продолжительности действия обстоятельств непреодолимой силы. Сторона, своевременно не сообщившая о наступлении вышеупомянутых обстоятельств, лишается права ссылаться на них.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7.7.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Факт возникновения обстоятельств непреодолимой силы должен быть документально подтвержден компетентным органом.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7.8.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В случае невозможности полного или ч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астичного исполнения обязательств вследствие действия обстоятельств непреодолимой силы, фактическая или возможная продолжительность которых составит один месяц или более, Сторона, исполнение обязательств которой не затронуто действием непреодолимой силы, б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удет иметь право расторгнуть Соглашение полностью или частично без обязательств по возмещению убытков, связанных с его расторжением. Стороны несут ответственность по настоящему Соглашению в соответствии с действующим законодательством Российской Федерации.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pStyle w:val="960"/>
        <w:numPr>
          <w:ilvl w:val="0"/>
          <w:numId w:val="40"/>
        </w:numPr>
        <w:jc w:val="center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b/>
          <w:sz w:val="20"/>
          <w:szCs w:val="20"/>
        </w:rPr>
      </w:pPr>
      <w:r>
        <w:rPr>
          <w:rFonts w:ascii="Liberation Serif" w:hAnsi="Liberation Serif" w:eastAsia="Times New Roman" w:cs="Liberation Serif"/>
          <w:b/>
          <w:sz w:val="20"/>
          <w:szCs w:val="20"/>
        </w:rPr>
        <w:t xml:space="preserve">Действие соглашения и его прекращение</w:t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  <w:r>
        <w:rPr>
          <w:rFonts w:ascii="Liberation Serif" w:hAnsi="Liberation Serif" w:eastAsia="Times New Roman" w:cs="Liberation Serif"/>
          <w:b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i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8.1.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Настоящее Соглашение вступает в силу с даты его подписания Сторонами и действует до полного прекращения обязательств по Договору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i/>
          <w:sz w:val="20"/>
          <w:szCs w:val="20"/>
        </w:rPr>
      </w:r>
      <w:r>
        <w:rPr>
          <w:rFonts w:ascii="Liberation Serif" w:hAnsi="Liberation Serif" w:eastAsia="Times New Roman" w:cs="Liberation Serif"/>
          <w:i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i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8.2.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Настоящее Соглашение составлено и подписано </w:t>
      </w:r>
      <w:r>
        <w:rPr>
          <w:rFonts w:ascii="Liberation Serif" w:hAnsi="Liberation Serif" w:eastAsia="Times New Roman" w:cs="Liberation Serif"/>
          <w:i/>
          <w:sz w:val="20"/>
          <w:szCs w:val="20"/>
        </w:rPr>
        <w:t xml:space="preserve">в электронной форме с использованием квалифицированной электронной подписи</w:t>
      </w:r>
      <w:r>
        <w:rPr>
          <w:rFonts w:ascii="Liberation Serif" w:hAnsi="Liberation Serif" w:eastAsia="Times New Roman" w:cs="Liberation Serif"/>
          <w:i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i/>
          <w:sz w:val="20"/>
          <w:szCs w:val="20"/>
        </w:rPr>
      </w:r>
      <w:r>
        <w:rPr>
          <w:rFonts w:ascii="Liberation Serif" w:hAnsi="Liberation Serif" w:eastAsia="Times New Roman" w:cs="Liberation Serif"/>
          <w:i/>
          <w:sz w:val="20"/>
          <w:szCs w:val="20"/>
        </w:rPr>
      </w:r>
    </w:p>
    <w:p>
      <w:pPr>
        <w:ind w:firstLine="426"/>
        <w:jc w:val="both"/>
        <w:spacing w:after="0" w:line="240" w:lineRule="auto"/>
        <w:tabs>
          <w:tab w:val="left" w:pos="720" w:leader="none"/>
          <w:tab w:val="left" w:pos="851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8.3.</w:t>
      </w:r>
      <w:r>
        <w:rPr>
          <w:rFonts w:ascii="Liberation Serif" w:hAnsi="Liberation Serif" w:eastAsia="Times New Roman" w:cs="Liberation Serif"/>
          <w:sz w:val="20"/>
          <w:szCs w:val="20"/>
        </w:rPr>
        <w:tab/>
        <w:t xml:space="preserve">Любая из Сторон имеет право в одностороннем внесудебном порядке отказаться от исполнения настоящего Соглашения, письменно уведомив об этом другую Сторону не менее чем [за 1 (один) календарный месяц] до даты расторжения Соглашения</w:t>
      </w:r>
      <w:r>
        <w:rPr>
          <w:rFonts w:ascii="Liberation Serif" w:hAnsi="Liberation Serif" w:eastAsia="Times New Roman" w:cs="Liberation Serif"/>
        </w:rPr>
        <w:t xml:space="preserve"> 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в соответствии с порядком обмена документами, установленным настоящим Соглашением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right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right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Приложение № 1 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right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к Соглашению 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об электронном документообороте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ind w:firstLine="426"/>
        <w:jc w:val="center"/>
        <w:spacing w:after="0" w:line="240" w:lineRule="auto"/>
        <w:tabs>
          <w:tab w:val="left" w:pos="720" w:leader="none"/>
        </w:tabs>
        <w:rPr>
          <w:rFonts w:ascii="Liberation Serif" w:hAnsi="Liberation Serif" w:eastAsia="Times New Roman" w:cs="Liberation Serif"/>
          <w:b/>
          <w:color w:val="000000"/>
          <w:sz w:val="20"/>
          <w:szCs w:val="20"/>
        </w:rPr>
      </w:pPr>
      <w:r>
        <w:rPr>
          <w:rFonts w:ascii="Liberation Serif" w:hAnsi="Liberation Serif" w:eastAsia="Times New Roman" w:cs="Liberation Serif"/>
          <w:b/>
          <w:color w:val="000000"/>
          <w:sz w:val="20"/>
          <w:szCs w:val="20"/>
        </w:rPr>
        <w:t xml:space="preserve">Перечень документов, включаемых в состав ЭДО</w:t>
      </w:r>
      <w:r>
        <w:rPr>
          <w:rFonts w:ascii="Liberation Serif" w:hAnsi="Liberation Serif" w:eastAsia="Times New Roman" w:cs="Liberation Serif"/>
          <w:b/>
          <w:color w:val="000000"/>
          <w:sz w:val="20"/>
          <w:szCs w:val="20"/>
        </w:rPr>
      </w:r>
      <w:r>
        <w:rPr>
          <w:rFonts w:ascii="Liberation Serif" w:hAnsi="Liberation Serif" w:eastAsia="Times New Roman" w:cs="Liberation Serif"/>
          <w:b/>
          <w:color w:val="000000"/>
          <w:sz w:val="20"/>
          <w:szCs w:val="20"/>
        </w:rPr>
      </w:r>
    </w:p>
    <w:tbl>
      <w:tblPr>
        <w:tblW w:w="107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76"/>
        <w:gridCol w:w="5344"/>
        <w:gridCol w:w="688"/>
        <w:gridCol w:w="3990"/>
        <w:gridCol w:w="8"/>
        <w:gridCol w:w="113"/>
      </w:tblGrid>
      <w:tr>
        <w:tblPrEx/>
        <w:trPr>
          <w:gridAfter w:val="1"/>
        </w:trPr>
        <w:tc>
          <w:tcPr>
            <w:gridSpan w:val="5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60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  <w:t xml:space="preserve">Формализованные документы</w:t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Документ об отгрузке товаров (выполнении работ), передаче имущественных прав (документ об оказании услуг), в т. ч. исправленный, в электронной форме, в формате XML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Приказ ФНС России от 19.12.2023 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N ЕД-7-26/970@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Счет-фактура, в т. ч. исправленный, в электронной форме, в формате XML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Приказ ФНС России от 19.12.2023 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N ЕД-7-26/970@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Документ об изменении стоимости отгруженных товаров (выполненных работ, оказанных услуг), переданных имущественных прав, в электронной форме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Приказ ФНС России от 12.10.2020 № ЕД-7-26/736@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2"/>
          <w:trHeight w:val="50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Корректировочный счет-фактура, в т. ч. исправленный, в электронной форме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  <w:lang w:eastAsia="ru-RU"/>
              </w:rPr>
              <w:t xml:space="preserve">Приказ ФНС России от 12.10.2020 № ЕД-7-26/736@</w:t>
            </w:r>
            <w:r>
              <w:rPr>
                <w:rFonts w:ascii="Liberation Serif" w:hAnsi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Документ об изменении стоимости отгруженных товаров (выполненных работ, оказанных услуг), переданных имущественных прав, включающий в себя корректировочный счет-фактуру, в электронной форме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  <w:lang w:eastAsia="ru-RU"/>
              </w:rPr>
              <w:t xml:space="preserve">Приказ ФНС России от 12.10.2020 № ЕД-7-26/736@</w:t>
            </w:r>
            <w:r>
              <w:rPr>
                <w:rFonts w:ascii="Liberation Serif" w:hAnsi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Корректировочный счет-фактура и/или документ, подтверждающ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ий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 согласие (факт уведомления) покупателя на изменение стоимости отгруженных товаров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Приказ ФНС России от 12.10.2020 № ЕД-7-26/736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@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  <w:t xml:space="preserve">7</w:t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Документ о приемке товарно-материальных ценностей и выявленных расхождений, в электронной форме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Приказ ФНС России от 27.08.2019 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№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 ММВ-7-15/423@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  <w:t xml:space="preserve">8</w:t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Универсальный корректировочный документ (УКД) в формате XML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  <w:lang w:eastAsia="ru-RU"/>
              </w:rPr>
              <w:t xml:space="preserve">Приказ ФНС России от 12.10.2020 № ЕД-7-26/736@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/>
        <w:trPr>
          <w:gridAfter w:val="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9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Уведомление об уточнении электронного документа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  <w:lang w:eastAsia="ru-RU"/>
              </w:rPr>
              <w:t xml:space="preserve">Приказ ФНС России от 30.01.2012 № ММВ-7-6/36@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gridSpan w:val="6"/>
            <w:shd w:val="clear" w:color="auto" w:fill="auto"/>
            <w:tcW w:w="1071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cs="Liberation Serif"/>
                <w:color w:val="000000"/>
                <w:sz w:val="20"/>
                <w:szCs w:val="20"/>
              </w:rPr>
              <w:tab/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Неформализованные документы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gridSpan w:val="3"/>
            <w:shd w:val="clear" w:color="auto" w:fill="auto"/>
            <w:tcW w:w="660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Вид документа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W w:w="411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Применяемый вид ЭП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43"/>
        </w:trPr>
        <w:tc>
          <w:tcPr>
            <w:gridSpan w:val="3"/>
            <w:shd w:val="clear" w:color="auto" w:fill="auto"/>
            <w:tcW w:w="660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счета на оплату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W w:w="411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gridSpan w:val="3"/>
            <w:shd w:val="clear" w:color="auto" w:fill="auto"/>
            <w:tcW w:w="660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акты-сверки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W w:w="411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gridSpan w:val="3"/>
            <w:shd w:val="clear" w:color="auto" w:fill="auto"/>
            <w:tcW w:w="660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договоры и дополнительные соглашения, за исключением трудовых договоров</w:t>
            </w:r>
            <w:r>
              <w:rPr>
                <w:rFonts w:ascii="Liberation Serif" w:hAnsi="Liberation Serif" w:eastAsia="Times New Roman" w:cs="Liberation Serif"/>
              </w:rPr>
              <w:t xml:space="preserve"> 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и дополнительных соглашений к трудовым договорам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, договоров, требующих нотариального удостоверения и/или государственной регистрации, биржевых сделок, сделок на ОРЭМ, в отношении котор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ых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 заключено настоящее Соглашение об ЭДО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W w:w="411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gridSpan w:val="3"/>
            <w:shd w:val="clear" w:color="auto" w:fill="auto"/>
            <w:tcW w:w="660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документы, сопровождающие формализованные электронные документы, в том числе приложения к ним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W w:w="411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gridSpan w:val="3"/>
            <w:shd w:val="clear" w:color="auto" w:fill="auto"/>
            <w:tcW w:w="660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  <w:t xml:space="preserve">иные документы, подтверждающие исполнение хозяйственного Договора, в отношении которого заключено настоящее Соглашение об ЭДО.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shd w:val="clear" w:color="auto" w:fill="auto"/>
            <w:tcW w:w="411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eastAsia="ru-RU"/>
              </w:rPr>
            </w:r>
          </w:p>
        </w:tc>
      </w:tr>
    </w:tbl>
    <w:p>
      <w:pPr>
        <w:jc w:val="both"/>
        <w:spacing w:after="0" w:line="240" w:lineRule="auto"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 w:cs="Liberation Serif"/>
          <w:color w:val="000000"/>
          <w:sz w:val="20"/>
          <w:szCs w:val="20"/>
        </w:rPr>
        <w:tab/>
      </w:r>
      <w:r>
        <w:rPr>
          <w:rFonts w:ascii="Liberation Serif" w:hAnsi="Liberation Serif" w:cs="Liberation Serif"/>
          <w:color w:val="0d0d0d"/>
          <w:sz w:val="20"/>
          <w:szCs w:val="20"/>
        </w:rPr>
        <w:t xml:space="preserve">Обмен неформализованными документами осуществляется </w:t>
      </w:r>
      <w:r>
        <w:rPr>
          <w:rFonts w:ascii="Liberation Serif" w:hAnsi="Liberation Serif" w:cs="Liberation Serif"/>
          <w:sz w:val="20"/>
          <w:szCs w:val="20"/>
        </w:rPr>
        <w:t xml:space="preserve">в следующих форматах: </w:t>
      </w:r>
      <w:r>
        <w:rPr>
          <w:rFonts w:ascii="Liberation Serif" w:hAnsi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numPr>
          <w:ilvl w:val="0"/>
          <w:numId w:val="32"/>
        </w:numPr>
        <w:ind w:left="0" w:firstLine="0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Microsoft Word 97-2010 (.doc); 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numPr>
          <w:ilvl w:val="0"/>
          <w:numId w:val="32"/>
        </w:numPr>
        <w:ind w:left="0" w:firstLine="0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Microsoft Excel 97-2010 (.xls);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numPr>
          <w:ilvl w:val="0"/>
          <w:numId w:val="32"/>
        </w:numPr>
        <w:ind w:left="0" w:firstLine="0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val="en-US"/>
        </w:rPr>
      </w:pPr>
      <w:r>
        <w:rPr>
          <w:rFonts w:ascii="Liberation Serif" w:hAnsi="Liberation Serif" w:eastAsia="Times New Roman" w:cs="Liberation Serif"/>
          <w:sz w:val="20"/>
          <w:szCs w:val="20"/>
          <w:lang w:val="en-US"/>
        </w:rPr>
        <w:t xml:space="preserve">Office Open XML (.docx,.xlsx);</w:t>
      </w:r>
      <w:r>
        <w:rPr>
          <w:rFonts w:ascii="Liberation Serif" w:hAnsi="Liberation Serif" w:eastAsia="Times New Roman" w:cs="Liberation Serif"/>
          <w:sz w:val="20"/>
          <w:szCs w:val="20"/>
          <w:lang w:val="en-US"/>
        </w:rPr>
      </w:r>
      <w:r>
        <w:rPr>
          <w:rFonts w:ascii="Liberation Serif" w:hAnsi="Liberation Serif" w:eastAsia="Times New Roman" w:cs="Liberation Serif"/>
          <w:sz w:val="20"/>
          <w:szCs w:val="20"/>
          <w:lang w:val="en-US"/>
        </w:rPr>
      </w:r>
    </w:p>
    <w:p>
      <w:pPr>
        <w:numPr>
          <w:ilvl w:val="0"/>
          <w:numId w:val="32"/>
        </w:numPr>
        <w:ind w:left="0" w:firstLine="0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val="en-US"/>
        </w:rPr>
      </w:pPr>
      <w:r>
        <w:rPr>
          <w:rFonts w:ascii="Liberation Serif" w:hAnsi="Liberation Serif" w:eastAsia="Times New Roman" w:cs="Liberation Serif"/>
          <w:sz w:val="20"/>
          <w:szCs w:val="20"/>
          <w:lang w:val="en-US"/>
        </w:rPr>
        <w:t xml:space="preserve">Joint Photographic Experts Group (.jpeg,.jfif,.jpg);</w:t>
      </w:r>
      <w:r>
        <w:rPr>
          <w:rFonts w:ascii="Liberation Serif" w:hAnsi="Liberation Serif" w:eastAsia="Times New Roman" w:cs="Liberation Serif"/>
          <w:sz w:val="20"/>
          <w:szCs w:val="20"/>
          <w:lang w:val="en-US"/>
        </w:rPr>
      </w:r>
      <w:r>
        <w:rPr>
          <w:rFonts w:ascii="Liberation Serif" w:hAnsi="Liberation Serif" w:eastAsia="Times New Roman" w:cs="Liberation Serif"/>
          <w:sz w:val="20"/>
          <w:szCs w:val="20"/>
          <w:lang w:val="en-US"/>
        </w:rPr>
      </w:r>
    </w:p>
    <w:p>
      <w:pPr>
        <w:numPr>
          <w:ilvl w:val="0"/>
          <w:numId w:val="32"/>
        </w:numPr>
        <w:ind w:left="0" w:firstLine="0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Rich Text Format (.rtf);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numPr>
          <w:ilvl w:val="0"/>
          <w:numId w:val="32"/>
        </w:numPr>
        <w:ind w:left="0" w:firstLine="0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Portable Document Format (.pdf);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numPr>
          <w:ilvl w:val="0"/>
          <w:numId w:val="32"/>
        </w:numPr>
        <w:ind w:left="0" w:firstLine="0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Текстовый файл (.txt)</w:t>
      </w:r>
      <w:r>
        <w:rPr>
          <w:rFonts w:ascii="Liberation Serif" w:hAnsi="Liberation Serif" w:eastAsia="Times New Roman" w:cs="Liberation Serif"/>
          <w:sz w:val="20"/>
          <w:szCs w:val="20"/>
        </w:rPr>
        <w:t xml:space="preserve">;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p>
      <w:pPr>
        <w:numPr>
          <w:ilvl w:val="0"/>
          <w:numId w:val="32"/>
        </w:numPr>
        <w:ind w:left="0" w:firstLine="0"/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  <w:lang w:val="en-US"/>
        </w:rPr>
      </w:pPr>
      <w:r>
        <w:rPr>
          <w:rFonts w:ascii="Liberation Serif" w:hAnsi="Liberation Serif" w:eastAsia="Times New Roman" w:cs="Liberation Serif"/>
          <w:sz w:val="20"/>
          <w:szCs w:val="20"/>
          <w:lang w:val="en-US"/>
        </w:rPr>
        <w:t xml:space="preserve">ПО Р7 и LibreOffice (*.odt, *.ott, *.ods, *.ots).</w:t>
      </w:r>
      <w:r>
        <w:rPr>
          <w:rFonts w:ascii="Liberation Serif" w:hAnsi="Liberation Serif" w:eastAsia="Times New Roman" w:cs="Liberation Serif"/>
          <w:sz w:val="20"/>
          <w:szCs w:val="20"/>
          <w:lang w:val="en-US"/>
        </w:rPr>
      </w:r>
      <w:r>
        <w:rPr>
          <w:rFonts w:ascii="Liberation Serif" w:hAnsi="Liberation Serif" w:eastAsia="Times New Roman" w:cs="Liberation Serif"/>
          <w:sz w:val="20"/>
          <w:szCs w:val="20"/>
          <w:lang w:val="en-US"/>
        </w:rPr>
      </w:r>
    </w:p>
    <w:p>
      <w:pPr>
        <w:jc w:val="both"/>
        <w:spacing w:after="0" w:line="240" w:lineRule="auto"/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  <w:t xml:space="preserve">Обмен неформализованными документами в форматах, не указанных выше, подлежит дополнительному согласованию Сторонами.</w:t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tbl>
      <w:tblPr>
        <w:tblW w:w="0" w:type="auto"/>
        <w:tblInd w:w="12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</w:rPr>
              <w:t xml:space="preserve">Сторона-1: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  <w:t xml:space="preserve">____________________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  <w:t xml:space="preserve">______________ (должность)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  <w:t xml:space="preserve">________/_____________ (И.О. Фамилия)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  <w:t xml:space="preserve">М.П.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</w:rPr>
              <w:t xml:space="preserve">Сторона-2:</w:t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b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  <w:t xml:space="preserve">_____________________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  <w:t xml:space="preserve">______________ (должность)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  <w:t xml:space="preserve">________/______________ (И.О. Фамилия)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0"/>
                <w:szCs w:val="20"/>
                <w:lang w:val="en-US"/>
              </w:rPr>
            </w:pPr>
            <w:r>
              <w:rPr>
                <w:rFonts w:ascii="Liberation Serif" w:hAnsi="Liberation Serif" w:eastAsia="Times New Roman" w:cs="Liberation Serif"/>
                <w:sz w:val="20"/>
                <w:szCs w:val="20"/>
                <w:lang w:val="en-US"/>
              </w:rPr>
              <w:t xml:space="preserve">М.П.</w:t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eastAsia="Times New Roman" w:cs="Liberation Serif"/>
                <w:sz w:val="20"/>
                <w:szCs w:val="20"/>
                <w:lang w:val="en-US"/>
              </w:rPr>
            </w:r>
          </w:p>
        </w:tc>
      </w:tr>
    </w:tbl>
    <w:p>
      <w:pPr>
        <w:spacing w:after="0" w:line="240" w:lineRule="auto"/>
        <w:rPr>
          <w:rFonts w:ascii="Liberation Serif" w:hAnsi="Liberation Serif" w:eastAsia="Times New Roman" w:cs="Liberation Serif"/>
          <w:sz w:val="20"/>
          <w:szCs w:val="20"/>
        </w:rPr>
      </w:pP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  <w:r>
        <w:rPr>
          <w:rFonts w:ascii="Liberation Serif" w:hAnsi="Liberation Serif" w:eastAsia="Times New Roman" w:cs="Liberation Serif"/>
          <w:sz w:val="20"/>
          <w:szCs w:val="20"/>
        </w:rPr>
      </w:r>
    </w:p>
    <w:sectPr>
      <w:footnotePr/>
      <w:endnotePr/>
      <w:type w:val="nextPage"/>
      <w:pgSz w:w="11906" w:h="16838" w:orient="portrait"/>
      <w:pgMar w:top="720" w:right="720" w:bottom="720" w:left="720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Mincho">
    <w:panose1 w:val="02020503050405090304"/>
  </w:font>
  <w:font w:name="Calibri Light">
    <w:panose1 w:val="020F0302020204030203"/>
  </w:font>
  <w:font w:name="Liberation Serif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PMingLiU">
    <w:panose1 w:val="02020502060505020204"/>
  </w:font>
  <w:font w:name="Segoe UI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4"/>
      <w:jc w:val="right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fldChar w:fldCharType="begin"/>
    </w:r>
    <w:r>
      <w:rPr>
        <w:rFonts w:ascii="Times New Roman" w:hAnsi="Times New Roman"/>
        <w:sz w:val="18"/>
        <w:szCs w:val="18"/>
      </w:rPr>
      <w:instrText xml:space="preserve">PAGE   \* MERGEFORMAT</w:instrText>
    </w:r>
    <w:r>
      <w:rPr>
        <w:rFonts w:ascii="Times New Roman" w:hAnsi="Times New Roman"/>
        <w:sz w:val="18"/>
        <w:szCs w:val="18"/>
      </w:rPr>
      <w:fldChar w:fldCharType="separate"/>
    </w:r>
    <w:r>
      <w:rPr>
        <w:rFonts w:ascii="Times New Roman" w:hAnsi="Times New Roman"/>
        <w:sz w:val="18"/>
        <w:szCs w:val="18"/>
      </w:rPr>
      <w:t xml:space="preserve">17</w:t>
    </w:r>
    <w:r>
      <w:rPr>
        <w:rFonts w:ascii="Times New Roman" w:hAnsi="Times New Roman"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</w:r>
    <w:r>
      <w:rPr>
        <w:rFonts w:ascii="Times New Roman" w:hAnsi="Times New Roman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  <w:footnote w:id="2">
    <w:p>
      <w:pPr>
        <w:pStyle w:val="955"/>
      </w:pPr>
      <w:r>
        <w:rPr>
          <w:rStyle w:val="957"/>
        </w:rPr>
        <w:footnoteRef/>
      </w:r>
      <w:r>
        <w:t xml:space="preserve"> </w:t>
      </w:r>
      <w:r>
        <w:rPr>
          <w:sz w:val="18"/>
          <w:szCs w:val="18"/>
        </w:rPr>
        <w:t xml:space="preserve">Применяемый тип нумерации указывается в каждом заключенном Сторонами договоре.</w:t>
      </w:r>
      <w:r>
        <w:t xml:space="preserve"> </w:t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."/>
      <w:lvlJc w:val="left"/>
      <w:pPr>
        <w:ind w:left="644" w:hanging="360"/>
        <w:tabs>
          <w:tab w:val="num" w:pos="644" w:leader="none"/>
        </w:tabs>
      </w:pPr>
      <w:rPr>
        <w:rFonts w:hint="default"/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  <w:tabs>
          <w:tab w:val="num" w:pos="576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  <w:tabs>
          <w:tab w:val="num" w:pos="7560" w:leader="none"/>
        </w:tabs>
      </w:pPr>
      <w:rPr>
        <w:rFonts w:hint="default"/>
      </w:rPr>
    </w:lvl>
  </w:abstractNum>
  <w:abstractNum w:abstractNumId="1">
    <w:multiLevelType w:val="hybridMultilevel"/>
    <w:lvl w:ilvl="0">
      <w:start w:val="1"/>
      <w:numFmt w:val="lowerLetter"/>
      <w:isLgl w:val="false"/>
      <w:suff w:val="nothing"/>
      <w:lvlText w:val="%1)"/>
      <w:lvlJc w:val="left"/>
      <w:pPr>
        <w:ind w:left="57" w:firstLine="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86" w:hanging="360"/>
        <w:tabs>
          <w:tab w:val="num" w:pos="786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786" w:hanging="360"/>
        <w:tabs>
          <w:tab w:val="num" w:pos="786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506" w:hanging="360"/>
        <w:tabs>
          <w:tab w:val="num" w:pos="1506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226" w:hanging="360"/>
        <w:tabs>
          <w:tab w:val="num" w:pos="2226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2946" w:hanging="360"/>
        <w:tabs>
          <w:tab w:val="num" w:pos="2946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666" w:hanging="360"/>
        <w:tabs>
          <w:tab w:val="num" w:pos="3666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386" w:hanging="360"/>
        <w:tabs>
          <w:tab w:val="num" w:pos="4386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106" w:hanging="360"/>
        <w:tabs>
          <w:tab w:val="num" w:pos="5106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826" w:hanging="360"/>
        <w:tabs>
          <w:tab w:val="num" w:pos="5826" w:leader="none"/>
        </w:tabs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space"/>
      <w:lvlText w:val=""/>
      <w:lvlJc w:val="left"/>
      <w:pPr>
        <w:ind w:left="5691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16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2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  <w:rPr>
        <w:rFonts w:hint="default"/>
      </w:rPr>
    </w:lvl>
  </w:abstractNum>
  <w:abstractNum w:abstractNumId="5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65" w:hanging="765"/>
        <w:tabs>
          <w:tab w:val="num" w:pos="765" w:leader="none"/>
        </w:tabs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ind w:left="765" w:hanging="765"/>
        <w:tabs>
          <w:tab w:val="num" w:pos="765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65" w:hanging="765"/>
        <w:tabs>
          <w:tab w:val="num" w:pos="765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65" w:hanging="765"/>
        <w:tabs>
          <w:tab w:val="num" w:pos="765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767" w:hanging="360"/>
      </w:pPr>
      <w:rPr>
        <w:rFonts w:hint="default"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48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0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2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4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6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08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0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27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ind w:left="858" w:hanging="432"/>
        <w:tabs>
          <w:tab w:val="num" w:pos="858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  <w:rPr>
        <w:rFonts w:hint="default"/>
      </w:rPr>
    </w:lvl>
  </w:abstractNum>
  <w:abstractNum w:abstractNumId="9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  <w:rPr>
        <w:rFonts w:hint="default"/>
      </w:rPr>
    </w:lvl>
  </w:abstractNum>
  <w:abstractNum w:abstractNumId="12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5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  <w:rPr>
        <w:rFonts w:hint="default"/>
      </w:rPr>
    </w:lvl>
  </w:abstractNum>
  <w:abstractNum w:abstractNumId="13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2148" w:hanging="360"/>
        <w:tabs>
          <w:tab w:val="num" w:pos="2148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hint="default" w:ascii="Times New Roman" w:hAnsi="Times New Roman"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bullet"/>
      <w:isLgl w:val="false"/>
      <w:suff w:val="space"/>
      <w:lvlText w:val=""/>
      <w:lvlJc w:val="left"/>
      <w:pPr>
        <w:ind w:left="8231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895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967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1039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1111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1183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255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327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3991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</w:rPr>
    </w:lvl>
  </w:abstractNum>
  <w:abstractNum w:abstractNumId="16">
    <w:multiLevelType w:val="hybridMultilevel"/>
    <w:lvl w:ilvl="0">
      <w:start w:val="13"/>
      <w:numFmt w:val="decimal"/>
      <w:isLgl w:val="false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7383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80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lowerLetter"/>
      <w:isLgl w:val="false"/>
      <w:suff w:val="nothing"/>
      <w:lvlText w:val="%1)"/>
      <w:lvlJc w:val="left"/>
      <w:pPr>
        <w:ind w:left="57" w:firstLine="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1">
    <w:multiLevelType w:val="hybridMultilevel"/>
    <w:lvl w:ilvl="0">
      <w:start w:val="8"/>
      <w:numFmt w:val="decimal"/>
      <w:isLgl w:val="false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  <w:tabs>
          <w:tab w:val="num" w:pos="1287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  <w:tabs>
          <w:tab w:val="num" w:pos="2007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  <w:tabs>
          <w:tab w:val="num" w:pos="2727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  <w:tabs>
          <w:tab w:val="num" w:pos="3447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  <w:tabs>
          <w:tab w:val="num" w:pos="4167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  <w:tabs>
          <w:tab w:val="num" w:pos="4887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  <w:tabs>
          <w:tab w:val="num" w:pos="5607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  <w:tabs>
          <w:tab w:val="num" w:pos="6327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7047" w:leader="none"/>
        </w:tabs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  <w:tabs>
          <w:tab w:val="num" w:pos="216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  <w:tabs>
          <w:tab w:val="num" w:pos="288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  <w:tabs>
          <w:tab w:val="num" w:pos="360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  <w:tabs>
          <w:tab w:val="num" w:pos="432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  <w:tabs>
          <w:tab w:val="num" w:pos="504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  <w:tabs>
          <w:tab w:val="num" w:pos="576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  <w:tabs>
          <w:tab w:val="num" w:pos="648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  <w:tabs>
          <w:tab w:val="num" w:pos="7200" w:leader="none"/>
        </w:tabs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14"/>
      <w:numFmt w:val="decimal"/>
      <w:isLgl w:val="false"/>
      <w:suff w:val="tab"/>
      <w:lvlText w:val="%1."/>
      <w:lvlJc w:val="left"/>
      <w:pPr>
        <w:ind w:left="660" w:hanging="660"/>
      </w:pPr>
      <w:rPr>
        <w:rFonts w:hint="default"/>
      </w:rPr>
    </w:lvl>
    <w:lvl w:ilvl="1">
      <w:start w:val="11"/>
      <w:numFmt w:val="decimal"/>
      <w:isLgl w:val="false"/>
      <w:suff w:val="tab"/>
      <w:lvlText w:val="%1.%2."/>
      <w:lvlJc w:val="left"/>
      <w:pPr>
        <w:ind w:left="802" w:hanging="6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576" w:hanging="1440"/>
      </w:pPr>
      <w:rPr>
        <w:rFonts w:hint="default"/>
      </w:rPr>
    </w:lvl>
  </w:abstractNum>
  <w:abstractNum w:abstractNumId="26">
    <w:multiLevelType w:val="hybridMultilevel"/>
    <w:lvl w:ilvl="0">
      <w:start w:val="1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  <w:rPr>
        <w:rFonts w:hint="default"/>
      </w:rPr>
    </w:lvl>
  </w:abstractNum>
  <w:abstractNum w:abstractNumId="27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928" w:hanging="360"/>
        <w:tabs>
          <w:tab w:val="num" w:pos="928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  <w:rPr>
        <w:rFonts w:hint="default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0" w:hanging="360"/>
      </w:pPr>
      <w:rPr>
        <w:rFonts w:hint="default" w:ascii="Symbol" w:hAnsi="Symbol"/>
      </w:rPr>
    </w:lvl>
    <w:lvl w:ilvl="1">
      <w:start w:val="1"/>
      <w:numFmt w:val="decimal"/>
      <w:isLgl/>
      <w:suff w:val="tab"/>
      <w:lvlText w:val="%1.%2."/>
      <w:lvlJc w:val="left"/>
      <w:pPr>
        <w:ind w:left="360" w:hanging="720"/>
      </w:pPr>
      <w:rPr>
        <w:rFonts w:hint="default"/>
        <w:b w:val="0"/>
      </w:rPr>
    </w:lvl>
    <w:lvl w:ilvl="2">
      <w:start w:val="1"/>
      <w:numFmt w:val="bullet"/>
      <w:isLgl w:val="false"/>
      <w:suff w:val="tab"/>
      <w:lvlText w:val=""/>
      <w:lvlJc w:val="left"/>
      <w:pPr>
        <w:ind w:left="360" w:hanging="720"/>
      </w:pPr>
      <w:rPr>
        <w:rFonts w:hint="default" w:ascii="Symbol" w:hAnsi="Symbol"/>
      </w:rPr>
    </w:lvl>
    <w:lvl w:ilvl="3">
      <w:start w:val="1"/>
      <w:numFmt w:val="decimal"/>
      <w:isLgl/>
      <w:suff w:val="tab"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1800" w:hanging="2160"/>
      </w:pPr>
      <w:rPr>
        <w:rFonts w:hint="default"/>
      </w:rPr>
    </w:lvl>
  </w:abstractNum>
  <w:abstractNum w:abstractNumId="29">
    <w:multiLevelType w:val="hybridMultilevel"/>
    <w:lvl w:ilvl="0">
      <w:start w:val="14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1"/>
      <w:numFmt w:val="decimal"/>
      <w:isLgl/>
      <w:suff w:val="tab"/>
      <w:lvlText w:val="%1.%2.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3839" w:hanging="720"/>
      </w:pPr>
      <w:rPr>
        <w:rFonts w:hint="default"/>
        <w:i w:val="0"/>
      </w:rPr>
    </w:lvl>
    <w:lvl w:ilvl="3">
      <w:start w:val="1"/>
      <w:numFmt w:val="decimal"/>
      <w:isLgl/>
      <w:suff w:val="tab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0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."/>
      <w:lvlJc w:val="left"/>
      <w:pPr>
        <w:ind w:left="502" w:hanging="360"/>
        <w:tabs>
          <w:tab w:val="num" w:pos="502" w:leader="none"/>
        </w:tabs>
      </w:pPr>
      <w:rPr>
        <w:rFonts w:hint="default"/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  <w:tabs>
          <w:tab w:val="num" w:pos="576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  <w:tabs>
          <w:tab w:val="num" w:pos="7560" w:leader="none"/>
        </w:tabs>
      </w:pPr>
      <w:rPr>
        <w:rFonts w:hint="default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14"/>
      <w:numFmt w:val="decimal"/>
      <w:isLgl w:val="false"/>
      <w:suff w:val="tab"/>
      <w:lvlText w:val="%1."/>
      <w:lvlJc w:val="left"/>
      <w:pPr>
        <w:ind w:left="660" w:hanging="660"/>
      </w:pPr>
      <w:rPr>
        <w:rFonts w:hint="default"/>
      </w:rPr>
    </w:lvl>
    <w:lvl w:ilvl="1">
      <w:start w:val="10"/>
      <w:numFmt w:val="decimal"/>
      <w:isLgl w:val="false"/>
      <w:suff w:val="tab"/>
      <w:lvlText w:val="%1.%2."/>
      <w:lvlJc w:val="left"/>
      <w:pPr>
        <w:ind w:left="660" w:hanging="660"/>
      </w:pPr>
      <w:rPr>
        <w:rFonts w:hint="default"/>
      </w:rPr>
    </w:lvl>
    <w:lvl w:ilvl="2">
      <w:start w:val="4"/>
      <w:numFmt w:val="decimal"/>
      <w:isLgl w:val="false"/>
      <w:suff w:val="tab"/>
      <w:lvlText w:val="%1.%2.%3."/>
      <w:lvlJc w:val="left"/>
      <w:pPr>
        <w:ind w:left="38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5397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73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8875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434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2353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3912" w:hanging="1440"/>
      </w:pPr>
      <w:rPr>
        <w:rFonts w:hint="default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  <w:rPr>
        <w:rFonts w:hint="default"/>
      </w:rPr>
    </w:lvl>
  </w:abstractNum>
  <w:abstractNum w:abstractNumId="34">
    <w:multiLevelType w:val="hybridMultilevel"/>
    <w:lvl w:ilvl="0">
      <w:start w:val="1"/>
      <w:numFmt w:val="lowerLetter"/>
      <w:isLgl w:val="false"/>
      <w:suff w:val="space"/>
      <w:lvlText w:val="%1)"/>
      <w:lvlJc w:val="left"/>
      <w:pPr>
        <w:ind w:left="417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  <w:tabs>
          <w:tab w:val="num" w:pos="1931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  <w:tabs>
          <w:tab w:val="num" w:pos="2651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  <w:tabs>
          <w:tab w:val="num" w:pos="3371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  <w:tabs>
          <w:tab w:val="num" w:pos="4091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  <w:tabs>
          <w:tab w:val="num" w:pos="4811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  <w:tabs>
          <w:tab w:val="num" w:pos="5531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  <w:tabs>
          <w:tab w:val="num" w:pos="6251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  <w:tabs>
          <w:tab w:val="num" w:pos="6971" w:leader="none"/>
        </w:tabs>
      </w:p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0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16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2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29" w:hanging="420"/>
      </w:pPr>
      <w:rPr>
        <w:rFonts w:hint="default" w:ascii="Times New Roman" w:hAnsi="Times New Roman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>
    <w:multiLevelType w:val="hybridMultilevel"/>
    <w:lvl w:ilvl="0">
      <w:start w:val="3"/>
      <w:numFmt w:val="decimal"/>
      <w:isLgl w:val="false"/>
      <w:suff w:val="space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."/>
      <w:lvlJc w:val="left"/>
      <w:pPr>
        <w:ind w:left="644" w:hanging="360"/>
        <w:tabs>
          <w:tab w:val="num" w:pos="644" w:leader="none"/>
        </w:tabs>
      </w:pPr>
      <w:rPr>
        <w:rFonts w:hint="default"/>
        <w:b w:val="0"/>
        <w:i w:val="0"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  <w:tabs>
          <w:tab w:val="num" w:pos="576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  <w:tabs>
          <w:tab w:val="num" w:pos="7560" w:leader="none"/>
        </w:tabs>
      </w:pPr>
      <w:rPr>
        <w:rFonts w:hint="default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4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3839" w:hanging="720"/>
        <w:tabs>
          <w:tab w:val="num" w:pos="3839" w:leader="none"/>
        </w:tabs>
      </w:pPr>
      <w:rPr>
        <w:rFonts w:hint="default"/>
        <w:b w:val="0"/>
        <w:i w:val="0"/>
        <w:color w:val="auto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</w:abstractNum>
  <w:abstractNum w:abstractNumId="43">
    <w:multiLevelType w:val="hybridMultilevel"/>
    <w:lvl w:ilvl="0">
      <w:start w:val="1"/>
      <w:numFmt w:val="bullet"/>
      <w:isLgl w:val="false"/>
      <w:suff w:val="space"/>
      <w:lvlText w:val=""/>
      <w:lvlJc w:val="left"/>
      <w:pPr>
        <w:ind w:left="100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16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2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>
    <w:multiLevelType w:val="hybridMultilevel"/>
    <w:lvl w:ilvl="0">
      <w:start w:val="10"/>
      <w:numFmt w:val="decimal"/>
      <w:isLgl w:val="false"/>
      <w:suff w:val="tab"/>
      <w:lvlText w:val="%1"/>
      <w:lvlJc w:val="left"/>
      <w:pPr>
        <w:ind w:left="480" w:hanging="480"/>
      </w:pPr>
    </w:lvl>
    <w:lvl w:ilvl="1">
      <w:start w:val="13"/>
      <w:numFmt w:val="decimal"/>
      <w:isLgl w:val="false"/>
      <w:suff w:val="tab"/>
      <w:lvlText w:val="%1.%2"/>
      <w:lvlJc w:val="left"/>
      <w:pPr>
        <w:ind w:left="1200" w:hanging="480"/>
      </w:pPr>
    </w:lvl>
    <w:lvl w:ilvl="2">
      <w:start w:val="1"/>
      <w:numFmt w:val="decimal"/>
      <w:isLgl w:val="false"/>
      <w:suff w:val="tab"/>
      <w:lvlText w:val="%1.%2.%3"/>
      <w:lvlJc w:val="left"/>
      <w:pPr>
        <w:ind w:left="2160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396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46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576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648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200" w:hanging="1440"/>
      </w:p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7">
    <w:multiLevelType w:val="hybridMultilevel"/>
    <w:lvl w:ilvl="0">
      <w:start w:val="3"/>
      <w:numFmt w:val="decimal"/>
      <w:isLgl w:val="false"/>
      <w:suff w:val="space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."/>
      <w:lvlJc w:val="left"/>
      <w:pPr>
        <w:ind w:left="644" w:hanging="360"/>
        <w:tabs>
          <w:tab w:val="num" w:pos="644" w:leader="none"/>
        </w:tabs>
      </w:pPr>
      <w:rPr>
        <w:rFonts w:hint="default"/>
        <w:b w:val="0"/>
        <w:i w:val="0"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  <w:tabs>
          <w:tab w:val="num" w:pos="576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  <w:tabs>
          <w:tab w:val="num" w:pos="7560" w:leader="none"/>
        </w:tabs>
      </w:pPr>
      <w:rPr>
        <w:rFonts w:hint="default"/>
      </w:rPr>
    </w:lvl>
  </w:abstractNum>
  <w:num w:numId="1">
    <w:abstractNumId w:val="22"/>
  </w:num>
  <w:num w:numId="2">
    <w:abstractNumId w:val="15"/>
  </w:num>
  <w:num w:numId="3">
    <w:abstractNumId w:val="33"/>
  </w:num>
  <w:num w:numId="4">
    <w:abstractNumId w:val="39"/>
  </w:num>
  <w:num w:numId="5">
    <w:abstractNumId w:val="23"/>
  </w:num>
  <w:num w:numId="6">
    <w:abstractNumId w:val="42"/>
  </w:num>
  <w:num w:numId="7">
    <w:abstractNumId w:val="17"/>
  </w:num>
  <w:num w:numId="8">
    <w:abstractNumId w:val="8"/>
  </w:num>
  <w:num w:numId="9">
    <w:abstractNumId w:val="2"/>
  </w:num>
  <w:num w:numId="10">
    <w:abstractNumId w:val="12"/>
  </w:num>
  <w:num w:numId="11">
    <w:abstractNumId w:val="5"/>
  </w:num>
  <w:num w:numId="12">
    <w:abstractNumId w:val="27"/>
  </w:num>
  <w:num w:numId="13">
    <w:abstractNumId w:val="13"/>
  </w:num>
  <w:num w:numId="14">
    <w:abstractNumId w:val="7"/>
  </w:num>
  <w:num w:numId="15">
    <w:abstractNumId w:val="4"/>
  </w:num>
  <w:num w:numId="16">
    <w:abstractNumId w:val="11"/>
  </w:num>
  <w:num w:numId="17">
    <w:abstractNumId w:val="3"/>
  </w:num>
  <w:num w:numId="18">
    <w:abstractNumId w:val="34"/>
  </w:num>
  <w:num w:numId="19">
    <w:abstractNumId w:val="21"/>
  </w:num>
  <w:num w:numId="20">
    <w:abstractNumId w:val="20"/>
  </w:num>
  <w:num w:numId="21">
    <w:abstractNumId w:val="16"/>
  </w:num>
  <w:num w:numId="22">
    <w:abstractNumId w:val="26"/>
  </w:num>
  <w:num w:numId="23">
    <w:abstractNumId w:val="29"/>
  </w:num>
  <w:num w:numId="24">
    <w:abstractNumId w:val="41"/>
    <w:lvlOverride w:ilvl="1">
      <w:startOverride w:val="1"/>
    </w:lvlOverride>
  </w:num>
  <w:num w:numId="25">
    <w:abstractNumId w:val="31"/>
  </w:num>
  <w:num w:numId="26">
    <w:abstractNumId w:val="0"/>
  </w:num>
  <w:num w:numId="27">
    <w:abstractNumId w:val="14"/>
  </w:num>
  <w:num w:numId="28">
    <w:abstractNumId w:val="43"/>
  </w:num>
  <w:num w:numId="29">
    <w:abstractNumId w:val="30"/>
  </w:num>
  <w:num w:numId="30">
    <w:abstractNumId w:val="6"/>
  </w:num>
  <w:num w:numId="31">
    <w:abstractNumId w:val="44"/>
  </w:num>
  <w:num w:numId="32">
    <w:abstractNumId w:val="24"/>
  </w:num>
  <w:num w:numId="33">
    <w:abstractNumId w:val="35"/>
  </w:num>
  <w:num w:numId="34">
    <w:abstractNumId w:val="28"/>
  </w:num>
  <w:num w:numId="35">
    <w:abstractNumId w:val="38"/>
  </w:num>
  <w:num w:numId="3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8"/>
  </w:num>
  <w:num w:numId="38">
    <w:abstractNumId w:val="10"/>
  </w:num>
  <w:num w:numId="39">
    <w:abstractNumId w:val="40"/>
  </w:num>
  <w:num w:numId="40">
    <w:abstractNumId w:val="9"/>
  </w:num>
  <w:num w:numId="41">
    <w:abstractNumId w:val="1"/>
  </w:num>
  <w:num w:numId="42">
    <w:abstractNumId w:val="45"/>
    <w:lvlOverride w:ilvl="0">
      <w:startOverride w:val="10"/>
    </w:lvlOverride>
    <w:lvlOverride w:ilvl="1">
      <w:startOverride w:val="1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2"/>
  </w:num>
  <w:num w:numId="44">
    <w:abstractNumId w:val="25"/>
  </w:num>
  <w:num w:numId="45">
    <w:abstractNumId w:val="19"/>
  </w:num>
  <w:num w:numId="46">
    <w:abstractNumId w:val="36"/>
  </w:num>
  <w:num w:numId="47">
    <w:abstractNumId w:val="37"/>
  </w:num>
  <w:num w:numId="48">
    <w:abstractNumId w:val="46"/>
  </w:num>
  <w:num w:numId="4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0">
    <w:name w:val="Heading 1"/>
    <w:basedOn w:val="951"/>
    <w:next w:val="951"/>
    <w:link w:val="78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81">
    <w:name w:val="Heading 1 Char"/>
    <w:basedOn w:val="952"/>
    <w:link w:val="780"/>
    <w:uiPriority w:val="9"/>
    <w:rPr>
      <w:rFonts w:ascii="Arial" w:hAnsi="Arial" w:eastAsia="Arial" w:cs="Arial"/>
      <w:sz w:val="40"/>
      <w:szCs w:val="40"/>
    </w:rPr>
  </w:style>
  <w:style w:type="paragraph" w:styleId="782">
    <w:name w:val="Heading 2"/>
    <w:basedOn w:val="951"/>
    <w:next w:val="951"/>
    <w:link w:val="78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83">
    <w:name w:val="Heading 2 Char"/>
    <w:basedOn w:val="952"/>
    <w:link w:val="782"/>
    <w:uiPriority w:val="9"/>
    <w:rPr>
      <w:rFonts w:ascii="Arial" w:hAnsi="Arial" w:eastAsia="Arial" w:cs="Arial"/>
      <w:sz w:val="34"/>
    </w:rPr>
  </w:style>
  <w:style w:type="paragraph" w:styleId="784">
    <w:name w:val="Heading 3"/>
    <w:basedOn w:val="951"/>
    <w:next w:val="951"/>
    <w:link w:val="78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85">
    <w:name w:val="Heading 3 Char"/>
    <w:basedOn w:val="952"/>
    <w:link w:val="784"/>
    <w:uiPriority w:val="9"/>
    <w:rPr>
      <w:rFonts w:ascii="Arial" w:hAnsi="Arial" w:eastAsia="Arial" w:cs="Arial"/>
      <w:sz w:val="30"/>
      <w:szCs w:val="30"/>
    </w:rPr>
  </w:style>
  <w:style w:type="paragraph" w:styleId="786">
    <w:name w:val="Heading 4"/>
    <w:basedOn w:val="951"/>
    <w:next w:val="951"/>
    <w:link w:val="78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87">
    <w:name w:val="Heading 4 Char"/>
    <w:basedOn w:val="952"/>
    <w:link w:val="786"/>
    <w:uiPriority w:val="9"/>
    <w:rPr>
      <w:rFonts w:ascii="Arial" w:hAnsi="Arial" w:eastAsia="Arial" w:cs="Arial"/>
      <w:b/>
      <w:bCs/>
      <w:sz w:val="26"/>
      <w:szCs w:val="26"/>
    </w:rPr>
  </w:style>
  <w:style w:type="paragraph" w:styleId="788">
    <w:name w:val="Heading 5"/>
    <w:basedOn w:val="951"/>
    <w:next w:val="951"/>
    <w:link w:val="78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89">
    <w:name w:val="Heading 5 Char"/>
    <w:basedOn w:val="952"/>
    <w:link w:val="788"/>
    <w:uiPriority w:val="9"/>
    <w:rPr>
      <w:rFonts w:ascii="Arial" w:hAnsi="Arial" w:eastAsia="Arial" w:cs="Arial"/>
      <w:b/>
      <w:bCs/>
      <w:sz w:val="24"/>
      <w:szCs w:val="24"/>
    </w:rPr>
  </w:style>
  <w:style w:type="paragraph" w:styleId="790">
    <w:name w:val="Heading 6"/>
    <w:basedOn w:val="951"/>
    <w:next w:val="951"/>
    <w:link w:val="79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1">
    <w:name w:val="Heading 6 Char"/>
    <w:basedOn w:val="952"/>
    <w:link w:val="790"/>
    <w:uiPriority w:val="9"/>
    <w:rPr>
      <w:rFonts w:ascii="Arial" w:hAnsi="Arial" w:eastAsia="Arial" w:cs="Arial"/>
      <w:b/>
      <w:bCs/>
      <w:sz w:val="22"/>
      <w:szCs w:val="22"/>
    </w:rPr>
  </w:style>
  <w:style w:type="paragraph" w:styleId="792">
    <w:name w:val="Heading 7"/>
    <w:basedOn w:val="951"/>
    <w:next w:val="951"/>
    <w:link w:val="79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3">
    <w:name w:val="Heading 7 Char"/>
    <w:basedOn w:val="952"/>
    <w:link w:val="79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94">
    <w:name w:val="Heading 8"/>
    <w:basedOn w:val="951"/>
    <w:next w:val="951"/>
    <w:link w:val="79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95">
    <w:name w:val="Heading 8 Char"/>
    <w:basedOn w:val="952"/>
    <w:link w:val="794"/>
    <w:uiPriority w:val="9"/>
    <w:rPr>
      <w:rFonts w:ascii="Arial" w:hAnsi="Arial" w:eastAsia="Arial" w:cs="Arial"/>
      <w:i/>
      <w:iCs/>
      <w:sz w:val="22"/>
      <w:szCs w:val="22"/>
    </w:rPr>
  </w:style>
  <w:style w:type="paragraph" w:styleId="796">
    <w:name w:val="Heading 9"/>
    <w:basedOn w:val="951"/>
    <w:next w:val="951"/>
    <w:link w:val="79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7">
    <w:name w:val="Heading 9 Char"/>
    <w:basedOn w:val="952"/>
    <w:link w:val="796"/>
    <w:uiPriority w:val="9"/>
    <w:rPr>
      <w:rFonts w:ascii="Arial" w:hAnsi="Arial" w:eastAsia="Arial" w:cs="Arial"/>
      <w:i/>
      <w:iCs/>
      <w:sz w:val="21"/>
      <w:szCs w:val="21"/>
    </w:rPr>
  </w:style>
  <w:style w:type="paragraph" w:styleId="798">
    <w:name w:val="No Spacing"/>
    <w:uiPriority w:val="1"/>
    <w:qFormat/>
    <w:pPr>
      <w:spacing w:before="0" w:after="0" w:line="240" w:lineRule="auto"/>
    </w:pPr>
  </w:style>
  <w:style w:type="paragraph" w:styleId="799">
    <w:name w:val="Title"/>
    <w:basedOn w:val="951"/>
    <w:next w:val="951"/>
    <w:link w:val="80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0">
    <w:name w:val="Title Char"/>
    <w:basedOn w:val="952"/>
    <w:link w:val="799"/>
    <w:uiPriority w:val="10"/>
    <w:rPr>
      <w:sz w:val="48"/>
      <w:szCs w:val="48"/>
    </w:rPr>
  </w:style>
  <w:style w:type="paragraph" w:styleId="801">
    <w:name w:val="Subtitle"/>
    <w:basedOn w:val="951"/>
    <w:next w:val="951"/>
    <w:link w:val="802"/>
    <w:uiPriority w:val="11"/>
    <w:qFormat/>
    <w:pPr>
      <w:spacing w:before="200" w:after="200"/>
    </w:pPr>
    <w:rPr>
      <w:sz w:val="24"/>
      <w:szCs w:val="24"/>
    </w:rPr>
  </w:style>
  <w:style w:type="character" w:styleId="802">
    <w:name w:val="Subtitle Char"/>
    <w:basedOn w:val="952"/>
    <w:link w:val="801"/>
    <w:uiPriority w:val="11"/>
    <w:rPr>
      <w:sz w:val="24"/>
      <w:szCs w:val="24"/>
    </w:rPr>
  </w:style>
  <w:style w:type="paragraph" w:styleId="803">
    <w:name w:val="Quote"/>
    <w:basedOn w:val="951"/>
    <w:next w:val="951"/>
    <w:link w:val="804"/>
    <w:uiPriority w:val="29"/>
    <w:qFormat/>
    <w:pPr>
      <w:ind w:left="720" w:right="720"/>
    </w:pPr>
    <w:rPr>
      <w:i/>
    </w:rPr>
  </w:style>
  <w:style w:type="character" w:styleId="804">
    <w:name w:val="Quote Char"/>
    <w:link w:val="803"/>
    <w:uiPriority w:val="29"/>
    <w:rPr>
      <w:i/>
    </w:rPr>
  </w:style>
  <w:style w:type="paragraph" w:styleId="805">
    <w:name w:val="Intense Quote"/>
    <w:basedOn w:val="951"/>
    <w:next w:val="951"/>
    <w:link w:val="80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06">
    <w:name w:val="Intense Quote Char"/>
    <w:link w:val="805"/>
    <w:uiPriority w:val="30"/>
    <w:rPr>
      <w:i/>
    </w:rPr>
  </w:style>
  <w:style w:type="character" w:styleId="807">
    <w:name w:val="Header Char"/>
    <w:basedOn w:val="952"/>
    <w:link w:val="962"/>
    <w:uiPriority w:val="99"/>
  </w:style>
  <w:style w:type="character" w:styleId="808">
    <w:name w:val="Footer Char"/>
    <w:basedOn w:val="952"/>
    <w:link w:val="964"/>
    <w:uiPriority w:val="99"/>
  </w:style>
  <w:style w:type="paragraph" w:styleId="809">
    <w:name w:val="Caption"/>
    <w:basedOn w:val="951"/>
    <w:next w:val="951"/>
    <w:link w:val="81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0">
    <w:name w:val="Caption Char"/>
    <w:basedOn w:val="952"/>
    <w:link w:val="809"/>
    <w:uiPriority w:val="35"/>
    <w:rPr>
      <w:b/>
      <w:bCs/>
      <w:color w:val="4f81bd" w:themeColor="accent1"/>
      <w:sz w:val="18"/>
      <w:szCs w:val="18"/>
    </w:rPr>
  </w:style>
  <w:style w:type="table" w:styleId="811">
    <w:name w:val="Table Grid Light"/>
    <w:basedOn w:val="95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2">
    <w:name w:val="Plain Table 1"/>
    <w:basedOn w:val="95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3">
    <w:name w:val="Plain Table 2"/>
    <w:basedOn w:val="95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4">
    <w:name w:val="Plain Table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5">
    <w:name w:val="Plain Table 4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Plain Table 5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7">
    <w:name w:val="Grid Table 1 Light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Grid Table 1 Light - Accent 1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Grid Table 1 Light - Accent 2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Grid Table 1 Light - Accent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Grid Table 1 Light - Accent 4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Grid Table 1 Light - Accent 5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Grid Table 1 Light - Accent 6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Grid Table 2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2 - Accent 1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2 - Accent 2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2 - Accent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2 - Accent 4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2 - Accent 5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2 - Accent 6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3 - Accent 1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3 - Accent 2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3 - Accent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3 - Accent 4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3 - Accent 5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3 - Accent 6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4"/>
    <w:basedOn w:val="9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39">
    <w:name w:val="Grid Table 4 - Accent 1"/>
    <w:basedOn w:val="9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40">
    <w:name w:val="Grid Table 4 - Accent 2"/>
    <w:basedOn w:val="9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41">
    <w:name w:val="Grid Table 4 - Accent 3"/>
    <w:basedOn w:val="9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42">
    <w:name w:val="Grid Table 4 - Accent 4"/>
    <w:basedOn w:val="9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43">
    <w:name w:val="Grid Table 4 - Accent 5"/>
    <w:basedOn w:val="9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4">
    <w:name w:val="Grid Table 4 - Accent 6"/>
    <w:basedOn w:val="9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5">
    <w:name w:val="Grid Table 5 Dark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6">
    <w:name w:val="Grid Table 5 Dark- Accent 1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47">
    <w:name w:val="Grid Table 5 Dark - Accent 2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48">
    <w:name w:val="Grid Table 5 Dark - Accent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49">
    <w:name w:val="Grid Table 5 Dark- Accent 4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50">
    <w:name w:val="Grid Table 5 Dark - Accent 5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51">
    <w:name w:val="Grid Table 5 Dark - Accent 6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52">
    <w:name w:val="Grid Table 6 Colorful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53">
    <w:name w:val="Grid Table 6 Colorful - Accent 1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54">
    <w:name w:val="Grid Table 6 Colorful - Accent 2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55">
    <w:name w:val="Grid Table 6 Colorful - Accent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56">
    <w:name w:val="Grid Table 6 Colorful - Accent 4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57">
    <w:name w:val="Grid Table 6 Colorful - Accent 5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58">
    <w:name w:val="Grid Table 6 Colorful - Accent 6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59">
    <w:name w:val="Grid Table 7 Colorful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>
    <w:name w:val="Grid Table 7 Colorful - Accent 1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>
    <w:name w:val="Grid Table 7 Colorful - Accent 2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Grid Table 7 Colorful - Accent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Grid Table 7 Colorful - Accent 4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Grid Table 7 Colorful - Accent 5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7 Colorful - Accent 6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List Table 1 Light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List Table 1 Light - Accent 1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List Table 1 Light - Accent 2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List Table 1 Light - Accent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List Table 1 Light - Accent 4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List Table 1 Light - Accent 5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List Table 1 Light - Accent 6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List Table 2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74">
    <w:name w:val="List Table 2 - Accent 1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75">
    <w:name w:val="List Table 2 - Accent 2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76">
    <w:name w:val="List Table 2 - Accent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77">
    <w:name w:val="List Table 2 - Accent 4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78">
    <w:name w:val="List Table 2 - Accent 5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79">
    <w:name w:val="List Table 2 - Accent 6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80">
    <w:name w:val="List Table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>
    <w:name w:val="List Table 3 - Accent 1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>
    <w:name w:val="List Table 3 - Accent 2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>
    <w:name w:val="List Table 3 - Accent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>
    <w:name w:val="List Table 3 - Accent 4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List Table 3 - Accent 5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>
    <w:name w:val="List Table 3 - Accent 6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List Table 4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List Table 4 - Accent 1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List Table 4 - Accent 2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4 - Accent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4 - Accent 4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4 - Accent 5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4 - Accent 6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5 Dark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5">
    <w:name w:val="List Table 5 Dark - Accent 1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6">
    <w:name w:val="List Table 5 Dark - Accent 2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7">
    <w:name w:val="List Table 5 Dark - Accent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8">
    <w:name w:val="List Table 5 Dark - Accent 4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9">
    <w:name w:val="List Table 5 Dark - Accent 5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0">
    <w:name w:val="List Table 5 Dark - Accent 6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1">
    <w:name w:val="List Table 6 Colorful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02">
    <w:name w:val="List Table 6 Colorful - Accent 1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03">
    <w:name w:val="List Table 6 Colorful - Accent 2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04">
    <w:name w:val="List Table 6 Colorful - Accent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05">
    <w:name w:val="List Table 6 Colorful - Accent 4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06">
    <w:name w:val="List Table 6 Colorful - Accent 5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07">
    <w:name w:val="List Table 6 Colorful - Accent 6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08">
    <w:name w:val="List Table 7 Colorful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09">
    <w:name w:val="List Table 7 Colorful - Accent 1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910">
    <w:name w:val="List Table 7 Colorful - Accent 2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911">
    <w:name w:val="List Table 7 Colorful - Accent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912">
    <w:name w:val="List Table 7 Colorful - Accent 4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913">
    <w:name w:val="List Table 7 Colorful - Accent 5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914">
    <w:name w:val="List Table 7 Colorful - Accent 6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915">
    <w:name w:val="Lined - Accent"/>
    <w:basedOn w:val="9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16">
    <w:name w:val="Lined - Accent 1"/>
    <w:basedOn w:val="9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17">
    <w:name w:val="Lined - Accent 2"/>
    <w:basedOn w:val="9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18">
    <w:name w:val="Lined - Accent 3"/>
    <w:basedOn w:val="9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19">
    <w:name w:val="Lined - Accent 4"/>
    <w:basedOn w:val="9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20">
    <w:name w:val="Lined - Accent 5"/>
    <w:basedOn w:val="9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21">
    <w:name w:val="Lined - Accent 6"/>
    <w:basedOn w:val="9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22">
    <w:name w:val="Bordered &amp; Lined - Accent"/>
    <w:basedOn w:val="9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3">
    <w:name w:val="Bordered &amp; Lined - Accent 1"/>
    <w:basedOn w:val="9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24">
    <w:name w:val="Bordered &amp; Lined - Accent 2"/>
    <w:basedOn w:val="9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25">
    <w:name w:val="Bordered &amp; Lined - Accent 3"/>
    <w:basedOn w:val="9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26">
    <w:name w:val="Bordered &amp; Lined - Accent 4"/>
    <w:basedOn w:val="9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27">
    <w:name w:val="Bordered &amp; Lined - Accent 5"/>
    <w:basedOn w:val="9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28">
    <w:name w:val="Bordered &amp; Lined - Accent 6"/>
    <w:basedOn w:val="9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29">
    <w:name w:val="Bordered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30">
    <w:name w:val="Bordered - Accent 1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31">
    <w:name w:val="Bordered - Accent 2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32">
    <w:name w:val="Bordered - Accent 3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33">
    <w:name w:val="Bordered - Accent 4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34">
    <w:name w:val="Bordered - Accent 5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35">
    <w:name w:val="Bordered - Accent 6"/>
    <w:basedOn w:val="9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36">
    <w:name w:val="Footnote Text Char"/>
    <w:link w:val="955"/>
    <w:uiPriority w:val="99"/>
    <w:rPr>
      <w:sz w:val="18"/>
    </w:rPr>
  </w:style>
  <w:style w:type="paragraph" w:styleId="937">
    <w:name w:val="endnote text"/>
    <w:basedOn w:val="951"/>
    <w:link w:val="938"/>
    <w:uiPriority w:val="99"/>
    <w:semiHidden/>
    <w:unhideWhenUsed/>
    <w:pPr>
      <w:spacing w:after="0" w:line="240" w:lineRule="auto"/>
    </w:pPr>
    <w:rPr>
      <w:sz w:val="20"/>
    </w:rPr>
  </w:style>
  <w:style w:type="character" w:styleId="938">
    <w:name w:val="Endnote Text Char"/>
    <w:link w:val="937"/>
    <w:uiPriority w:val="99"/>
    <w:rPr>
      <w:sz w:val="20"/>
    </w:rPr>
  </w:style>
  <w:style w:type="character" w:styleId="939">
    <w:name w:val="endnote reference"/>
    <w:basedOn w:val="952"/>
    <w:uiPriority w:val="99"/>
    <w:semiHidden/>
    <w:unhideWhenUsed/>
    <w:rPr>
      <w:vertAlign w:val="superscript"/>
    </w:rPr>
  </w:style>
  <w:style w:type="paragraph" w:styleId="940">
    <w:name w:val="toc 1"/>
    <w:basedOn w:val="951"/>
    <w:next w:val="951"/>
    <w:uiPriority w:val="39"/>
    <w:unhideWhenUsed/>
    <w:pPr>
      <w:ind w:left="0" w:right="0" w:firstLine="0"/>
      <w:spacing w:after="57"/>
    </w:pPr>
  </w:style>
  <w:style w:type="paragraph" w:styleId="941">
    <w:name w:val="toc 2"/>
    <w:basedOn w:val="951"/>
    <w:next w:val="951"/>
    <w:uiPriority w:val="39"/>
    <w:unhideWhenUsed/>
    <w:pPr>
      <w:ind w:left="283" w:right="0" w:firstLine="0"/>
      <w:spacing w:after="57"/>
    </w:pPr>
  </w:style>
  <w:style w:type="paragraph" w:styleId="942">
    <w:name w:val="toc 3"/>
    <w:basedOn w:val="951"/>
    <w:next w:val="951"/>
    <w:uiPriority w:val="39"/>
    <w:unhideWhenUsed/>
    <w:pPr>
      <w:ind w:left="567" w:right="0" w:firstLine="0"/>
      <w:spacing w:after="57"/>
    </w:pPr>
  </w:style>
  <w:style w:type="paragraph" w:styleId="943">
    <w:name w:val="toc 4"/>
    <w:basedOn w:val="951"/>
    <w:next w:val="951"/>
    <w:uiPriority w:val="39"/>
    <w:unhideWhenUsed/>
    <w:pPr>
      <w:ind w:left="850" w:right="0" w:firstLine="0"/>
      <w:spacing w:after="57"/>
    </w:pPr>
  </w:style>
  <w:style w:type="paragraph" w:styleId="944">
    <w:name w:val="toc 5"/>
    <w:basedOn w:val="951"/>
    <w:next w:val="951"/>
    <w:uiPriority w:val="39"/>
    <w:unhideWhenUsed/>
    <w:pPr>
      <w:ind w:left="1134" w:right="0" w:firstLine="0"/>
      <w:spacing w:after="57"/>
    </w:pPr>
  </w:style>
  <w:style w:type="paragraph" w:styleId="945">
    <w:name w:val="toc 6"/>
    <w:basedOn w:val="951"/>
    <w:next w:val="951"/>
    <w:uiPriority w:val="39"/>
    <w:unhideWhenUsed/>
    <w:pPr>
      <w:ind w:left="1417" w:right="0" w:firstLine="0"/>
      <w:spacing w:after="57"/>
    </w:pPr>
  </w:style>
  <w:style w:type="paragraph" w:styleId="946">
    <w:name w:val="toc 7"/>
    <w:basedOn w:val="951"/>
    <w:next w:val="951"/>
    <w:uiPriority w:val="39"/>
    <w:unhideWhenUsed/>
    <w:pPr>
      <w:ind w:left="1701" w:right="0" w:firstLine="0"/>
      <w:spacing w:after="57"/>
    </w:pPr>
  </w:style>
  <w:style w:type="paragraph" w:styleId="947">
    <w:name w:val="toc 8"/>
    <w:basedOn w:val="951"/>
    <w:next w:val="951"/>
    <w:uiPriority w:val="39"/>
    <w:unhideWhenUsed/>
    <w:pPr>
      <w:ind w:left="1984" w:right="0" w:firstLine="0"/>
      <w:spacing w:after="57"/>
    </w:pPr>
  </w:style>
  <w:style w:type="paragraph" w:styleId="948">
    <w:name w:val="toc 9"/>
    <w:basedOn w:val="951"/>
    <w:next w:val="951"/>
    <w:uiPriority w:val="39"/>
    <w:unhideWhenUsed/>
    <w:pPr>
      <w:ind w:left="2268" w:right="0" w:firstLine="0"/>
      <w:spacing w:after="57"/>
    </w:pPr>
  </w:style>
  <w:style w:type="paragraph" w:styleId="949">
    <w:name w:val="TOC Heading"/>
    <w:uiPriority w:val="39"/>
    <w:unhideWhenUsed/>
  </w:style>
  <w:style w:type="paragraph" w:styleId="950">
    <w:name w:val="table of figures"/>
    <w:basedOn w:val="951"/>
    <w:next w:val="951"/>
    <w:uiPriority w:val="99"/>
    <w:unhideWhenUsed/>
    <w:pPr>
      <w:spacing w:after="0" w:afterAutospacing="0"/>
    </w:pPr>
  </w:style>
  <w:style w:type="paragraph" w:styleId="951" w:default="1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styleId="952" w:default="1">
    <w:name w:val="Default Paragraph Font"/>
    <w:uiPriority w:val="1"/>
    <w:unhideWhenUsed/>
  </w:style>
  <w:style w:type="table" w:styleId="95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54" w:default="1">
    <w:name w:val="No List"/>
    <w:uiPriority w:val="99"/>
    <w:semiHidden/>
    <w:unhideWhenUsed/>
  </w:style>
  <w:style w:type="paragraph" w:styleId="955">
    <w:name w:val="footnote text"/>
    <w:basedOn w:val="951"/>
    <w:link w:val="956"/>
    <w:pPr>
      <w:spacing w:after="0" w:line="240" w:lineRule="auto"/>
    </w:pPr>
    <w:rPr>
      <w:rFonts w:ascii="Times New Roman" w:hAnsi="Times New Roman" w:eastAsia="Times New Roman"/>
      <w:sz w:val="20"/>
      <w:szCs w:val="20"/>
      <w:lang w:eastAsia="ru-RU"/>
    </w:rPr>
  </w:style>
  <w:style w:type="character" w:styleId="956" w:customStyle="1">
    <w:name w:val="Текст сноски Знак"/>
    <w:link w:val="95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957">
    <w:name w:val="footnote reference"/>
    <w:rPr>
      <w:vertAlign w:val="superscript"/>
    </w:rPr>
  </w:style>
  <w:style w:type="character" w:styleId="958">
    <w:name w:val="Hyperlink"/>
    <w:uiPriority w:val="99"/>
    <w:unhideWhenUsed/>
    <w:rPr>
      <w:color w:val="0563c1"/>
      <w:u w:val="single"/>
    </w:rPr>
  </w:style>
  <w:style w:type="character" w:styleId="959" w:customStyle="1">
    <w:name w:val="Неразрешенное упоминание"/>
    <w:uiPriority w:val="99"/>
    <w:semiHidden/>
    <w:unhideWhenUsed/>
    <w:rPr>
      <w:color w:val="605e5c"/>
      <w:shd w:val="clear" w:color="auto" w:fill="e1dfdd"/>
    </w:rPr>
  </w:style>
  <w:style w:type="paragraph" w:styleId="960">
    <w:name w:val="List Paragraph"/>
    <w:basedOn w:val="951"/>
    <w:uiPriority w:val="34"/>
    <w:qFormat/>
    <w:pPr>
      <w:contextualSpacing/>
      <w:ind w:left="720"/>
    </w:pPr>
  </w:style>
  <w:style w:type="table" w:styleId="961">
    <w:name w:val="Table Grid"/>
    <w:basedOn w:val="953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62">
    <w:name w:val="Header"/>
    <w:basedOn w:val="951"/>
    <w:link w:val="96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63" w:customStyle="1">
    <w:name w:val="Верхний колонтитул Знак"/>
    <w:basedOn w:val="952"/>
    <w:link w:val="962"/>
    <w:uiPriority w:val="99"/>
  </w:style>
  <w:style w:type="paragraph" w:styleId="964">
    <w:name w:val="Footer"/>
    <w:basedOn w:val="951"/>
    <w:link w:val="965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65" w:customStyle="1">
    <w:name w:val="Нижний колонтитул Знак"/>
    <w:basedOn w:val="952"/>
    <w:link w:val="964"/>
    <w:uiPriority w:val="99"/>
  </w:style>
  <w:style w:type="paragraph" w:styleId="966">
    <w:name w:val="Balloon Text"/>
    <w:basedOn w:val="951"/>
    <w:link w:val="967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967" w:customStyle="1">
    <w:name w:val="Текст выноски Знак"/>
    <w:link w:val="966"/>
    <w:uiPriority w:val="99"/>
    <w:semiHidden/>
    <w:rPr>
      <w:rFonts w:ascii="Segoe UI" w:hAnsi="Segoe UI" w:cs="Segoe UI"/>
      <w:sz w:val="18"/>
      <w:szCs w:val="18"/>
    </w:rPr>
  </w:style>
  <w:style w:type="table" w:styleId="968" w:customStyle="1">
    <w:name w:val="Сетка таблицы1"/>
    <w:basedOn w:val="953"/>
    <w:next w:val="961"/>
    <w:rPr>
      <w:rFonts w:ascii="Times New Roman" w:hAnsi="Times New Roman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969" w:customStyle="1">
    <w:name w:val="Сетка таблицы2"/>
    <w:basedOn w:val="953"/>
    <w:next w:val="961"/>
    <w:rPr>
      <w:rFonts w:ascii="Times New Roman" w:hAnsi="Times New Roman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970" w:customStyle="1">
    <w:name w:val="Сетка таблицы3"/>
    <w:basedOn w:val="953"/>
    <w:next w:val="961"/>
    <w:rPr>
      <w:rFonts w:ascii="Times New Roman" w:hAnsi="Times New Roman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971" w:customStyle="1">
    <w:name w:val="Сетка таблицы4"/>
    <w:basedOn w:val="953"/>
    <w:next w:val="961"/>
    <w:rPr>
      <w:rFonts w:ascii="Times New Roman" w:hAnsi="Times New Roman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972" w:customStyle="1">
    <w:name w:val="Сетка таблицы5"/>
    <w:basedOn w:val="953"/>
    <w:next w:val="961"/>
    <w:rPr>
      <w:rFonts w:ascii="Times New Roman" w:hAnsi="Times New Roman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://energo.tom.ru/treads/legal_acts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C45C9-320F-47BB-9D52-681075E4E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Тадеушева Ольга Борисовна</dc:creator>
  <cp:keywords/>
  <dc:description/>
  <cp:lastModifiedBy>vershinin_av</cp:lastModifiedBy>
  <cp:revision>5</cp:revision>
  <dcterms:created xsi:type="dcterms:W3CDTF">2025-11-26T01:54:00Z</dcterms:created>
  <dcterms:modified xsi:type="dcterms:W3CDTF">2026-09-22T06:32:08Z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gic_key">
    <vt:lpwstr/>
  </property>
  <property fmtid="{D5CDD505-2E9C-101B-9397-08002B2CF9AE}" pid="3" name="CustomObjectId">
    <vt:lpwstr/>
  </property>
  <property fmtid="{D5CDD505-2E9C-101B-9397-08002B2CF9AE}" pid="4" name="CustomServerURL">
    <vt:lpwstr/>
  </property>
  <property fmtid="{D5CDD505-2E9C-101B-9397-08002B2CF9AE}" pid="5" name="CustomUserId">
    <vt:lpwstr/>
  </property>
  <property fmtid="{D5CDD505-2E9C-101B-9397-08002B2CF9AE}" pid="6" name="CustomObjectState">
    <vt:lpwstr/>
  </property>
  <property fmtid="{D5CDD505-2E9C-101B-9397-08002B2CF9AE}" pid="7" name="MacrosDisabled">
    <vt:lpwstr/>
  </property>
  <property fmtid="{D5CDD505-2E9C-101B-9397-08002B2CF9AE}" pid="8" name="ConfirmationToolBarEnabled">
    <vt:lpwstr/>
  </property>
</Properties>
</file>