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3940"/>
        <w:gridCol w:w="3600"/>
        <w:gridCol w:w="3860"/>
        <w:gridCol w:w="100"/>
      </w:tblGrid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bookmarkStart w:id="0" w:name="JR_PAGE_ANCHOR_0_1"/>
            <w:r/>
            <w:bookmarkEnd w:id="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94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vMerge w:val="restart"/>
            <w:textDirection w:val="lrTb"/>
            <w:noWrap w:val="false"/>
          </w:tcPr>
          <w:p>
            <w:pPr>
              <w:jc w:val="left"/>
              <w:spacing w:before="0" w:after="0" w:line="240" w:lineRule="auto"/>
            </w:pPr>
            <w:r>
              <w:rPr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286000" cy="635000"/>
                      <wp:effectExtent l="0" t="0" r="0" b="0"/>
                      <wp:wrapNone/>
                      <wp:docPr id="1" name="Pic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83723899" name="Picture"/>
                              <pic:cNvPicPr/>
                              <pic:nvPr/>
                            </pic:nvPicPr>
                            <pic:blipFill>
                              <a:blip r:embed="rId8"/>
                              <a:srcRect l="0" t="0" r="-8162" b="0"/>
                              <a:stretch/>
                            </pic:blipFill>
                            <pic:spPr bwMode="auto">
                              <a:xfrm rot="0">
                                <a:off x="0" y="0"/>
                                <a:ext cx="2286000" cy="635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0;o:allowoverlap:true;o:allowincell:true;mso-position-horizontal-relative:text;margin-left:0.00pt;mso-position-horizontal:absolute;mso-position-vertical-relative:text;margin-top:0.00pt;mso-position-vertical:absolute;width:180.00pt;height:50.00pt;mso-wrap-distance-left:0.00pt;mso-wrap-distance-top:0.00pt;mso-wrap-distance-right:0.00pt;mso-wrap-distance-bottom:0.00pt;rotation:0;" stroked="false">
                      <v:path textboxrect="0,0,0,0"/>
                      <v:imagedata r:id="rId8" o:title=""/>
                    </v:shape>
                  </w:pict>
                </mc:Fallback>
              </mc:AlternateConten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vMerge w:val="continue"/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8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shd w:val="clear" w:color="auto" w:fill="ffffff"/>
            <w:tcBorders>
              <w:top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58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single"/>
                <w:lang w:val="ru-RU"/>
              </w:rPr>
              <w:t xml:space="preserve">РУКОВОДСТВО ПО ЭКСПЕРТНОЙ ОЦЕНКЕ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200"/>
        <w:gridCol w:w="1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1" w:name="JR_PAGE_ANCHOR_0_2"/>
            <w:r/>
            <w:bookmarkEnd w:id="1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Оценка и сопоставление заявок (оценочная стадия) лот: По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ставка т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руб малого диаметра электросварных для нужд ООО «БГК», ООО «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БашРТС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», АО «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ОмскРТС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», АО «ТГК-11,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  <w:t xml:space="preserve">АО «Томская генерация»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val="ru-RU"/>
              </w:rPr>
            </w:r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80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1. Для определения лучших условий исполнения Договора закупочная/конкурсная комиссия оценивает и сопоставляет заявки по степени выгодности для Заказчика, исходя из следующих критериев: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436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000"/>
              <w:gridCol w:w="3000"/>
              <w:gridCol w:w="2000"/>
              <w:gridCol w:w="1400"/>
              <w:gridCol w:w="1400"/>
              <w:gridCol w:w="1400"/>
              <w:gridCol w:w="1400"/>
            </w:tblGrid>
            <w:tr>
              <w:tblPrEx/>
              <w:trPr>
                <w:trHeight w:val="30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№ п/п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Направление</w:t>
                          <w:br/>
                          <w:br/>
                          <w:t xml:space="preserve">экспертной</w:t>
                          <w:br/>
                          <w:br/>
                          <w:t xml:space="preserve">оценки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Краткое наименование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Обозначение выставленного по критерию балла / полученного значения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Значимость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3000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Обозначение значимости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Деловая репутация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Деловая репутация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Экономическая безопасность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Качество поставляемой продукции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Соответствие объема и качества предлагаемого товара требованиям ТЗ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Техническая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Коммерческое предложение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Цена договора, предложенная участником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Коммерческая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Надежность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Добровольные системы подтверждения квалификации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14%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136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136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Аккредитация в Группе «Интер РАО» в качестве поставщика, закупаемых в рамках данной процедуры товаров, работ, услуг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19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4.1.2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19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Наличие сертифицированных систем менеджмента и/или иных добровольных сертифицированных подтверждений компетенции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4.1.2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Опыт выполнения поставок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35%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Опыт выполнения поставок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Квалификационная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4.2.1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Экономические риски с учётом платёжеспособности и финансовой устойчивости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Финансово-экономическая 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34%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Экономические риски с учётом платёжеспособности и финансовой устойчивости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Финансово-экономическая 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100%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4.3.1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200"/>
        <w:gridCol w:w="1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" w:name="JR_PAGE_ANCHOR_0_3"/>
            <w:r/>
            <w:bookmarkEnd w:id="2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84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000"/>
              <w:gridCol w:w="3000"/>
              <w:gridCol w:w="2000"/>
              <w:gridCol w:w="1400"/>
              <w:gridCol w:w="1400"/>
              <w:gridCol w:w="1400"/>
              <w:gridCol w:w="1400"/>
            </w:tblGrid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Юридические риски с учётом предложенных условий договора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Юридическая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17%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22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22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Оценка риска заключения договора с участником, в связи с предоставлением в составе заявки документов, не соответствующих требованиям закупочной документации либо их отсутствием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Юридическая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2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4.4.2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00"/>
                  </w:tblGrid>
                  <w:tr>
                    <w:tblPrEx/>
                    <w:trPr>
                      <w:trHeight w:val="82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Приемлемость условий договора, предложенных участником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Юридическая экспертиза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k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en-US"/>
                          </w:rPr>
                          <w:t xml:space="preserve">50%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400"/>
                  </w:tblGrid>
                  <w:tr>
                    <w:tblPrEx/>
                    <w:trPr>
                      <w:trHeight w:val="600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4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i/>
                            <w:color w:val="000000"/>
                            <w:sz w:val="32"/>
                            <w:lang w:val="en-US"/>
                          </w:rPr>
                          <w:t xml:space="preserve">b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color w:val="000000"/>
                            <w:sz w:val="20"/>
                            <w:lang w:val="en-US"/>
                          </w:rPr>
                          <w:t xml:space="preserve">4.4.2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br/>
              <w:t xml:space="preserve"> 2. В случае проведения закупки участниками которой могут быть только СМСП, и выбором способа  закупочной процедуры "конкурс" или "запрос предложений"  рассмотрение и оценка проводиться  в три этапа: </w:t>
              <w:br/>
              <w:t xml:space="preserve"> - на первом этапе 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роводиться экспертиза только по техническому направлению; </w:t>
              <w:br/>
              <w:t xml:space="preserve"> - на втором этапе проводятся экспертизы по направлениям: экономическая безопасность, квалификационная, финансово-экономическая, юридическая; </w:t>
              <w:br/>
              <w:t xml:space="preserve">- на третьем этапе проводится коммерческая экспертиза.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54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ind w:left="0" w:firstLine="0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3. Закупочная/конкурсная комиссия (Экспертная группа по поручению закупочной/конкурсной комиссии) оценивает и сопоставляет заявки в соответствии с критериями, указанными в п. 1.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60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4. Присвоение баллов осуществляется экспертным путем в соответствии с Приложением 1 к настоящему Руководству.</w:t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906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4.1.  Присвоение баллов заявкам по критерию 1 Деловая репутация Участника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1 Деловая репутация Участника;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1;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1.</w:t>
                  </w:r>
                  <w:r/>
                </w:p>
              </w:tc>
            </w:tr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4.2.  Присвоение баллов заявкам по критерию 2 Качество поставляемой продукции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2 Качество поставляемой продукции;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2;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2.</w:t>
                  </w:r>
                  <w:r/>
                </w:p>
              </w:tc>
            </w:tr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4.3.  Присвоение баллов заявкам по критерию 3 Коммерческое предложение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3 Коммерческое предложение;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3;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3.</w:t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10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" w:name="JR_PAGE_ANCHOR_0_4"/>
            <w:r/>
            <w:bookmarkEnd w:id="3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378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1378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4.3.1 Присвоение баллов з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аявкам по критерию 3.1 «Цена договора, предложенная участником» осуществляется в следующем порядке:</w:t>
                    <w:br/>
                    <w:t xml:space="preserve">первоначально проводится выбор шкалы оценок и присвоение плановой сумме базовой оценки: если хотя бы у одного участника Цена договора, предложенная участник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ом (далее – ОФЕРТА) меньше начальной (максимальной) цены (далее – ГКПЗ), то шкала оценок от 1 до 5, плановая сумма ГКПЗ - 2 балла (сценарий 1), если все значения не меньше ГКПЗ, то шкала оценок от 1 до 3, плановая сумма ГКПЗ - 3 балла, т.е. максимум (сцена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рий 2):</w:t>
                    <w:br/>
                    <w:br/>
                    <w:t xml:space="preserve">ЕСЛИ(МИН(ДИАПАЗОН)&lt;ГКПЗ;</w:t>
                    <w:br/>
                    <w:br/>
                    <w:t xml:space="preserve">Сценарий 1: шкала оценок от 1 до 5. Проводится сопоставление ОФЕРТЫ участника и ГКПЗ:</w:t>
                    <w:br/>
                    <w:br/>
                    <w:t xml:space="preserve">ЕСЛИ(ОФЕРТА/ГКПЗ)&gt;1;</w:t>
                    <w:br/>
                    <w:br/>
                    <w:t xml:space="preserve">Если оферта участника равна ГКПЗ, то такой Участник получает 2 балла. Другие участники оцениваются по одному из 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следующих сценариев 1а или 1б:</w:t>
                    <w:br/>
                    <w:t xml:space="preserve">Сценарий 1а: ОФЕРТА участника больше ГКПЗ. Выполняется расчёт оценок в диапазоне от 1 до 2:</w:t>
                    <w:br/>
                    <w:br/>
                    <w:t xml:space="preserve">ЕСЛИ(ОФЕРТА=МАКС(ДИАПАЗОН) то 1;</w:t>
                    <w:br/>
                    <w:br/>
                    <w:t xml:space="preserve">иначе ((МАКС(ДИАПАЗОН)-ОФЕРТА)/(МАКС(ДИАПАЗОН)-ГКПЗ))+1);</w:t>
                    <w:br/>
                    <w:br/>
                    <w:t xml:space="preserve">Сценарий 1б: ОФЕРТА участника меньше ГК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ПЗ. Проверяется, есть ли предложения участника меньше ГКПЗ на 30%:</w:t>
                    <w:br/>
                    <w:br/>
                    <w:t xml:space="preserve">ЕСЛИ((МИН(ДИАПАЗОН)/ГКПЗ)&lt;0,7;</w:t>
                    <w:br/>
                    <w:br/>
                    <w:t xml:space="preserve">если минимальное предложение меньше ГКПЗ на 30%, то максимальному баллу 5 соответствует минимальное предложение:</w:t>
                    <w:br/>
                    <w:br/>
                    <w:t xml:space="preserve">ЕСЛИ(ОФЕРТА=МИН(ДИАПАЗОН) то 5;</w:t>
                    <w:br/>
                    <w:br/>
                    <w:t xml:space="preserve">иначе ((Г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КПЗ-ОФЕРТА)*3/(ГКПЗ-МИН(ДИАПАЗОН))+2));</w:t>
                    <w:br/>
                    <w:br/>
                    <w:t xml:space="preserve">если минимальное предложение не меньше ГКПЗ на 30%, то максимальному баллу 5 соответствует сумма ГКПЗ минус 30%. Выполняется расчёт оценки в диапазоне от 2 до 5:</w:t>
                    <w:br/>
                    <w:br/>
                    <w:t xml:space="preserve">((ГКПЗ-ОФЕРТА)/(ГКПЗ)*10)+2));</w:t>
                    <w:br/>
                    <w:br/>
                    <w:t xml:space="preserve">Сценарий 2: шкала оц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енок от 1 до 3. 3 балла получает Участник с ценой ОФЕРТЫ равной плановой сумме ГКПЗ. Расчёт оценок остальных участников выполняется в диапазоне от 1 до 3:</w:t>
                    <w:br/>
                    <w:br/>
                    <w:t xml:space="preserve">ЕСЛИ(ОФЕРТА=МАКС(ДИАПАЗОН) то 1;</w:t>
                    <w:br/>
                    <w:br/>
                    <w:t xml:space="preserve">иначе ((МАКС(ДИАПАЗОН)-ОФЕРТА)*2/(МАКС(ДИАПАЗОН)-ГКПЗ))+1);</w:t>
                    <w:br/>
                    <w:br/>
                    <w:t xml:space="preserve">В слу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чае, если закупочная процедура проводится в соответствии с Федеральным законом от 18.07.2011 223-ФЗ, то оценка и сопоставление предложений участников будут проводиться с учетом положений Постановления Правительства Российской Федерации от 23.12.2024 № 1875</w:t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10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4" w:name="JR_PAGE_ANCHOR_0_5"/>
            <w:r/>
            <w:bookmarkEnd w:id="4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6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  Присвоение баллов заявкам по критерию 4 Надежность Участника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 Надежность Участника;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</w:t>
                  </w:r>
                  <w:r/>
                </w:p>
              </w:tc>
            </w:tr>
            <w:tr>
              <w:tblPrEx/>
              <w:trPr>
                <w:trHeight w:val="330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4.4.1.  Присвоение баллов заявкам по критерию 4.1 Добровольные системы подтверждения квалификации участника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4.1 Добровольные системы подтверждения квалификации участника;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4.1;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4.1.2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4.1.</w:t>
                  </w:r>
                  <w:r/>
                </w:p>
              </w:tc>
            </w:tr>
            <w:tr>
              <w:tblPrEx/>
              <w:trPr>
                <w:trHeight w:val="302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4.4.2.  Присвоение баллов заявкам по критерию 4.2 Опыт выполнения поставок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4.2 Опыт выполнения поставок;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4.2;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4.2.1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4.2.</w:t>
                  </w:r>
                  <w:r/>
                </w:p>
              </w:tc>
            </w:tr>
            <w:tr>
              <w:tblPrEx/>
              <w:trPr>
                <w:trHeight w:val="358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4.4.3.  Присвоение баллов заявкам по критерию 4.3 Экономические риски с учётом платёжеспособности и финансовой устойчивости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4.3 Экономические риски с учётом платёжеспособности и финансовой устойчивости;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4.3;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4.3.1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4.3.</w:t>
                  </w:r>
                  <w:r/>
                </w:p>
              </w:tc>
            </w:tr>
            <w:tr>
              <w:tblPrEx/>
              <w:trPr>
                <w:trHeight w:val="330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4.4.4.  Присвоение баллов заявкам по критерию 4.4 Юридические риски с учётом предложенных условий договора осуществляется на основании суммы баллов по подкритериям с учетом их значимости  по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32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сумма баллов (с учетом значимости) по подкритериям критерия 4.4 Юридические риски с учётом предложенных условий договора;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сумма баллов по соответствующим подкритериям критерия 4.4;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4.4.2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− значимость каждого подкритерия критерия 4.4.</w:t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1400"/>
        <w:gridCol w:w="10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5" w:name="JR_PAGE_ANCHOR_0_6"/>
            <w:r/>
            <w:bookmarkEnd w:id="5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514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1400"/>
            </w:tblGrid>
            <w:tr>
              <w:tblPrEx/>
              <w:trPr>
                <w:trHeight w:val="5140"/>
              </w:trPr>
              <w:tc>
                <w:tcPr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Align w:val="center"/>
                  <w:textDirection w:val="lrTb"/>
                  <w:noWrap w:val="false"/>
                </w:tcPr>
                <w:p>
                  <w:pPr>
                    <w:ind w:firstLine="0"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t xml:space="preserve">4.5.  Итоговое значение заявки (сумма баллов) рассчитывается суммированием баллов, набранных заявкой по каждому из критериев с учетом их значимости, по следующей формуле:</w:t>
                    <w:br/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ru-RU"/>
                    </w:rPr>
                    <w:t xml:space="preserve">И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ru-RU"/>
                    </w:rPr>
                    <w:t xml:space="preserve">СБ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=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+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en-US"/>
                    </w:rPr>
                    <w:t xml:space="preserve"> * </w:t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br/>
                    <w:br/>
                    <w:t xml:space="preserve">где: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ru-RU"/>
                    </w:rPr>
                    <w:t xml:space="preserve">И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ru-RU"/>
                    </w:rPr>
                    <w:t xml:space="preserve">СБ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– итоговая сумма баллов Конкурсной заявки;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 балл по критерию Деловая репутация Участника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1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значимость критерия Деловая репутация Участника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 балл по критерию Качество поставляемой продукции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2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значимость критерия Качество поставляемой продукции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–  балл по критерию Коммерческое предложение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3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значимость критерия Коммерческое предложение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K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сумма баллов по критерию Надежность Участника</w:t>
                    <w:br/>
                  </w:r>
                  <w:r>
                    <w:rPr>
                      <w:rFonts w:ascii="Times New Roman" w:hAnsi="Times New Roman" w:eastAsia="Times New Roman" w:cs="Times New Roman"/>
                      <w:b/>
                      <w:i/>
                      <w:color w:val="000000"/>
                      <w:sz w:val="28"/>
                      <w:lang w:val="en-US"/>
                    </w:rPr>
                    <w:t xml:space="preserve">B</w:t>
                  </w:r>
                  <w:r>
                    <w:rPr>
                      <w:rFonts w:ascii="Times New Roman" w:hAnsi="Times New Roman" w:eastAsia="Times New Roman" w:cs="Times New Roman"/>
                      <w:i/>
                      <w:color w:val="000000"/>
                      <w:sz w:val="20"/>
                      <w:lang w:val="en-US"/>
                    </w:rPr>
                    <w:t xml:space="preserve">4</w:t>
                  </w: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  <w:lang w:val="ru-RU"/>
                    </w:rPr>
                    <w:t xml:space="preserve"> - значимость критерия Надежность Участника</w:t>
                    <w:br/>
                  </w:r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680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br/>
              <w:t xml:space="preserve"> 5.  На основании результатов оценки заявок закупочной/конку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рсной комиссией каждой заявке относительно других по мере уменьшения итогового значения присваивается порядковый номер. Первый номер присваивается заявке, набравшей по результатам оценки максимальное количество баллов. Такая заявка считается содержащей луч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шие условия исполнения договора. В случае если в нескольких заявках содержатся одинаковые условия исполнения договора и такие заявки получили одинаковые итоговые значения, меньший порядковый номер присваивается заявке, поступившей (зарегистрированной на эл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ектронной площадке) раньше. </w:t>
              <w:br/>
              <w:br/>
              <w:t xml:space="preserve"> 6.  При проведении процедуры переторжки или переговоров предыдущее ранжирование участников считается предварительным. После проведения переторжки (переговоров) Закупочная комиссия (экспертная группа) повторно оценивает критер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ии, информация по которым изменилась. При этом, после проведения переговоров, повторно может проводиться экспертиза по любому критерию/подкритерию. При проведении переторжки повторно проводится только экспертиза по коммерческому направлению. </w:t>
              <w:br/>
              <w:t xml:space="preserve"> По закупкам,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 участниками которых могут быть только СМСП, коммерческая экспертиза проводиться один раз (оцениваются либо первичные коммерческие предложения, либо поданные на этапе подачи дополнительных ценовых предложений участников дополнительные ценовые предложения).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p>
      <w:pPr>
        <w:sectPr>
          <w:footnotePr/>
          <w:endnotePr/>
          <w:type w:val="nextPage"/>
          <w:pgSz w:w="11900" w:h="16840" w:orient="portrait"/>
          <w:pgMar w:top="200" w:right="200" w:bottom="0" w:left="200" w:header="0" w:footer="0" w:gutter="0"/>
          <w:cols w:num="1" w:sep="0" w:space="1701" w:equalWidth="1"/>
          <w:docGrid w:linePitch="360"/>
        </w:sectPr>
      </w:pPr>
      <w:r/>
      <w:r/>
    </w:p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2280"/>
        <w:gridCol w:w="3300"/>
        <w:gridCol w:w="20"/>
        <w:gridCol w:w="32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bookmarkStart w:id="0" w:name="JR_PAGE_ANCHOR_0_1"/>
            <w:r/>
            <w:bookmarkEnd w:id="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ru-RU"/>
              </w:rPr>
              <w:t xml:space="preserve">Приложение 1 к руководству</w:t>
              <w:br/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6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ШКАЛА ПРИСВОЕНИЯ БАЛЛОВ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6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6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Финансово-экономическая 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 (Отборочная стадия проводится в соответствии с Методикой проведения экспертизы финансово-экономической устойчивости участников закупочных процедур)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6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" w:name="JR_PAGE_ANCHOR_0_1"/>
                  <w:r/>
                  <w:bookmarkEnd w:id="1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" w:name="JR_PAGE_ANCHOR_0_1"/>
                  <w:r/>
                  <w:bookmarkEnd w:id="2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" w:name="JR_PAGE_ANCHOR_0_1"/>
                  <w:r/>
                  <w:bookmarkEnd w:id="3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4" w:name="JR_PAGE_ANCHOR_0_2"/>
            <w:r/>
            <w:bookmarkEnd w:id="4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24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164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4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Экономические риски с учётом платёжеспособности и финансовой устойчивости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Участник не соответствует требованиям Закупочной документации</w:t>
                          <w:br/>
                          <w:t xml:space="preserve">От 1 до 5 баллов  - Баллы выставляются в соответствии с Методикой проведения экспертизы финансово-экономической устойчивости участников закупочных процедур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2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4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4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4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5" w:name="JR_PAGE_ANCHOR_0_3"/>
            <w:r/>
            <w:bookmarkEnd w:id="5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Коммерческая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6" w:name="JR_PAGE_ANCHOR_0_3"/>
                  <w:r/>
                  <w:bookmarkEnd w:id="6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7" w:name="JR_PAGE_ANCHOR_0_3"/>
                  <w:r/>
                  <w:bookmarkEnd w:id="7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8" w:name="JR_PAGE_ANCHOR_0_3"/>
                  <w:r/>
                  <w:bookmarkEnd w:id="8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0"/>
        <w:gridCol w:w="1800"/>
        <w:gridCol w:w="7800"/>
        <w:gridCol w:w="1680"/>
        <w:gridCol w:w="20"/>
        <w:gridCol w:w="1580"/>
        <w:gridCol w:w="20"/>
        <w:gridCol w:w="1600"/>
        <w:gridCol w:w="1340"/>
        <w:gridCol w:w="40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9" w:name="JR_PAGE_ANCHOR_0_4"/>
            <w:r/>
            <w:bookmarkEnd w:id="9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Сумма ГКПЗ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2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№ п/п</w:t>
            </w:r>
            <w:r/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Наименование участника процедуры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Цена договора, предложенная участником, руб. без НДС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1</w:t>
            </w:r>
            <w:r/>
          </w:p>
        </w:tc>
        <w:tc>
          <w:tcPr>
            <w:gridSpan w:val="3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2</w:t>
            </w:r>
            <w:r/>
          </w:p>
        </w:tc>
        <w:tc>
          <w:tcPr>
            <w:gridSpan w:val="3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en-US"/>
              </w:rPr>
              <w:t xml:space="preserve">3</w:t>
            </w:r>
            <w:r/>
          </w:p>
        </w:tc>
        <w:tc>
          <w:tcPr>
            <w:gridSpan w:val="3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gridSpan w:val="2"/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ffffcc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8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8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8400"/>
              <w:gridCol w:w="740"/>
              <w:gridCol w:w="740"/>
              <w:gridCol w:w="740"/>
              <w:gridCol w:w="760"/>
              <w:gridCol w:w="760"/>
              <w:gridCol w:w="740"/>
              <w:gridCol w:w="740"/>
              <w:gridCol w:w="740"/>
              <w:gridCol w:w="740"/>
              <w:gridCol w:w="740"/>
            </w:tblGrid>
            <w:tr>
              <w:tblPrEx/>
              <w:trPr>
                <w:trHeight w:val="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40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(максимальная оценка по позиции –  5 баллов)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Критерии оценки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10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№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2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3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6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4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6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5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6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7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8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9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40"/>
                  </w:tblGrid>
                  <w:tr>
                    <w:tblPrEx/>
                    <w:trPr>
                      <w:trHeight w:val="4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10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4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Цена договора, предложенная участником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10" w:name="JR_PAGE_ANCHOR_0_4"/>
                  <w:r/>
                  <w:bookmarkEnd w:id="10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1" w:name="JR_PAGE_ANCHOR_0_4"/>
                  <w:r/>
                  <w:bookmarkEnd w:id="11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2" w:name="JR_PAGE_ANCHOR_0_4"/>
                  <w:r/>
                  <w:bookmarkEnd w:id="12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3" w:name="JR_PAGE_ANCHOR_0_4"/>
                  <w:r/>
                  <w:bookmarkEnd w:id="13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4" w:name="JR_PAGE_ANCHOR_0_4"/>
                  <w:r/>
                  <w:bookmarkEnd w:id="14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5" w:name="JR_PAGE_ANCHOR_0_4"/>
                  <w:r/>
                  <w:bookmarkEnd w:id="15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6" w:name="JR_PAGE_ANCHOR_0_4"/>
                  <w:r/>
                  <w:bookmarkEnd w:id="16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7" w:name="JR_PAGE_ANCHOR_0_4"/>
                  <w:r/>
                  <w:bookmarkEnd w:id="17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8" w:name="JR_PAGE_ANCHOR_0_4"/>
                  <w:r/>
                  <w:bookmarkEnd w:id="18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19" w:name="JR_PAGE_ANCHOR_0_4"/>
                  <w:r/>
                  <w:bookmarkEnd w:id="19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0" w:name="JR_PAGE_ANCHOR_0_5"/>
            <w:r/>
            <w:bookmarkEnd w:id="2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Экономическая безопасность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21" w:name="JR_PAGE_ANCHOR_0_5"/>
                  <w:r/>
                  <w:bookmarkEnd w:id="21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2" w:name="JR_PAGE_ANCHOR_0_5"/>
                  <w:r/>
                  <w:bookmarkEnd w:id="22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3" w:name="JR_PAGE_ANCHOR_0_5"/>
                  <w:r/>
                  <w:bookmarkEnd w:id="23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4" w:name="JR_PAGE_ANCHOR_0_6"/>
            <w:r/>
            <w:bookmarkEnd w:id="24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14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4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Деловая репутация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Неприемлемая деловая репутация</w:t>
                          <w:br/>
                          <w:t xml:space="preserve">От 1 до 5 баллов  - Баллы выставляются в соответствии с Методикой оценки деловой репутации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5" w:name="JR_PAGE_ANCHOR_0_7"/>
            <w:r/>
            <w:bookmarkEnd w:id="25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Техническая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26" w:name="JR_PAGE_ANCHOR_0_7"/>
                  <w:r/>
                  <w:bookmarkEnd w:id="26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7" w:name="JR_PAGE_ANCHOR_0_7"/>
                  <w:r/>
                  <w:bookmarkEnd w:id="27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28" w:name="JR_PAGE_ANCHOR_0_7"/>
                  <w:r/>
                  <w:bookmarkEnd w:id="28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29" w:name="JR_PAGE_ANCHOR_0_8"/>
            <w:r/>
            <w:bookmarkEnd w:id="29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68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308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308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Соответствие объема и качества предлагаемого товара требованиям ТЗ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248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Участник не представил (не подтвердил) объем и/ил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 качество поставляемого товара, либо объем и/или качество поставляемого товара не соответствуют  минимальным требованиям Закупочной документации</w:t>
                          <w:br/>
                          <w:t xml:space="preserve">От 1 до 2 баллов  - Данный диапазон не  используется</w:t>
                          <w:br/>
                          <w:t xml:space="preserve">3 балла - Предложение участника полностью соответствует тр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ебованиям  Закупочной документации по объему и качеству предлагаемого товара. В случае обязательного наличия требования о предоставлении сертификата, подтверждающего качество продукции, такой документ предоставлен</w:t>
                          <w:br/>
                          <w:t xml:space="preserve">От 4 до 5 баллов  - Оценка не используется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8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8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8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0" w:name="JR_PAGE_ANCHOR_0_9"/>
            <w:r/>
            <w:bookmarkEnd w:id="3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Юридическая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31" w:name="JR_PAGE_ANCHOR_0_9"/>
                  <w:r/>
                  <w:bookmarkEnd w:id="31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2" w:name="JR_PAGE_ANCHOR_0_9"/>
                  <w:r/>
                  <w:bookmarkEnd w:id="32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3" w:name="JR_PAGE_ANCHOR_0_9"/>
                  <w:r/>
                  <w:bookmarkEnd w:id="33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4" w:name="JR_PAGE_ANCHOR_0_10"/>
            <w:r/>
            <w:bookmarkEnd w:id="34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966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47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47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Оценка риска заключения договора с участником, в связи с предоставлением в составе заявки документов, не соответствующих требованиям закупочной документации либо их отсутствием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41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Непредставление документов, установленных требованиями Закупочной документации и/или представление документов не соответствующих требованиям Закупочной документации и/или п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редставление документов, не подтверждающих соответствие участника требованиям Закупочной документации (за исключением документов, указанных при описании оценки 2 балла). Отсутствие участника в Едином реестре СМСП (при закупке у СМСП)</w:t>
                          <w:br/>
                          <w:t xml:space="preserve">1 балл - Не использует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ся для оценки</w:t>
                          <w:br/>
                          <w:t xml:space="preserve">2 балла - Не представление участником справок (одной или обоих) о крупности и/или заинтересованности сделок или представление участником справок (одной или обоих) о крупности и/или заинтересованности сделок не соответствующих требованиям  Зак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упочной документации и/или законодательству РФ; не представление действующей версии Устава</w:t>
                          <w:br/>
                          <w:t xml:space="preserve">3 балла - Участник/предложение участника соответствует требованиям Закупочной документации. Приемлемые риски</w:t>
                          <w:br/>
                          <w:t xml:space="preserve">От 4 до 5 баллов  - диапапзон не используется для оценки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35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35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35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334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334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Приемлемость условий договора, предложенных участником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274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Участник не представил протокол разногласий в соответствии с формой, установленной закупочной документац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ией и/или письма-согласия с условиями договора, и/или представлен протокол разногласий с "обязательными" условиями и/или без указания статуса условий</w:t>
                          <w:br/>
                          <w:t xml:space="preserve">1 балл - Участником представлен протокол разногласий с "желательными" условиями влияющими/ухудшающими поло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жение Заказчика</w:t>
                          <w:br/>
                          <w:t xml:space="preserve">2 балла - Не используется для оценки</w:t>
                          <w:br/>
                          <w:t xml:space="preserve">3 балла - Участник согласен с условиями договора или участник представил протокол разногласий с "желательными" условиями не влияющими на положение Заказчика</w:t>
                          <w:br/>
                          <w:t xml:space="preserve">От 4 до 5 баллов  - Не используется для оценки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1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1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214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20"/>
        <w:gridCol w:w="3600"/>
        <w:gridCol w:w="2000"/>
        <w:gridCol w:w="4900"/>
        <w:gridCol w:w="5580"/>
        <w:gridCol w:w="20"/>
        <w:gridCol w:w="320"/>
      </w:tblGrid>
      <w:tr>
        <w:tblPrEx/>
        <w:trPr>
          <w:trHeight w:val="10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5" w:name="JR_PAGE_ANCHOR_0_11"/>
            <w:r/>
            <w:bookmarkEnd w:id="35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ИНДИВИДУАЛЬНОЕ ЗАКЛЮЧЕНИЕ ПО ЭКСПЕРТНОЙ ОЦЕНКЕ ЗАЯВОК НА УЧАСТИЕ В ЗАКУПКЕ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После этапа: _________________________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ДЗО: 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Филиал: _______________________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Эксперт: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Способ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закупки: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Предмет договора: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Карта закупок:</w:t>
            </w:r>
            <w:r/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Вид экспертизы: </w:t>
            </w:r>
            <w:r/>
          </w:p>
        </w:tc>
        <w:tc>
          <w:tcPr>
            <w:gridSpan w:val="2"/>
            <w:shd w:val="clear" w:color="auto" w:fill="87ffa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 Квалификационная экспертиза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4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1. Отборочная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6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5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8000"/>
              <w:gridCol w:w="2100"/>
              <w:gridCol w:w="2100"/>
              <w:gridCol w:w="2100"/>
            </w:tblGrid>
            <w:tr>
              <w:tblPrEx/>
              <w:trPr>
                <w:trHeight w:val="14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0"/>
                            <w:lang w:val="ru-RU"/>
                          </w:rPr>
                          <w:t xml:space="preserve">№ п/п критерия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отборочного критерия 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300"/>
                  </w:tblGrid>
                  <w:tr>
                    <w:tblPrEx/>
                    <w:trPr>
                      <w:trHeight w:val="14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Экспертные оценки: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или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«Не соответствует»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требованиям закупочной документации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ff0000"/>
                            <w:sz w:val="24"/>
                            <w:lang w:val="ru-RU"/>
                          </w:rPr>
                          <w:t xml:space="preserve">(в случае несоответствия заполняется заключение ниже)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 и рекомендации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en-US"/>
                          </w:rPr>
                          <w:t xml:space="preserve">1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8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Соответствие Участника и его Заявки (Предложения) требованиям закупочной документации (требования описаны в закупочной (конкурсной) документации)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>
                    <w:br w:type="page" w:clear="all"/>
                  </w:r>
                  <w:r/>
                </w:p>
                <w:p>
                  <w:r/>
                  <w:bookmarkStart w:id="36" w:name="JR_PAGE_ANCHOR_0_11"/>
                  <w:r/>
                  <w:bookmarkEnd w:id="36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7" w:name="JR_PAGE_ANCHOR_0_11"/>
                  <w:r/>
                  <w:bookmarkEnd w:id="37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p>
                  <w:r/>
                  <w:bookmarkStart w:id="38" w:name="JR_PAGE_ANCHOR_0_11"/>
                  <w:r/>
                  <w:bookmarkEnd w:id="38"/>
                  <w:r/>
                  <w:r/>
                </w:p>
                <w:p>
                  <w:r>
                    <w:br w:type="page" w:clear="all"/>
                  </w:r>
                  <w:r/>
                </w:p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600" w:hRule="exact"/>
              </w:trPr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0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Рекомендации эксперта по отклонению или допуску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0f8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ffffff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9800"/>
        <w:gridCol w:w="6300"/>
        <w:gridCol w:w="34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7"/>
              <w:pageBreakBefore/>
            </w:pPr>
            <w:r/>
            <w:bookmarkStart w:id="39" w:name="JR_PAGE_ANCHOR_0_12"/>
            <w:r/>
            <w:bookmarkEnd w:id="39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30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lang w:val="ru-RU"/>
              </w:rPr>
              <w:t xml:space="preserve">Таблица № 2. Оценочная стадия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  <w:tr>
        <w:tblPrEx/>
        <w:trPr>
          <w:trHeight w:val="10220" w:hRule="exact"/>
        </w:trPr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  <w:tc>
          <w:tcPr>
            <w:gridSpan w:val="2"/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tbl>
            <w:tblPr>
              <w:tblLayout w:type="fixed"/>
              <w:tblLook w:val="04A0" w:firstRow="1" w:lastRow="0" w:firstColumn="1" w:lastColumn="0" w:noHBand="0" w:noVBand="1"/>
            </w:tblPr>
            <w:tblGrid>
              <w:gridCol w:w="1800"/>
              <w:gridCol w:w="9200"/>
              <w:gridCol w:w="1700"/>
              <w:gridCol w:w="1700"/>
              <w:gridCol w:w="1700"/>
            </w:tblGrid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оценочных критериев/подкритериев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restart"/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6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Шкала выставления баллов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gridSpan w:val="3"/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Предложение Участников (описание заполняется экспертом)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800" w:hRule="exact"/>
              </w:trPr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vMerge w:val="continue"/>
                  <w:textDirection w:val="lrTb"/>
                  <w:noWrap w:val="false"/>
                </w:tcPr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bfe1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800" w:hRule="exact"/>
                    </w:trPr>
                    <w:tc>
                      <w:tcPr>
                        <w:shd w:val="clear" w:color="auto" w:fill="ffffcc"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color w:val="000000"/>
                            <w:sz w:val="24"/>
                            <w:lang w:val="ru-RU"/>
                          </w:rPr>
                          <w:t xml:space="preserve">Наименование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28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8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Опыт выполнения поставок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 представлены сведения, либо представленный опыт ниже минимальных обязательных требований закупочной документации</w:t>
                          <w:br/>
                          <w:t xml:space="preserve">От 1 до 2 баллов  - Да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нный диапазон не используется</w:t>
                          <w:br/>
                          <w:t xml:space="preserve">3 балла - Опыт поставок соответствует минимальным обязательным требованиям закупочной документации</w:t>
                          <w:br/>
                          <w:t xml:space="preserve">4 балла - Опыт поставок превышает минимальные обязательные требования закупочной документации</w:t>
                          <w:br/>
                          <w:t xml:space="preserve">5 баллов - Оценка не используется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302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30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Наличие сертифицированных систем менеджмента и/или иных добровольных сертифицированных подтверждений компетенции участника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192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 используется для оценки</w:t>
                          <w:br/>
                          <w:t xml:space="preserve">1 балл - В случае не предоставления участником подтве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рждения наличия у него системы менеджмента качества ИСО 9001</w:t>
                          <w:br/>
                          <w:t xml:space="preserve">2 балла - Не используется для оценки</w:t>
                          <w:br/>
                          <w:t xml:space="preserve">3 балла - В случае предоставления участником подтверждения наличия у него системы менеджмента качества ИСО 9001</w:t>
                          <w:br/>
                          <w:t xml:space="preserve">От 4 до 5 баллов  - Не используется для оценки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5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82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  <w:tr>
              <w:tblPrEx/>
              <w:trPr>
                <w:trHeight w:val="2800" w:hRule="exact"/>
              </w:trPr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00"/>
                  </w:tblGrid>
                  <w:tr>
                    <w:tblPrEx/>
                    <w:trPr>
                      <w:trHeight w:val="28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left="100"/>
                          <w:jc w:val="center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Аккредитация в Группе «Интер РАО» в качестве поставщика, закупаемых в рамках данной процедуры товаров, работ, услуг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200"/>
                  </w:tblGrid>
                  <w:tr>
                    <w:tblPrEx/>
                    <w:trPr>
                      <w:trHeight w:val="22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pPr>
                          <w:ind w:left="100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0 баллов - Не ис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пользуется для оценки</w:t>
                          <w:br/>
                          <w:t xml:space="preserve">1 балл - В случае не предоставления участником действующих свидетельств об аккредитации в качестве поставщика для нужд Группы «Интер РАО», по видам деятельности, перечисленным в ТЗ ИЛИ в случае отсутствия данного требования в ТЗ</w:t>
                          <w:br/>
                          <w:t xml:space="preserve">2 бал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ла - Не используется для оценки</w:t>
                          <w:br/>
                          <w:t xml:space="preserve">От 3 до 5 баллов  - Рассчитывается по формуле: 2 + Ау (но не более 5 баллов) где, Ау - кол-во представленных участником действующих свидетельств об аккредитации в Группе «Интер РАО» по видам деятельности, перечисленным в ТЗ </w:t>
                        </w:r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center"/>
                        <w:textDirection w:val="lrTb"/>
                        <w:noWrap w:val="false"/>
                      </w:tcPr>
                      <w:p>
                        <w:pPr>
                          <w:ind w:firstLine="10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000000"/>
                            <w:sz w:val="24"/>
                            <w:lang w:val="ru-RU"/>
                          </w:rPr>
                          <w:t xml:space="preserve">Итоговый балл по данному подкритерию:</w:t>
                        </w:r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  <w:tc>
                <w:tcPr>
                  <w:shd w:val="clear" w:color="auto" w:fill="ffffff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extDirection w:val="lrTb"/>
                  <w:noWrap w:val="false"/>
                </w:tcPr>
                <w:tbl>
                  <w:tblPr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0"/>
                  </w:tblGrid>
                  <w:tr>
                    <w:tblPrEx/>
                    <w:trPr>
                      <w:trHeight w:val="600" w:hRule="exact"/>
                    </w:trPr>
                    <w:tc>
                      <w:tcPr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  <w:tr>
                    <w:tblPrEx/>
                    <w:trPr>
                      <w:trHeight w:val="1600" w:hRule="exact"/>
                    </w:trPr>
                    <w:tc>
                      <w:tcPr>
                        <w:textDirection w:val="lrTb"/>
                        <w:noWrap w:val="false"/>
                      </w:tcPr>
                      <w:p>
                        <w:pPr>
                          <w:pStyle w:val="617"/>
                        </w:pPr>
                        <w:r/>
                        <w:r/>
                      </w:p>
                    </w:tc>
                  </w:tr>
                  <w:tr>
                    <w:tblPrEx/>
                    <w:trPr>
                      <w:trHeight w:val="600" w:hRule="exact"/>
                    </w:trPr>
                    <w:tc>
                      <w:tcPr>
                        <w:shd w:val="clear" w:color="auto" w:fill="87ffa5"/>
                        <w:tcBorders>
                          <w:top w:val="single" w:color="000000" w:sz="4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vAlign w:val="top"/>
                        <w:textDirection w:val="lrTb"/>
                        <w:noWrap w:val="false"/>
                      </w:tcPr>
                      <w:p>
                        <w:r/>
                        <w:r/>
                      </w:p>
                    </w:tc>
                  </w:tr>
                </w:tbl>
                <w:p>
                  <w:pPr>
                    <w:pStyle w:val="617"/>
                  </w:pPr>
                  <w:r/>
                  <w:r/>
                </w:p>
              </w:tc>
            </w:tr>
          </w:tbl>
          <w:p>
            <w:pPr>
              <w:pStyle w:val="617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7"/>
            </w:pPr>
            <w:r/>
            <w:r/>
          </w:p>
        </w:tc>
      </w:tr>
    </w:tbl>
    <w:sectPr>
      <w:footnotePr/>
      <w:endnotePr/>
      <w:type w:val="nextPage"/>
      <w:pgSz w:w="16840" w:h="11900" w:orient="landscape"/>
      <w:pgMar w:top="200" w:right="200" w:bottom="0" w:left="200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ansSerif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80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11"/>
    <w:next w:val="11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11"/>
    <w:next w:val="11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11"/>
    <w:next w:val="11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11"/>
    <w:next w:val="11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11"/>
    <w:next w:val="11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11"/>
    <w:next w:val="11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11"/>
    <w:next w:val="11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11"/>
    <w:next w:val="11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11"/>
    <w:next w:val="11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11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11"/>
    <w:next w:val="11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11"/>
    <w:next w:val="11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11"/>
    <w:next w:val="11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11"/>
    <w:next w:val="11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11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11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11"/>
    <w:next w:val="11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11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11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11"/>
    <w:next w:val="11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11"/>
    <w:next w:val="11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11"/>
    <w:next w:val="11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11"/>
    <w:next w:val="11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11"/>
    <w:next w:val="11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11"/>
    <w:next w:val="11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11"/>
    <w:next w:val="11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11"/>
    <w:next w:val="11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11"/>
    <w:next w:val="11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11"/>
    <w:next w:val="11"/>
    <w:uiPriority w:val="99"/>
    <w:unhideWhenUsed/>
    <w:pPr>
      <w:spacing w:after="0" w:afterAutospacing="0"/>
    </w:pPr>
  </w:style>
  <w:style w:type="paragraph" w:styleId="617">
    <w:name w:val="EMPTY_CELL_STYLE"/>
    <w:qFormat/>
    <w:rPr>
      <w:rFonts w:ascii="SansSerif" w:hAnsi="SansSerif" w:eastAsia="SansSerif" w:cs="SansSerif"/>
      <w:color w:val="000000"/>
      <w:sz w:val="1"/>
    </w:rPr>
  </w:style>
  <w:style w:type="paragraph" w:styleId="618">
    <w:name w:val="Table_TH"/>
    <w:qFormat/>
    <w:rPr>
      <w:rFonts w:ascii="SansSerif" w:hAnsi="SansSerif" w:eastAsia="SansSerif" w:cs="SansSerif"/>
      <w:color w:val="000000"/>
      <w:sz w:val="20"/>
    </w:rPr>
  </w:style>
  <w:style w:type="paragraph" w:styleId="619">
    <w:name w:val="Table_CH"/>
    <w:qFormat/>
    <w:rPr>
      <w:rFonts w:ascii="SansSerif" w:hAnsi="SansSerif" w:eastAsia="SansSerif" w:cs="SansSerif"/>
      <w:color w:val="000000"/>
      <w:sz w:val="20"/>
    </w:rPr>
  </w:style>
  <w:style w:type="paragraph" w:styleId="620">
    <w:name w:val="Table_TD"/>
    <w:qFormat/>
    <w:rPr>
      <w:rFonts w:ascii="SansSerif" w:hAnsi="SansSerif" w:eastAsia="SansSerif" w:cs="SansSerif"/>
      <w:color w:val="000000"/>
      <w:sz w:val="20"/>
    </w:rPr>
  </w:style>
  <w:style w:type="character" w:styleId="17437" w:default="1">
    <w:name w:val="Default Paragraph Font"/>
    <w:uiPriority w:val="1"/>
    <w:semiHidden/>
    <w:unhideWhenUsed/>
  </w:style>
  <w:style w:type="numbering" w:styleId="17438" w:default="1">
    <w:name w:val="No List"/>
    <w:uiPriority w:val="99"/>
    <w:semiHidden/>
    <w:unhideWhenUsed/>
  </w:style>
  <w:style w:type="paragraph" w:styleId="17439" w:default="1">
    <w:name w:val="Normal"/>
    <w:qFormat/>
  </w:style>
  <w:style w:type="table" w:styleId="17440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lazarevich_sv</cp:lastModifiedBy>
  <cp:revision>1</cp:revision>
  <dcterms:modified xsi:type="dcterms:W3CDTF">2026-09-23T14:35:15Z</dcterms:modified>
</cp:coreProperties>
</file>