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tbl>
      <w:tblPr>
        <w:tblW w:w="9350" w:type="dxa"/>
        <w:tblBorders>
          <w:top w:val="none" w:sz="0"/>
          <w:left w:val="none" w:sz="0"/>
          <w:bottom w:val="none" w:sz="0"/>
          <w:right w:val="none" w:sz="0"/>
          <w:insideH w:val="none" w:sz="0"/>
          <w:insideV w:val="none" w:sz="0"/>
        </w:tblBorders>
        <w:tblLayout w:type="fixed"/>
      </w:tblPr>
      <w:tblGrid>
        <w:gridCol w:w="4675"/>
        <w:gridCol w:w="4675"/>
      </w:tblGrid>
      <w:tr>
        <w:tc>
          <w:tcPr>
            <w:tcW w:type="dxa" w:w="4675"/>
          </w:tcPr>
          <w:p>
            <w:pPr>
              <w:spacing w:before="0" w:after="0" w:lineRule="auto" w:line="276"/>
              <w:ind w:right="0" w:left="0" w:firstLine="0"/>
              <w:jc w:val="both"/>
            </w:pPr>
            <w:r>
              <w:rPr/>
            </w:r>
            <w:r>
              <w:rPr>
                <w:u w:val="none"/>
                <w:sz w:val="28"/>
                <w:rFonts w:ascii="Times New Roman" w:hAnsi="Times New Roman" w:cs="Times New Roman" w:eastAsia="Times New Roman"/>
                <w:b w:val="off"/>
                <w:i w:val="off"/>
                <w:strike w:val="off"/>
              </w:rPr>
              <w:t/>
            </w:r>
            <w:r>
              <w:rPr/>
            </w:r>
            <w:r>
              <w:rPr>
                <w:u w:val="none"/>
                <w:sz w:val="28"/>
                <w:rFonts w:ascii="Times New Roman" w:hAnsi="Times New Roman" w:cs="Times New Roman" w:eastAsia="Times New Roman"/>
                <w:b w:val="off"/>
                <w:i w:val="off"/>
                <w:strike w:val="off"/>
              </w:rPr>
            </w:r>
            <w:r>
              <w:rPr>
                <w:sz w:val="28"/>
                <w:rFonts w:ascii="Times New Roman" w:hAnsi="Times New Roman" w:cs="Times New Roman" w:eastAsia="Times New Roman"/>
                <w:u w:val="none"/>
                <w:b w:val="off"/>
                <w:i w:val="off"/>
                <w:strike w:val="off"/>
              </w:rPr>
            </w:r>
            <w:r>
              <w:rPr>
                <w:sz w:val="28"/>
                <w:rFonts w:ascii="Times New Roman" w:hAnsi="Times New Roman" w:cs="Times New Roman" w:eastAsia="Times New Roman"/>
                <w:u w:val="none"/>
              </w:rPr>
              <w:t xml:space="preserve"> </w:t>
            </w:r>
          </w:p>
        </w:tc>
        <w:tc>
          <w:tcPr>
            <w:tcW w:type="dxa" w:w="4675"/>
          </w:tcPr>
          <w:p>
            <w:pPr>
              <w:spacing w:before="0" w:after="0" w:lineRule="auto" w:line="276"/>
              <w:ind w:right="0" w:left="0" w:firstLine="0"/>
              <w:jc w:val="right"/>
            </w:pPr>
            <w:r>
              <w:rPr/>
            </w:r>
            <w:r>
              <w:rPr>
                <w:u w:val="none"/>
                <w:sz w:val="24"/>
                <w:rFonts w:ascii="Times New Roman" w:hAnsi="Times New Roman" w:cs="Times New Roman" w:eastAsia="Times New Roman"/>
                <w:b w:val="off"/>
                <w:i w:val="off"/>
                <w:strike w:val="off"/>
              </w:rPr>
              <w:t/>
            </w: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b w:val="off"/>
                <w:i w:val="off"/>
                <w:strike w:val="off"/>
              </w:rPr>
            </w:r>
            <w:r>
              <w:rPr>
                <w:sz w:val="24"/>
                <w:rFonts w:ascii="Times New Roman" w:hAnsi="Times New Roman" w:cs="Times New Roman" w:eastAsia="Times New Roman"/>
                <w:u w:val="none"/>
              </w:rPr>
              <w:t>Утверждаю</w:t>
            </w:r>
          </w:p>
          <w:p>
            <w:pPr>
              <w:spacing w:before="0" w:after="0" w:lineRule="auto" w:line="276"/>
              <w:ind w:right="0" w:left="0" w:firstLine="0"/>
              <w:jc w:val="right"/>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БЮДЖЕТНОЕ УЧРЕЖДЕНИЕ ХАНТЫ-МАНСИЙСКОГО АВТОНОМНОГО ОКРУГА - ЮГРЫ "НЕФТЕЮГАНСКАЯ РАЙОННАЯ БОЛЬНИЦА"</w:t>
            </w:r>
          </w:p>
        </w:tc>
      </w:tr>
    </w:tbl>
    <w:p>
      <w:pPr>
        <w:spacing w:before="0" w:after="0" w:lineRule="auto" w:line="276"/>
        <w:ind w:right="0" w:left="0" w:firstLine="538"/>
        <w:jc w:val="both"/>
      </w:pPr>
      <w:r>
        <w:rPr/>
      </w:r>
      <w:r>
        <w:rPr>
          <w:u w:val="none"/>
          <w:sz w:val="28"/>
          <w:rFonts w:ascii="Times New Roman" w:hAnsi="Times New Roman" w:cs="Times New Roman" w:eastAsia="Times New Roman"/>
          <w:b w:val="off"/>
          <w:i w:val="off"/>
          <w:strike w:val="off"/>
        </w:rPr>
      </w:r>
      <w:r>
        <w:rPr>
          <w:sz w:val="28"/>
          <w:rFonts w:ascii="Times New Roman" w:hAnsi="Times New Roman" w:cs="Times New Roman" w:eastAsia="Times New Roman"/>
          <w:u w:val="none"/>
        </w:rPr>
        <w:t/>
      </w:r>
    </w:p>
    <w:p>
      <w:pPr>
        <w:spacing w:before="0" w:after="0" w:lineRule="auto" w:line="276"/>
        <w:ind w:right="0" w:left="0" w:firstLine="538"/>
        <w:jc w:val="both"/>
      </w:pPr>
      <w:r>
        <w:rPr/>
      </w:r>
      <w:r>
        <w:rPr>
          <w:u w:val="none"/>
          <w:sz w:val="28"/>
          <w:rFonts w:ascii="Times New Roman" w:hAnsi="Times New Roman" w:cs="Times New Roman" w:eastAsia="Times New Roman"/>
          <w:b w:val="off"/>
          <w:i w:val="off"/>
          <w:strike w:val="off"/>
        </w:rPr>
      </w:r>
      <w:r>
        <w:rPr>
          <w:sz w:val="28"/>
          <w:rFonts w:ascii="Times New Roman" w:hAnsi="Times New Roman" w:cs="Times New Roman" w:eastAsia="Times New Roman"/>
          <w:u w:val="none"/>
        </w:rPr>
        <w:t/>
      </w:r>
      <w:r>
        <w:rPr>
          <w:sz w:val="28"/>
          <w:rFonts w:ascii="Times New Roman" w:hAnsi="Times New Roman" w:cs="Times New Roman" w:eastAsia="Times New Roman"/>
          <w:u w:val="none"/>
          <w:b w:val="on"/>
        </w:rPr>
        <w:t>Требования к содержанию, составу заявки на участие в закупке в соответствии с Законом о контрактной системе и инструкция по ее заполнению.</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Законом о контрактной системе оператору электронной площадки;</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о контрактной системе срока подачи заявок на участие в закупке.</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pPr>
        <w:spacing w:before="0" w:after="0" w:lineRule="auto" w:line="276"/>
        <w:ind w:right="0" w:left="0" w:firstLine="0"/>
        <w:jc w:val="both"/>
      </w:pPr>
      <w:r>
        <w:rPr/>
      </w:r>
      <w:r>
        <w:rPr>
          <w:u w:val="none"/>
          <w:sz w:val="24"/>
          <w:rFonts w:ascii="Times New Roman" w:hAnsi="Times New Roman" w:cs="Times New Roman" w:eastAsia="Times New Roman"/>
          <w:b w:val="off"/>
          <w:i w:val="off"/>
          <w:strike w:val="off"/>
        </w:rPr>
      </w:r>
    </w:p>
    <w:p>
      <w:pPr>
        <w:spacing w:before="0" w:after="141" w:lineRule="auto" w:line="276"/>
        <w:ind w:right="0" w:left="0" w:firstLine="538"/>
        <w:jc w:val="both"/>
      </w:pPr>
      <w:r>
        <w:rPr/>
      </w:r>
      <w:r>
        <w:rPr>
          <w:u w:val="none"/>
          <w:sz w:val="28"/>
          <w:rFonts w:ascii="Times New Roman" w:hAnsi="Times New Roman" w:cs="Times New Roman" w:eastAsia="Times New Roman"/>
          <w:b w:val="off"/>
          <w:i w:val="off"/>
          <w:strike w:val="off"/>
        </w:rPr>
      </w:r>
      <w:r>
        <w:rPr>
          <w:sz w:val="28"/>
          <w:rFonts w:ascii="Times New Roman" w:hAnsi="Times New Roman" w:cs="Times New Roman" w:eastAsia="Times New Roman"/>
          <w:u w:val="none"/>
          <w:b w:val="on"/>
        </w:rPr>
        <w:t>Для участия в конкурентном способе заявка на участие в закупке</w:t>
      </w:r>
      <w:r>
        <w:rPr>
          <w:sz w:val="28"/>
          <w:rFonts w:ascii="Times New Roman" w:hAnsi="Times New Roman" w:cs="Times New Roman" w:eastAsia="Times New Roman"/>
          <w:u w:val="none"/>
          <w:b w:val="on"/>
        </w:rPr>
        <w:t>, если иное не предусмотрено Законом о контрактной системе, должна содержать:</w:t>
      </w:r>
    </w:p>
    <w:p>
      <w:pPr>
        <w:spacing w:before="0" w:after="141"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b w:val="on"/>
        </w:rPr>
        <w:t>1) информацию и документы об участнике закупки:</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Pr>
          <w:sz w:val="24"/>
          <w:rFonts w:ascii="Times New Roman" w:hAnsi="Times New Roman" w:cs="Times New Roman" w:eastAsia="Times New Roman"/>
          <w:u w:val="none"/>
          <w:b w:val="on"/>
        </w:rPr>
        <w:t xml:space="preserve"> не требуется</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к) декларация о принадлежности участника закупки к организации инвалидов, предусмотренной частью 2 статьи 29 Закона о контрактной системе (если участник закупки является такой организацией);</w:t>
      </w:r>
      <w:r>
        <w:rPr>
          <w:sz w:val="24"/>
          <w:rFonts w:ascii="Times New Roman" w:hAnsi="Times New Roman" w:cs="Times New Roman" w:eastAsia="Times New Roman"/>
          <w:u w:val="none"/>
          <w:b w:val="on"/>
        </w:rPr>
        <w:t xml:space="preserve"> требуется</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Закона о контрактной системе;</w:t>
      </w:r>
      <w:r>
        <w:rPr>
          <w:sz w:val="24"/>
          <w:rFonts w:ascii="Times New Roman" w:hAnsi="Times New Roman" w:cs="Times New Roman" w:eastAsia="Times New Roman"/>
          <w:u w:val="none"/>
          <w:b w:val="on"/>
        </w:rPr>
        <w:t xml:space="preserve"> не требуется</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н) информацию и документы, которые подтверждают соответствие участника закупки требованиям, установленным пунктом 1 части 1 статьи 31 Закона о контрактной системе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настоящего пункта декларация о соответствии участника закупки требованиям, установленным пунктом 1 части 1статьи 31 Закона о контрактной системе), информацию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Закона о контрактной системе, если иное не предусмотрено Законом о контрактной системе);</w:t>
      </w:r>
      <w:r>
        <w:rPr>
          <w:sz w:val="24"/>
          <w:rFonts w:ascii="Times New Roman" w:hAnsi="Times New Roman" w:cs="Times New Roman" w:eastAsia="Times New Roman"/>
          <w:u w:val="none"/>
        </w:rPr>
        <w:t xml:space="preserve"> </w:t>
      </w:r>
      <w:r>
        <w:rPr>
          <w:sz w:val="24"/>
          <w:rFonts w:ascii="Times New Roman" w:hAnsi="Times New Roman" w:cs="Times New Roman" w:eastAsia="Times New Roman"/>
          <w:u w:val="none"/>
          <w:b w:val="on"/>
        </w:rPr>
        <w:t>не требуется,</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xml:space="preserve">требуется в соответствии с частью 1 статьи 31 Федерального закона № 44-ФЗ,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Единые требования к участникам закупок (в соответствии с частью 1 статьи 31 Федерального закона № 44-ФЗ)</w:t>
      </w:r>
      <w:r>
        <w:rPr>
          <w:sz w:val="24"/>
          <w:rFonts w:ascii="Times New Roman" w:hAnsi="Times New Roman" w:cs="Times New Roman" w:eastAsia="Times New Roman"/>
          <w:u w:val="none"/>
        </w:rPr>
        <w:t xml:space="preserve">: </w:t>
      </w:r>
      <w:r>
        <w:rPr>
          <w:sz w:val="24"/>
          <w:rFonts w:ascii="Times New Roman" w:hAnsi="Times New Roman" w:cs="Times New Roman" w:eastAsia="Times New Roman"/>
          <w:u w:val="none"/>
        </w:rPr>
        <w:t>Установлено</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требуется в соответствии с частью 2 статьи 31 Закона о контрактной системе,</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xml:space="preserve">Требования в соответствии с позицией 33 раздела VI приложения к ПП РФ от 29.12.2021 № 2571 (для требования к участникам закупок в соответствии с частью 2 статьи 31 Федерального закона № 44-ФЗ) </w:t>
      </w:r>
      <w:r>
        <w:rPr>
          <w:sz w:val="24"/>
          <w:rFonts w:ascii="Times New Roman" w:hAnsi="Times New Roman" w:cs="Times New Roman" w:eastAsia="Times New Roman"/>
          <w:u w:val="none"/>
        </w:rPr>
        <w:t xml:space="preserve">: </w:t>
      </w:r>
      <w:r>
        <w:rPr>
          <w:sz w:val="24"/>
          <w:rFonts w:ascii="Times New Roman" w:hAnsi="Times New Roman" w:cs="Times New Roman" w:eastAsia="Times New Roman"/>
          <w:u w:val="none"/>
        </w:rPr>
        <w:t>1) Наличие опыта исполнения участником закупки договора, предусматривающего оказание услуг общественного питания и (или) поставки пищевых продуктов.</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Цена оказанных услуг и (или) поставленных товаров по договору должна составлять не менее 20 процентов от начальной (максимальной) цены контракта, заключаемого по результатам определения поставщика (подрядчика, исполнителя);</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2) отсутствие у участника закупки, являющегося физическим лицом, либо у руководителя, членов коллегиального исполнительного органа, лица, исполняющего функции единоличного исполнительного органа, главного бухгалтера участника закупки, являющегося юридическим лицом, судимости за преступления, предусмотренные статьей 236 Уголовного кодекса Российской Федерации (за исключением лиц, у которых такая судимость погашена или снята);</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3) непривлечение участника закупки, являющегося физическим лицом, либо руководителя, членов коллегиального исполнительного органа, лица, исполняющего функции единоличного исполнительного органа, главного бухгалтера участника закупки, являющегося юридическим лицом, к административной ответственности за совершение административных правонарушений, предусмотренных статьями 6.3, 6.5 - 6.7, 14.43, 14.44 - 14.46.2 Кодекса Российской Федерации об административных правонарушениях;</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4) отсутствие в предусмотренном Федеральным законом "О контрактной системе в сфере закупок товаров, работ, услуг для обеспечения государственных и муниципальных нужд"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указанного Федерального закона.</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Информация и документы, подтверждающие соответствие участников закупки дополнительным требованиям:</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1) исполненный договор;</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2) акт приемки оказанных услуг и (или) поставленных товаров, подтверждающий цену оказанных услуг и (или) поставленных товаров;</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3) справка об отсутствии у участника закупки, являющегося физическим лицом, либо у руководителя, членов коллегиального исполнительного органа, лица, исполняющего функции единоличного исполнительного органа, главного бухгалтера участника закупки, являющегося юридическим лицом, судимости за преступления, предусмотренные статьей 236 Уголовного кодекса Российской Федерации;</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4) декларация участника закупки о непривлечении участника закупки, являющегося физическим лицом, либо руководителя, членов коллегиального исполнительного органа, лица, исполняющего функции единоличного исполнительного органа, главного бухгалтера участника закупки, являющегося юридическим лицом, к административной ответственности за совершение административных правонарушений, предусмотренных статьями 6.3, 6.5 - 6.7, 14.43, 14.44 - 14.46.2 Кодекса Российской Федерации об административных правонарушениях.</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Требования к участникам закупок в соответствии с частью 2 статьи 31 Федерального закона № 44-ФЗ</w:t>
      </w:r>
      <w:r>
        <w:rPr>
          <w:sz w:val="24"/>
          <w:rFonts w:ascii="Times New Roman" w:hAnsi="Times New Roman" w:cs="Times New Roman" w:eastAsia="Times New Roman"/>
          <w:u w:val="none"/>
        </w:rPr>
        <w:t xml:space="preserve">: </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о) декларация о соответствии участника закупки требованиям, установленным пунктами 3 - 5, 7 - 11 части 1 статьи 31 Закона о контрактной системе (если 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1.1) в соответствии с частью 18 статьи 44 Закона о контрактной системе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случае, если участник закупки - юридическое лицо, зарегистрированное на территории государства - члена ЕАЭС, за исключением Российской Федерации, или физическое лицо - гражданин государства - члена ЕАЭС, за исключением Российской Федерации, предоставил обеспечение заявки в виде денежных средств на счет заказчика);</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информация и документы, предусмотренные подпунктами "а" - "л" настоящего документа, не включаются участником закупки в заявку на участие в закупке. Такие информация и документы в случаях, предусмотренных Законом о контрактной системе,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Закона о контрактной системе, и предусмотренные подпунктом "н" пункта 1 части 1 настоящего документа, не включаются участником закупки в заявку на участие в закупке. Такие информация и документы в случаях, предусмотренных Законом о контрактной системе,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pPr>
        <w:spacing w:before="141"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b w:val="on"/>
        </w:rPr>
        <w:t>2) предложение участника закупки в отношении объекта закупки:</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i w:val="on"/>
        </w:rPr>
        <w:t xml:space="preserve">а) характеристики предлагаемого участником закупки товара, соответствующие показателям, </w:t>
      </w:r>
      <w:r>
        <w:rPr>
          <w:sz w:val="24"/>
          <w:rFonts w:ascii="Times New Roman" w:hAnsi="Times New Roman" w:cs="Times New Roman" w:eastAsia="Times New Roman"/>
          <w:u w:val="none"/>
          <w:b w:val="on"/>
          <w:i w:val="on"/>
        </w:rPr>
        <w:t>установленным в</w:t>
      </w:r>
      <w:r>
        <w:rPr>
          <w:sz w:val="24"/>
          <w:rFonts w:ascii="Times New Roman" w:hAnsi="Times New Roman" w:cs="Times New Roman" w:eastAsia="Times New Roman"/>
          <w:u w:val="none"/>
          <w:i w:val="on"/>
        </w:rPr>
        <w:t xml:space="preserve"> </w:t>
      </w:r>
      <w:r>
        <w:rPr>
          <w:sz w:val="24"/>
          <w:rFonts w:ascii="Times New Roman" w:hAnsi="Times New Roman" w:cs="Times New Roman" w:eastAsia="Times New Roman"/>
          <w:u w:val="none"/>
          <w:b w:val="on"/>
          <w:i w:val="on"/>
        </w:rPr>
        <w:t>Извещении о проведении закупки</w:t>
      </w:r>
      <w:r>
        <w:rPr>
          <w:sz w:val="24"/>
          <w:rFonts w:ascii="Times New Roman" w:hAnsi="Times New Roman" w:cs="Times New Roman" w:eastAsia="Times New Roman"/>
          <w:u w:val="none"/>
          <w:i w:val="on"/>
        </w:rPr>
        <w:t>, товарный знак (при наличии у товара товарного знака);</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i w:val="on"/>
        </w:rPr>
        <w:t>б) наименование страны происхождения товара в соответствии с общероссийским классификатором, используемым для идентификации стран мира.</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i w:val="on"/>
        </w:rPr>
        <w:t>Информация о товаре, предусмотренная подпунктами «а» и «б»,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i w:val="on"/>
        </w:rPr>
        <w:t>Информация, предусмотренная подпунктами «а»,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i w:val="on"/>
        </w:rPr>
        <w:t>Информация, предусмотренная подпунктами "а" не включается в заявку на участие в закупке в случае включения заказчиком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xml:space="preserve">в) документы, подтверждающие соответствие товара, работы или услуги требованиям, установленным в соответствии с законодательством Российской Федерации.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 </w:t>
      </w:r>
      <w:r>
        <w:rPr>
          <w:sz w:val="24"/>
          <w:rFonts w:ascii="Times New Roman" w:hAnsi="Times New Roman" w:cs="Times New Roman" w:eastAsia="Times New Roman"/>
          <w:u w:val="none"/>
          <w:b w:val="on"/>
        </w:rPr>
        <w:t>не требуется</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г)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pPr>
        <w:spacing w:before="141"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i w:val="on"/>
        </w:rPr>
        <w:t>3) предложение участника закупки о цене контракта;</w:t>
      </w:r>
      <w:r>
        <w:rPr>
          <w:sz w:val="24"/>
          <w:rFonts w:ascii="Times New Roman" w:hAnsi="Times New Roman" w:cs="Times New Roman" w:eastAsia="Times New Roman"/>
          <w:u w:val="none"/>
        </w:rPr>
        <w:t/>
      </w:r>
    </w:p>
    <w:p>
      <w:pPr>
        <w:spacing w:before="141"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i w:val="on"/>
        </w:rPr>
        <w:t>4) предложение участника закупки о сумме цен единиц товара, работы, услуги;</w:t>
      </w:r>
      <w:r>
        <w:rPr>
          <w:sz w:val="24"/>
          <w:rFonts w:ascii="Times New Roman" w:hAnsi="Times New Roman" w:cs="Times New Roman" w:eastAsia="Times New Roman"/>
          <w:u w:val="none"/>
        </w:rPr>
        <w:t/>
      </w:r>
    </w:p>
    <w:p>
      <w:pPr>
        <w:spacing w:before="141"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5) информация и документы, определенные в соответствии с пунктом 2 части 2 статьи 14 Закона о контрактной системе (в случае, если в извещении об осуществлении закупки, документации о закупке (если Законом о контрактной системе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r>
        <w:rPr>
          <w:sz w:val="24"/>
          <w:rFonts w:ascii="Times New Roman" w:hAnsi="Times New Roman" w:cs="Times New Roman" w:eastAsia="Times New Roman"/>
          <w:u w:val="none"/>
        </w:rPr>
        <w:t/>
      </w:r>
    </w:p>
    <w:p>
      <w:pPr>
        <w:spacing w:before="141"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b w:val="on"/>
        </w:rPr>
        <w:t>Требуется</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указание в заявке на участие в закупке наименования страны происхождения товара в соответствии с общероссийским классификатором, используемым для идентификации стран мира;</w:t>
      </w:r>
    </w:p>
    <w:p>
      <w:pPr>
        <w:spacing w:before="141"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b w:val="on"/>
        </w:rPr>
        <w:t>Дополнения к «Инструкции по заполнению характеристик в заявке»</w:t>
      </w:r>
      <w:r>
        <w:rPr>
          <w:sz w:val="24"/>
          <w:rFonts w:ascii="Times New Roman" w:hAnsi="Times New Roman" w:cs="Times New Roman" w:eastAsia="Times New Roman"/>
          <w:u w:val="none"/>
        </w:rPr>
        <w:t/>
      </w:r>
    </w:p>
    <w:p>
      <w:pPr>
        <w:spacing w:before="141"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Заявка на участие в закупке формируется участником закупки с использованием электронной площадки путем заполнения экранных форм ее веб-интерфейса в соответствии с п. 31 Дополнительных требований к операторам электронных площадок и функционированию электронных площадок, утвержденных постановлением Правительства РФ от 08.06.2018 №656.</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В случае, если Участник закупки в составе заявки дополнительно предоставил в виде отдельного файла сведения о товара, то при наличии противоречий между данными, содержащимися в заявке участника сформированной с использованием электронной площадки путем заполнения экранных форм ее веб-интерфейса и данными, содержащимися в приложенном файле, приоритет имеет информация, содержащаяся в заявке сформированной с использованием электронной площадки путем заполнения экранных форм ее веб-интерфейса.</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Кроме предусмотренных «Инструкцией по заполнению характеристик в заявке» (далее – Инструкция) требований, указанных в описании объекта закупки извещения о закупке, при формировании заявки участником закупки должны быть учтены следующие уточняющие положения:</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b w:val="on"/>
        </w:rPr>
        <w:t>Раздел I</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Инструкцией установлено «</w:t>
      </w:r>
      <w:r>
        <w:rPr>
          <w:sz w:val="24"/>
          <w:rFonts w:ascii="Times New Roman" w:hAnsi="Times New Roman" w:cs="Times New Roman" w:eastAsia="Times New Roman"/>
          <w:u w:val="none"/>
          <w:i w:val="on"/>
        </w:rPr>
        <w:t>Участник закупки указывает в заявке конкретное значение характеристики</w:t>
      </w:r>
      <w:r>
        <w:rPr>
          <w:sz w:val="24"/>
          <w:rFonts w:ascii="Times New Roman" w:hAnsi="Times New Roman" w:cs="Times New Roman" w:eastAsia="Times New Roman"/>
          <w:u w:val="none"/>
        </w:rPr>
        <w:t>».</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Если заказчиком в «Описании объекта закупки» при описании значения характеристики используются следующие знаки и слова, участником предоставляются значения, указанные ниже:</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«&gt;» - значение характеристики, превышающее указанное,</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 - значение равное или превышающее указанное;</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«&lt;» - значение характеристики менее указанного,</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 - значение равное или менее указанного;</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 и &lt;» - значение равное или превышающее левое значение и менее правого значения;</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«&gt; и ≤» - значение превышающее левое значение и равное или менее правого значения;</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«&gt; и &lt;» - значение превышающее левое значение и менее правого значения;</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 и ≤» - значение равное или превышающее левое значение и равное или менее правого значения.</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«не менее», «не ниже» - значение равное или превышающее указанное;</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«не более», «не выше» - значение равное или менее указанного;</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«менее», «ниже» - значение меньше указанного;</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«более», «выше», «свыше» - значение, превышающее указанное;</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«не менее и не более», «не менее, не более», «не менее не более», «не менее; не более», «не менее/не более» - конкретное значение в рамках значений верхней и нижней границы;</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«до» - значение меньше указанного, за исключением случаев, когда указанное значение сопровождается словом «включительно»;</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«от» - указанное значение или превышающее его;</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«более либо равно» - значение равное или превышающее указанное;</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Если характеристика указана с использованием нескольких значений, требование знака применяются к каждому значению следующим после знака, до нового знака, описывающего значение характеристики (например: ≥ 5*10 – знак применяется к значению 5 и к значению 10).</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b w:val="on"/>
        </w:rPr>
        <w:t>Раздел II</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Инструкцией установлено «</w:t>
      </w:r>
      <w:r>
        <w:rPr>
          <w:sz w:val="24"/>
          <w:rFonts w:ascii="Times New Roman" w:hAnsi="Times New Roman" w:cs="Times New Roman" w:eastAsia="Times New Roman"/>
          <w:u w:val="none"/>
          <w:i w:val="on"/>
        </w:rPr>
        <w:t>Участник закупки указывает в заявке диапазон значений характеристики</w:t>
      </w:r>
      <w:r>
        <w:rPr>
          <w:sz w:val="24"/>
          <w:rFonts w:ascii="Times New Roman" w:hAnsi="Times New Roman" w:cs="Times New Roman" w:eastAsia="Times New Roman"/>
          <w:u w:val="none"/>
        </w:rPr>
        <w:t>»,</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Если заказчиком в «Описании объекта закупки» при описании значения характеристики используются следующие знаки, участником предоставляются значения, указанные ниже:</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 - участником представляется значение менее или равное установленному;</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 - участником представляется значение более или равное установленному;</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&lt; - участником представляется значение менее установленному;</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 &gt; - участником представляется значение более установленному.</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В случае, если требование к значению характеристики установлено одновременно с применением нескольких слов/знаков из данного раздела, в том числе с использованием союза «и» (например: ≥Х &lt;Y, &gt;Х и ≤ Y и т.д.) и от участника в соответствии с положениями инструкции требуется предоставить диапазон значений характеристики, участник в заявке указывает значение диапазона соответствующее установленным требованиям.</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При указании участником диапазонных значений характеристики могут быть использованы слова и знаки, если это допускается функционалом торговой площадки.</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b w:val="on"/>
        </w:rPr>
        <w:t>Раздел III</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Инструкцией установлено «</w:t>
      </w:r>
      <w:r>
        <w:rPr>
          <w:sz w:val="24"/>
          <w:rFonts w:ascii="Times New Roman" w:hAnsi="Times New Roman" w:cs="Times New Roman" w:eastAsia="Times New Roman"/>
          <w:u w:val="none"/>
          <w:i w:val="on"/>
        </w:rPr>
        <w:t>Участник закупки указывает в заявке только одно значение характеристики</w:t>
      </w:r>
      <w:r>
        <w:rPr>
          <w:sz w:val="24"/>
          <w:rFonts w:ascii="Times New Roman" w:hAnsi="Times New Roman" w:cs="Times New Roman" w:eastAsia="Times New Roman"/>
          <w:u w:val="none"/>
        </w:rPr>
        <w:t>».</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Если заказчик в «Описании объекта закупки» при описании значения характеристики использует перечисления значений характеристики с использованием союзов «или», «либо» - участники выбирают одно из значений.</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b w:val="on"/>
        </w:rPr>
        <w:t>Раздел IV</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Инструкцией установлено «</w:t>
      </w:r>
      <w:r>
        <w:rPr>
          <w:sz w:val="24"/>
          <w:rFonts w:ascii="Times New Roman" w:hAnsi="Times New Roman" w:cs="Times New Roman" w:eastAsia="Times New Roman"/>
          <w:u w:val="none"/>
          <w:i w:val="on"/>
        </w:rPr>
        <w:t>Участник закупки указывает в заявке одно или несколько значений характеристики</w:t>
      </w:r>
      <w:r>
        <w:rPr>
          <w:sz w:val="24"/>
          <w:rFonts w:ascii="Times New Roman" w:hAnsi="Times New Roman" w:cs="Times New Roman" w:eastAsia="Times New Roman"/>
          <w:u w:val="none"/>
        </w:rPr>
        <w:t>».</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Если заказчик в «Описании объекта закупки» при описании значения характеристики использует перечисления с союзами «и (или)» - участник предлагает одно или несколько значений (на свой выбор).</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При одновременном использовании знаков «,» и союзов «или», «либо» участник указывает все значения до союза «или», «либо» или значение, указанное после союза «или», «либо» (например: 1, 2, 3 или 4; участник предлагает: вариант1 – 1, 2, 3; вариант 2 – 4).</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b w:val="on"/>
        </w:rPr>
        <w:t>Раздел V</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Инструкцией установлено «</w:t>
      </w:r>
      <w:r>
        <w:rPr>
          <w:sz w:val="24"/>
          <w:rFonts w:ascii="Times New Roman" w:hAnsi="Times New Roman" w:cs="Times New Roman" w:eastAsia="Times New Roman"/>
          <w:u w:val="none"/>
          <w:i w:val="on"/>
        </w:rPr>
        <w:t>Участник закупки указывает в заявке все значения характеристики</w:t>
      </w:r>
      <w:r>
        <w:rPr>
          <w:sz w:val="24"/>
          <w:rFonts w:ascii="Times New Roman" w:hAnsi="Times New Roman" w:cs="Times New Roman" w:eastAsia="Times New Roman"/>
          <w:u w:val="none"/>
        </w:rPr>
        <w:t>»</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Если заказчик в «Описании объекта закупки» при описании значения характеристики использует перечисления через знаки «,», «;», «/», союз «и» участник закупки указывает в заявке все перечисленные значения.</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b w:val="on"/>
        </w:rPr>
        <w:t>Раздел VI</w:t>
      </w:r>
      <w:r>
        <w:rPr>
          <w:sz w:val="24"/>
          <w:rFonts w:ascii="Times New Roman" w:hAnsi="Times New Roman" w:cs="Times New Roman" w:eastAsia="Times New Roman"/>
          <w:u w:val="none"/>
        </w:rPr>
        <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В случае установления Инструкцией «</w:t>
      </w:r>
      <w:r>
        <w:rPr>
          <w:sz w:val="24"/>
          <w:rFonts w:ascii="Times New Roman" w:hAnsi="Times New Roman" w:cs="Times New Roman" w:eastAsia="Times New Roman"/>
          <w:u w:val="none"/>
          <w:i w:val="on"/>
        </w:rPr>
        <w:t>Значения характеристики не может изменяться участником</w:t>
      </w:r>
      <w:r>
        <w:rPr>
          <w:sz w:val="24"/>
          <w:rFonts w:ascii="Times New Roman" w:hAnsi="Times New Roman" w:cs="Times New Roman" w:eastAsia="Times New Roman"/>
          <w:u w:val="none"/>
        </w:rPr>
        <w:t>» .Участник закупки указывает в заявке значение характеристики в неизменном виде, независимо от значения слов и знаков, используемых в заказчиком в «описании объекта закупки».</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Значения показателей не должны допускать разночтения или двусмысленное толкование и содержать в т.ч. следующие слова (с учетом всех форм слов): «не более», «не менее», «не выше», «не ниже», «менее», «более», «должен», «должен быть», «превышает», «не превышает», «от», «до», «или», знаки: «&gt;», «≥», «≤», «&lt;», «±» и иные слова/знаки (за исключением случаев, установленных Инструкцией, при которых указанные слова/знаки являются частью неизменного показателя), то есть должны быть конкретными.</w:t>
      </w:r>
    </w:p>
    <w:p>
      <w:pPr>
        <w:spacing w:before="0" w:after="0" w:lineRule="auto" w:line="276"/>
        <w:ind w:right="0" w:left="0" w:firstLine="538"/>
        <w:jc w:val="both"/>
      </w:pPr>
      <w:r>
        <w:rPr/>
      </w:r>
      <w:r>
        <w:rPr>
          <w:u w:val="none"/>
          <w:sz w:val="24"/>
          <w:rFonts w:ascii="Times New Roman" w:hAnsi="Times New Roman" w:cs="Times New Roman" w:eastAsia="Times New Roman"/>
          <w:b w:val="off"/>
          <w:i w:val="off"/>
          <w:strike w:val="off"/>
        </w:rPr>
      </w:r>
      <w:r>
        <w:rPr>
          <w:sz w:val="24"/>
          <w:rFonts w:ascii="Times New Roman" w:hAnsi="Times New Roman" w:cs="Times New Roman" w:eastAsia="Times New Roman"/>
          <w:u w:val="none"/>
        </w:rPr>
        <w:t/>
      </w:r>
      <w:r>
        <w:rPr>
          <w:sz w:val="24"/>
          <w:rFonts w:ascii="Times New Roman" w:hAnsi="Times New Roman" w:cs="Times New Roman" w:eastAsia="Times New Roman"/>
          <w:u w:val="none"/>
        </w:rPr>
        <w:t>Несоблюдение указанных требований является основанием для принятия комиссией решения о признании заявки участника не соответствующей требованиям, установленным настоящим извещением.</w:t>
      </w:r>
    </w:p>
    <w:sectPr>
      <w:pgSz w:orient="portrait" w:w="11900" w:h="16840"/>
      <w:pgMar w:left="1700" w:right="850" w:top="1133" w:bottom="1133"/>
    </w:sectPr>
  </w:body>
</w:document>
</file>

<file path=word/settings.xml><?xml version="1.0" encoding="utf-8"?>
<w:settings xmlns:w="http://schemas.openxmlformats.org/wordprocessingml/2006/main"/>
</file>

<file path=word/styles.xml><?xml version="1.0" encoding="utf-8"?>
<w:styles xmlns:w="http://schemas.openxmlformats.org/wordprocessingml/2006/main">
  <w:style w:styleId="Metadata">
    <w:name w:val="Версия сервера генератора печатных документов: 14.77 Версия клиента генератора печатных документов: 14.0.34 Текущий пользователь: zakharovaak_dbb71ef943fb4ece98652ed7808712f3 Данные о генерации: DataSourceProvider: ru.krista.retools.reporting.print.doc.editor.RetoolsDataSourceProvider TemplateStorage: ru.krista.retools.reporting.print.doc.editor.TemplateInfoBasedStorage GenerationCache: ru.krista.print.doc.editor.generation.InMemoryGenerationCache FunctionProviders:  * ru.krista.print.doc.editor.evaluator.InMemoryFunctionProvider * ru.krista.retools.reporting.print.doc.editor.RetoolsFunctionProvider * ru.krista.xsltreporting.printdoc.XsltReportingFunctionProvider * ru.krista.rcs.print.doc.editor.functions.RcsFunctionProvider "/>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2026-09-03T05:22:29Z</dcterms:created>
  <dc:creator>Apache POI</dc:creator>
</cp:coreProperties>
</file>