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ЗАЯВКА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tbl>
      <w:tblPr>
        <w:tblW w:w="10490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693"/>
        <w:gridCol w:w="6946"/>
      </w:tblGrid>
      <w:tr>
        <w:tblPrEx/>
        <w:trPr>
          <w:trHeight w:val="131"/>
        </w:trPr>
        <w:tc>
          <w:tcPr>
            <w:tcW w:w="851" w:type="dxa"/>
            <w:textDirection w:val="lrTb"/>
            <w:noWrap w:val="false"/>
          </w:tcPr>
          <w:p>
            <w:pPr>
              <w:jc w:val="center"/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textDirection w:val="lrTb"/>
            <w:noWrap w:val="false"/>
          </w:tcPr>
          <w:p>
            <w:pPr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Заказчик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946" w:type="dxa"/>
            <w:textDirection w:val="lrTb"/>
            <w:noWrap w:val="false"/>
          </w:tcPr>
          <w:p>
            <w:pPr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ООО "Газпром газораспределение Нижний Новгород"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851" w:type="dxa"/>
            <w:textDirection w:val="lrTb"/>
            <w:noWrap w:val="false"/>
          </w:tcPr>
          <w:p>
            <w:pPr>
              <w:jc w:val="center"/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textDirection w:val="lrTb"/>
            <w:noWrap w:val="false"/>
          </w:tcPr>
          <w:p>
            <w:pPr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Наименование товара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946" w:type="dxa"/>
            <w:textDirection w:val="lrTb"/>
            <w:noWrap w:val="false"/>
          </w:tcPr>
          <w:p>
            <w:pPr>
              <w:jc w:val="both"/>
              <w:spacing w:line="1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Поставка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комплекта газоанализатора VARIOTEC 480 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spacing w:line="1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код ОКПД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26.51.53.110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289"/>
        </w:trPr>
        <w:tc>
          <w:tcPr>
            <w:shd w:val="clear" w:color="ffffff" w:fill="ffffff"/>
            <w:tcW w:w="851" w:type="dxa"/>
            <w:textDirection w:val="lrTb"/>
            <w:noWrap w:val="false"/>
          </w:tcPr>
          <w:p>
            <w:pPr>
              <w:jc w:val="center"/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W w:w="2693" w:type="dxa"/>
            <w:textDirection w:val="lrTb"/>
            <w:noWrap w:val="false"/>
          </w:tcPr>
          <w:p>
            <w:pPr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Единица измерения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W w:w="6946" w:type="dxa"/>
            <w:textDirection w:val="lrTb"/>
            <w:noWrap w:val="false"/>
          </w:tcPr>
          <w:p>
            <w:pPr>
              <w:contextualSpacing/>
              <w:jc w:val="both"/>
              <w:spacing w:after="0" w:line="56" w:lineRule="atLeast"/>
              <w:widowControl w:val="off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комплект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76"/>
        </w:trPr>
        <w:tc>
          <w:tcPr>
            <w:shd w:val="clear" w:color="ffffff" w:fill="ffffff"/>
            <w:tcW w:w="851" w:type="dxa"/>
            <w:textDirection w:val="lrTb"/>
            <w:noWrap w:val="false"/>
          </w:tcPr>
          <w:p>
            <w:pPr>
              <w:jc w:val="center"/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W w:w="2693" w:type="dxa"/>
            <w:textDirection w:val="lrTb"/>
            <w:noWrap w:val="false"/>
          </w:tcPr>
          <w:p>
            <w:pPr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Количество товара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W w:w="6946" w:type="dxa"/>
            <w:textDirection w:val="lrTb"/>
            <w:noWrap w:val="false"/>
          </w:tcPr>
          <w:p>
            <w:pPr>
              <w:contextualSpacing/>
              <w:jc w:val="both"/>
              <w:spacing w:after="0" w:line="56" w:lineRule="atLeast"/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шт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418"/>
        </w:trPr>
        <w:tc>
          <w:tcPr>
            <w:shd w:val="clear" w:color="ffffff" w:fill="ffffff"/>
            <w:tcW w:w="851" w:type="dxa"/>
            <w:textDirection w:val="lrTb"/>
            <w:noWrap w:val="false"/>
          </w:tcPr>
          <w:p>
            <w:pPr>
              <w:jc w:val="center"/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W w:w="2693" w:type="dxa"/>
            <w:textDirection w:val="lrTb"/>
            <w:noWrap w:val="false"/>
          </w:tcPr>
          <w:p>
            <w:pPr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Минимальная норма отгрузки товара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W w:w="6946" w:type="dxa"/>
            <w:textDirection w:val="lrTb"/>
            <w:noWrap w:val="false"/>
          </w:tcPr>
          <w:p>
            <w:pPr>
              <w:contextualSpacing/>
              <w:jc w:val="both"/>
              <w:spacing w:after="0" w:line="56" w:lineRule="atLeast"/>
              <w:widowControl w:val="off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Не установлено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367"/>
        </w:trPr>
        <w:tc>
          <w:tcPr>
            <w:tcW w:w="851" w:type="dxa"/>
            <w:textDirection w:val="lrTb"/>
            <w:noWrap w:val="false"/>
          </w:tcPr>
          <w:p>
            <w:pPr>
              <w:jc w:val="center"/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6.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textDirection w:val="lrTb"/>
            <w:noWrap w:val="false"/>
          </w:tcPr>
          <w:p>
            <w:pPr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Стоимость товара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946" w:type="dxa"/>
            <w:textDirection w:val="lrTb"/>
            <w:noWrap w:val="false"/>
          </w:tcPr>
          <w:p>
            <w:pPr>
              <w:contextualSpacing/>
              <w:jc w:val="both"/>
              <w:spacing w:after="0" w:line="56" w:lineRule="atLeast"/>
              <w:widowControl w:val="off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 соответствии со Спецификацией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76"/>
        </w:trPr>
        <w:tc>
          <w:tcPr>
            <w:shd w:val="clear" w:color="ffffff" w:fill="ffffff"/>
            <w:tcW w:w="851" w:type="dxa"/>
            <w:textDirection w:val="lrTb"/>
            <w:noWrap w:val="false"/>
          </w:tcPr>
          <w:p>
            <w:pPr>
              <w:jc w:val="center"/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7.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W w:w="2693" w:type="dxa"/>
            <w:textDirection w:val="lrTb"/>
            <w:noWrap w:val="false"/>
          </w:tcPr>
          <w:p>
            <w:pPr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Место (адрес) и условия доставки и монтажа товара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W w:w="6946" w:type="dxa"/>
            <w:vAlign w:val="center"/>
            <w:textDirection w:val="lrTb"/>
            <w:noWrap w:val="false"/>
          </w:tcPr>
          <w:p>
            <w:pPr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Нижегородская область: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г. Богородск, ул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еханизаторов 20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г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ижний Новгород ул. Аксакова 38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87"/>
        </w:trPr>
        <w:tc>
          <w:tcPr>
            <w:shd w:val="clear" w:color="ffffff" w:fill="ffffff"/>
            <w:tcW w:w="851" w:type="dxa"/>
            <w:textDirection w:val="lrTb"/>
            <w:noWrap w:val="false"/>
          </w:tcPr>
          <w:p>
            <w:pPr>
              <w:jc w:val="center"/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8.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W w:w="2693" w:type="dxa"/>
            <w:textDirection w:val="lrTb"/>
            <w:noWrap w:val="false"/>
          </w:tcPr>
          <w:p>
            <w:pPr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Условия и порядок оплаты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W w:w="6946" w:type="dxa"/>
            <w:vAlign w:val="center"/>
            <w:textDirection w:val="lrTb"/>
            <w:noWrap w:val="false"/>
          </w:tcPr>
          <w:p>
            <w:pPr>
              <w:jc w:val="both"/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Оплата Товара производится в течение: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- 7(семи) рабочих дней с момента поставки и установи товара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276"/>
        </w:trPr>
        <w:tc>
          <w:tcPr>
            <w:shd w:val="clear" w:color="ffffff" w:fill="ffffff"/>
            <w:tcW w:w="851" w:type="dxa"/>
            <w:textDirection w:val="lrTb"/>
            <w:noWrap w:val="false"/>
          </w:tcPr>
          <w:p>
            <w:pPr>
              <w:jc w:val="center"/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9.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W w:w="2693" w:type="dxa"/>
            <w:textDirection w:val="lrTb"/>
            <w:noWrap w:val="false"/>
          </w:tcPr>
          <w:p>
            <w:pPr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Особые условия, комментарии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W w:w="6946" w:type="dxa"/>
            <w:vAlign w:val="center"/>
            <w:textDirection w:val="lrTb"/>
            <w:noWrap w:val="false"/>
          </w:tcPr>
          <w:p>
            <w:pPr>
              <w:spacing w:after="0" w:line="56" w:lineRule="atLeas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Заказчик вправе не рассматривать предложение участника, не приложившего Уведомление об участии (Приложение 2).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spacing w:after="0" w:line="56" w:lineRule="atLeas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76"/>
        </w:trPr>
        <w:tc>
          <w:tcPr>
            <w:shd w:val="clear" w:color="ffffff" w:fill="ffffff"/>
            <w:tcW w:w="851" w:type="dxa"/>
            <w:textDirection w:val="lrTb"/>
            <w:noWrap w:val="false"/>
          </w:tcPr>
          <w:p>
            <w:pPr>
              <w:jc w:val="center"/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10.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W w:w="2693" w:type="dxa"/>
            <w:textDirection w:val="lrTb"/>
            <w:noWrap w:val="false"/>
          </w:tcPr>
          <w:p>
            <w:pPr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ar-SA"/>
              </w:rPr>
              <w:t xml:space="preserve">Срок поставки товара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W w:w="6946" w:type="dxa"/>
            <w:vAlign w:val="center"/>
            <w:textDirection w:val="lrTb"/>
            <w:noWrap w:val="false"/>
          </w:tcPr>
          <w:p>
            <w:pPr>
              <w:pStyle w:val="845"/>
              <w:ind w:left="0"/>
              <w:tabs>
                <w:tab w:val="left" w:pos="459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рабочих дней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 даты получения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Поставщиком письменной заявки от Покупателя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45"/>
              <w:tabs>
                <w:tab w:val="left" w:pos="459" w:leader="none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679"/>
        </w:trPr>
        <w:tc>
          <w:tcPr>
            <w:shd w:val="clear" w:color="ffffff" w:fill="ffffff"/>
            <w:tcW w:w="851" w:type="dxa"/>
            <w:textDirection w:val="lrTb"/>
            <w:noWrap w:val="false"/>
          </w:tcPr>
          <w:p>
            <w:pPr>
              <w:jc w:val="center"/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11.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W w:w="2693" w:type="dxa"/>
            <w:textDirection w:val="lrTb"/>
            <w:noWrap w:val="false"/>
          </w:tcPr>
          <w:p>
            <w:pPr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Срок приема уведомлений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W w:w="6946" w:type="dxa"/>
            <w:vAlign w:val="center"/>
            <w:textDirection w:val="lrTb"/>
            <w:noWrap w:val="false"/>
          </w:tcPr>
          <w:p>
            <w:pPr>
              <w:spacing w:after="0" w:line="56" w:lineRule="atLeas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Три рабочих дня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с даты размещения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Заявки на Торговом портале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76"/>
        </w:trPr>
        <w:tc>
          <w:tcPr>
            <w:shd w:val="clear" w:color="ffffff" w:fill="ffffff"/>
            <w:tcW w:w="851" w:type="dxa"/>
            <w:textDirection w:val="lrTb"/>
            <w:noWrap w:val="false"/>
          </w:tcPr>
          <w:p>
            <w:pPr>
              <w:jc w:val="center"/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12.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W w:w="2693" w:type="dxa"/>
            <w:textDirection w:val="lrTb"/>
            <w:noWrap w:val="false"/>
          </w:tcPr>
          <w:p>
            <w:pPr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Приоритетные для Заказчика позиции и отдельные требования к условиям поставки товара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W w:w="6946" w:type="dxa"/>
            <w:vAlign w:val="center"/>
            <w:textDirection w:val="lrTb"/>
            <w:noWrap w:val="false"/>
          </w:tcPr>
          <w:p>
            <w:pPr>
              <w:jc w:val="both"/>
              <w:spacing w:after="0" w:line="56" w:lineRule="atLeas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Установлен приоритет для всех позиций ценового заказа.  Заказчик вправе не рассматривать ценовое предложение, в котором отсутствует хотя бы одна из приоритетных позиций.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spacing w:after="0" w:line="56" w:lineRule="atLeas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spacing w:after="0" w:line="56" w:lineRule="atLeas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76"/>
        </w:trPr>
        <w:tc>
          <w:tcPr>
            <w:shd w:val="clear" w:color="ffffff" w:fill="ffffff"/>
            <w:tcW w:w="851" w:type="dxa"/>
            <w:textDirection w:val="lrTb"/>
            <w:noWrap w:val="false"/>
          </w:tcPr>
          <w:p>
            <w:pPr>
              <w:jc w:val="center"/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13.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W w:w="2693" w:type="dxa"/>
            <w:textDirection w:val="lrTb"/>
            <w:noWrap w:val="false"/>
          </w:tcPr>
          <w:p>
            <w:pPr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Запрос о стоимости одной или более интересующих Заказчика  позиций идентичного товара или при их отсутствии однородных товаров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W w:w="6946" w:type="dxa"/>
            <w:vAlign w:val="center"/>
            <w:textDirection w:val="lrTb"/>
            <w:noWrap w:val="false"/>
          </w:tcPr>
          <w:p>
            <w:pPr>
              <w:spacing w:after="0" w:line="56" w:lineRule="atLeas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Не установлено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76"/>
        </w:trPr>
        <w:tc>
          <w:tcPr>
            <w:shd w:val="clear" w:color="ffffff" w:fill="ffffff"/>
            <w:tcW w:w="851" w:type="dxa"/>
            <w:textDirection w:val="lrTb"/>
            <w:noWrap w:val="false"/>
          </w:tcPr>
          <w:p>
            <w:pPr>
              <w:jc w:val="center"/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14.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W w:w="2693" w:type="dxa"/>
            <w:textDirection w:val="lrTb"/>
            <w:noWrap w:val="false"/>
          </w:tcPr>
          <w:p>
            <w:pPr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Требования к участникам закупки и критерии оценки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W w:w="6946" w:type="dxa"/>
            <w:vAlign w:val="center"/>
            <w:textDirection w:val="lrTb"/>
            <w:noWrap w:val="false"/>
          </w:tcPr>
          <w:p>
            <w:pPr>
              <w:pStyle w:val="846"/>
              <w:keepLines/>
              <w:keepNext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ar-SA"/>
              </w:rPr>
              <w:t xml:space="preserve">Участниками могут быть только субъекты ма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ar-SA"/>
              </w:rPr>
              <w:t xml:space="preserve">лого и среднего предпринимательства в соответствии с ПП РФ №1352, а также физические лица, не являющиеся индивидуальными предпринимателями и применяющие специальный налоговый режим "Налог на профессиональный доход". Подтверждением статуса является наличие: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  <w:p>
            <w:pPr>
              <w:jc w:val="both"/>
              <w:keepLines/>
              <w:keepNext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ar-SA"/>
              </w:rPr>
              <w:t xml:space="preserve">- для СМСП - информации о таком лице в едином </w:t>
            </w:r>
            <w:hyperlink r:id="rId9" w:tooltip="consultantplus://offline/ref=D3F7D91CD81949DB3E8E8F2BAB2C01C61E45399AB50A7206932B4CE6A817160CD226DB185FAD9FC98869F2B3BA818B625C4C1AC6GB29G" w:history="1">
              <w:r>
                <w:rPr>
                  <w:rFonts w:ascii="Times New Roman" w:hAnsi="Times New Roman" w:eastAsia="Times New Roman" w:cs="Times New Roman"/>
                  <w:bCs/>
                  <w:sz w:val="24"/>
                  <w:szCs w:val="24"/>
                  <w:lang w:eastAsia="ar-SA"/>
                </w:rPr>
                <w:t xml:space="preserve">реестре</w:t>
              </w:r>
            </w:hyperlink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ar-SA"/>
              </w:rPr>
              <w:t xml:space="preserve"> субъектов малого и среднего предпринимательства;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  <w:p>
            <w:pPr>
              <w:jc w:val="both"/>
              <w:keepLines/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ar-SA"/>
              </w:rPr>
              <w:t xml:space="preserve">- для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ar-SA"/>
              </w:rPr>
              <w:t xml:space="preserve">самозанятого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ar-SA"/>
              </w:rPr>
              <w:t xml:space="preserve"> - информации на официальном сайте ФНС России о применении им налогового режима "Налог на профессиональный доход".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Участник предоставляет Уведомление об участии в ценовом запросе по форме (Приложение №2),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keepLines/>
              <w:keepNext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56"/>
        </w:trPr>
        <w:tc>
          <w:tcPr>
            <w:tcW w:w="851" w:type="dxa"/>
            <w:textDirection w:val="lrTb"/>
            <w:noWrap w:val="false"/>
          </w:tcPr>
          <w:p>
            <w:pPr>
              <w:jc w:val="center"/>
              <w:spacing w:after="0" w:line="5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15.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textDirection w:val="lrTb"/>
            <w:noWrap w:val="false"/>
          </w:tcPr>
          <w:p>
            <w:pPr>
              <w:spacing w:after="0" w:line="56" w:lineRule="atLeas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ar-SA"/>
              </w:rPr>
              <w:t xml:space="preserve">Приложение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W w:w="6946" w:type="dxa"/>
            <w:textDirection w:val="lrTb"/>
            <w:noWrap w:val="false"/>
          </w:tcPr>
          <w:p>
            <w:pPr>
              <w:ind w:right="10"/>
              <w:jc w:val="both"/>
              <w:spacing w:after="0" w:line="56" w:lineRule="atLeast"/>
              <w:shd w:val="clear" w:color="auto" w:fill="feffff"/>
              <w:widowControl w:val="off"/>
              <w:rPr>
                <w:rFonts w:ascii="Times New Roman" w:hAnsi="Times New Roman" w:eastAsia="Times New Roman" w:cs="Times New Roman"/>
                <w:color w:val="000000" w:themeColor="text1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bidi="he-IL"/>
              </w:rPr>
              <w:t xml:space="preserve">1. Спецификация,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bidi="he-IL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highlight w:val="none"/>
              </w:rPr>
            </w:r>
          </w:p>
          <w:p>
            <w:pPr>
              <w:ind w:right="10"/>
              <w:jc w:val="both"/>
              <w:spacing w:after="0" w:line="56" w:lineRule="atLeast"/>
              <w:shd w:val="clear" w:color="auto" w:fill="feffff"/>
              <w:widowControl w:val="off"/>
              <w:rPr>
                <w:rFonts w:ascii="Times New Roman" w:hAnsi="Times New Roman" w:eastAsia="Times New Roman" w:cs="Times New Roman"/>
                <w:color w:val="000000" w:themeColor="text1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bidi="he-IL"/>
              </w:rPr>
              <w:t xml:space="preserve">2. Форма – Уведомление об участии в ценовом запросе,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bidi="he-IL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highlight w:val="none"/>
              </w:rPr>
            </w:r>
          </w:p>
          <w:p>
            <w:pPr>
              <w:ind w:right="10"/>
              <w:jc w:val="both"/>
              <w:spacing w:after="0" w:line="56" w:lineRule="atLeast"/>
              <w:shd w:val="clear" w:color="auto" w:fill="feffff"/>
              <w:widowControl w:val="off"/>
              <w:rPr>
                <w:rFonts w:ascii="Times New Roman" w:hAnsi="Times New Roman" w:eastAsia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highlight w:val="none"/>
                <w:lang w:bidi="he-IL"/>
              </w:rPr>
              <w:t xml:space="preserve">3. Проект договора.</w:t>
            </w:r>
            <w:r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color w:val="000000" w:themeColor="text1"/>
              </w:rPr>
            </w:r>
          </w:p>
        </w:tc>
      </w:tr>
    </w:tbl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pPr>
        <w:tabs>
          <w:tab w:val="left" w:pos="2471" w:leader="none"/>
        </w:tabs>
      </w:pPr>
      <w:r>
        <w:tab/>
      </w:r>
      <w:r/>
    </w:p>
    <w:p>
      <w:pPr>
        <w:jc w:val="center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СПЕЦИФИКАЦИЯ</w:t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tbl>
      <w:tblPr>
        <w:tblW w:w="10515" w:type="dxa"/>
        <w:tblInd w:w="-638" w:type="dxa"/>
        <w:tblLayout w:type="fixed"/>
        <w:tblLook w:val="04A0" w:firstRow="1" w:lastRow="0" w:firstColumn="1" w:lastColumn="0" w:noHBand="0" w:noVBand="1"/>
      </w:tblPr>
      <w:tblGrid>
        <w:gridCol w:w="389"/>
        <w:gridCol w:w="1541"/>
        <w:gridCol w:w="4109"/>
        <w:gridCol w:w="546"/>
        <w:gridCol w:w="1182"/>
        <w:gridCol w:w="1365"/>
        <w:gridCol w:w="1384"/>
      </w:tblGrid>
      <w:tr>
        <w:tblPrEx/>
        <w:trPr>
          <w:trHeight w:val="615"/>
        </w:trPr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4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№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1601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Наименование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426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Характеристики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567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Кол-во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1228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Ед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.и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зм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418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Цена за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ед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без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ндс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shd w:val="clear" w:color="ffffff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8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Допустимость эквивалента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  <w14:ligatures w14:val="none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color w:val="00000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  <w14:ligatures w14:val="none"/>
              </w:rPr>
            </w:r>
          </w:p>
        </w:tc>
      </w:tr>
      <w:tr>
        <w:tblPrEx/>
        <w:trPr>
          <w:trHeight w:val="315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04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1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01" w:type="dxa"/>
            <w:vMerge w:val="restart"/>
            <w:textDirection w:val="lrTb"/>
            <w:noWrap w:val="false"/>
          </w:tcPr>
          <w:p>
            <w:pPr>
              <w:jc w:val="both"/>
              <w:spacing w:line="17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комплект газоанализатора VARIOTEC 480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ex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268" w:type="dxa"/>
            <w:vMerge w:val="restart"/>
            <w:textDirection w:val="lrTb"/>
            <w:noWrap w:val="false"/>
          </w:tcPr>
          <w:tbl>
            <w:tblPr>
              <w:tblW w:w="4019" w:type="dxa"/>
              <w:tblLayout w:type="fixed"/>
              <w:tblLook w:val="04A0" w:firstRow="1" w:lastRow="0" w:firstColumn="1" w:lastColumn="0" w:noHBand="0" w:noVBand="1"/>
            </w:tblPr>
            <w:tblGrid>
              <w:gridCol w:w="4019"/>
            </w:tblGrid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4019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Размеры, 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мм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: 148 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х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 57 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х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 205; 148 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х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 57 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х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 253 (с ручкой)</w:t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4019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Масса, 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г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: Не более 1200</w:t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</w:p>
              </w:tc>
            </w:tr>
            <w:tr>
              <w:tblPrEx/>
              <w:trPr>
                <w:trHeight w:val="9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4019" w:type="dxa"/>
                  <w:vAlign w:val="bottom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Питание прибора от внутреннего источника тока тип АА (4 элемента): аккумуляторы 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NiMH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; (или щелочные) элементы</w:t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</w:p>
              </w:tc>
            </w:tr>
            <w:tr>
              <w:tblPrEx/>
              <w:trPr>
                <w:trHeight w:val="12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4019" w:type="dxa"/>
                  <w:vAlign w:val="bottom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Тип сенсоров (измерение группы CХHХ): (базовая комплектация подразумевает измерение СН4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 )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 термокаталитический; теплопроводности; полупроводниковый; электрохимический.</w:t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4019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Тип сенсоров (измерение группы О2 и 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СО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): электрохимический</w:t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4019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Меню пользователя имеет русскоязычное меню</w:t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4019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Встроенная память сохраненных данных 8 МБ</w:t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4019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Способ передачи данных на ПК Кабель USB</w:t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4019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Номинальное выходное напряжение зарядного устройства, В: 12</w:t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4019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Максимальный ток зарядки аккумулятора, А: 1</w:t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</w:p>
              </w:tc>
            </w:tr>
            <w:tr>
              <w:tblPrEx/>
              <w:trPr>
                <w:trHeight w:val="12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4019" w:type="dxa"/>
                  <w:vAlign w:val="bottom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Зуммер: частота, кГц: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br/>
                    <w:t xml:space="preserve">- звуковое давление на расстоянии 1м, 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Д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б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(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А):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br/>
                    <w:t xml:space="preserve">2,4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br/>
                    <w:t xml:space="preserve">80</w:t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</w:p>
              </w:tc>
            </w:tr>
            <w:tr>
              <w:tblPrEx/>
              <w:trPr>
                <w:trHeight w:val="9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4019" w:type="dxa"/>
                  <w:vAlign w:val="bottom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Объемный расход при разрежении &gt; 250 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мбар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 на входе побудителя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br/>
                    <w:t xml:space="preserve">расхода, 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л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/ч: 50 ± 20</w:t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4019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Максимальное давление на входе для газа, 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мбар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: 100</w:t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4019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Степень 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пыле-влагозащиты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 IP 54</w:t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</w:p>
              </w:tc>
            </w:tr>
            <w:tr>
              <w:tblPrEx/>
              <w:trPr>
                <w:trHeight w:val="6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4019" w:type="dxa"/>
                  <w:vAlign w:val="bottom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Диапазон температур окружающей среды в условиях эксплуатации, ºС: -20 ≤ 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ta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 ≤ +40</w:t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</w:p>
              </w:tc>
            </w:tr>
            <w:tr>
              <w:tblPrEx/>
              <w:trPr>
                <w:trHeight w:val="9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4019" w:type="dxa"/>
                  <w:vAlign w:val="bottom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Диапазон температур окружающей среды в условиях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br/>
                    <w:t xml:space="preserve">хранения, ºС: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br/>
                    <w:t xml:space="preserve">-20 ≤ 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ta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 ≤ +60</w:t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</w:p>
              </w:tc>
            </w:tr>
            <w:tr>
              <w:tblPrEx/>
              <w:trPr>
                <w:trHeight w:val="3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4019" w:type="dxa"/>
                  <w:vAlign w:val="bottom"/>
                  <w:textDirection w:val="lrTb"/>
                  <w:noWrap/>
                </w:tcPr>
                <w:p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Состав Комплекта</w:t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</w:p>
              </w:tc>
            </w:tr>
            <w:tr>
              <w:tblPrEx/>
              <w:trPr>
                <w:trHeight w:val="3600"/>
              </w:trPr>
              <w:tc>
                <w:tcPr>
                  <w:shd w:val="clear" w:color="auto" w:fill="auto"/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W w:w="4019" w:type="dxa"/>
                  <w:vAlign w:val="bottom"/>
                  <w:textDirection w:val="lrTb"/>
                  <w:noWrap w:val="false"/>
                </w:tcPr>
                <w:p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газоанализатор - 1 шт.  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br/>
                    <w:t xml:space="preserve">адаптер для зарядки- 1шт.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br/>
                    <w:t xml:space="preserve">кейс с отсеками для принадлежностей - 1шт.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br/>
                    <w:t xml:space="preserve">наплечные ремни для переноски прибора - 1шт.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br/>
                    <w:t xml:space="preserve">набор зондов (ручной, колокол, зонд для локализации) - 1компл. </w:t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</w:p>
                <w:p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набор фильтров (гидрофобный, пылевой, тонкой очистки) - 1компл.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br/>
                    <w:t xml:space="preserve">шланг для зонда с гидрофобным фильтром - 1шт.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br/>
                    <w:t xml:space="preserve">инструкция на русском языке - 1шт.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br/>
                    <w:t xml:space="preserve">методика поверки МП 242-2063-2016 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св-во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 о поверке в ЦСМ - 1шт. </w:t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</w:p>
                <w:p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паспорт на прибор с отметкой сервисного центра на территории РФ (о гарантии 12 мес. 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с даты поставки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lang w:eastAsia="ru-RU"/>
                    </w:rPr>
                    <w:t xml:space="preserve">) - 1шт.</w:t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</w:r>
                </w:p>
              </w:tc>
            </w:tr>
          </w:tbl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67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1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28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Комплект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418" w:type="dxa"/>
            <w:vMerge w:val="restart"/>
            <w:textDirection w:val="lrTb"/>
            <w:noWrap w:val="false"/>
          </w:tcPr>
          <w:p>
            <w:pPr>
              <w:jc w:val="right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1078606,56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8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нет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5450" w:type="pct"/>
        <w:tblInd w:w="-451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407"/>
        <w:gridCol w:w="1001"/>
        <w:gridCol w:w="1001"/>
        <w:gridCol w:w="1001"/>
        <w:gridCol w:w="1848"/>
      </w:tblGrid>
      <w:tr>
        <w:tblPrEx/>
        <w:trPr>
          <w:trHeight w:val="340"/>
        </w:trPr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tcW w:w="540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Итого суммарная стоимость ед. расценок</w:t>
            </w:r>
            <w:r>
              <w:rPr>
                <w:rFonts w:ascii="Times New Roman" w:hAnsi="Times New Roman" w:eastAsia="Times New Roman" w:cs="Times New Roman"/>
              </w:rPr>
              <w:t xml:space="preserve"> б</w:t>
            </w:r>
            <w:r>
              <w:rPr>
                <w:rFonts w:ascii="Times New Roman" w:hAnsi="Times New Roman" w:eastAsia="Times New Roman" w:cs="Times New Roman"/>
              </w:rPr>
              <w:t xml:space="preserve">ез НДС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001" w:type="dxa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001" w:type="dxa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001" w:type="dxa"/>
            <w:vAlign w:val="bottom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848" w:type="dxa"/>
            <w:vAlign w:val="bottom"/>
            <w:textDirection w:val="lrTb"/>
            <w:noWrap w:val="false"/>
          </w:tcPr>
          <w:p>
            <w:pPr>
              <w:jc w:val="right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1 078 606,56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tabs>
          <w:tab w:val="left" w:pos="2471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center"/>
      <w:pPr>
        <w:ind w:left="786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7" w:default="1">
    <w:name w:val="Normal"/>
    <w:qFormat/>
  </w:style>
  <w:style w:type="character" w:styleId="658" w:default="1">
    <w:name w:val="Default Paragraph Font"/>
    <w:uiPriority w:val="1"/>
    <w:semiHidden/>
    <w:unhideWhenUsed/>
  </w:style>
  <w:style w:type="table" w:styleId="659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60" w:default="1">
    <w:name w:val="No List"/>
    <w:uiPriority w:val="99"/>
    <w:semiHidden/>
    <w:unhideWhenUsed/>
  </w:style>
  <w:style w:type="character" w:styleId="661" w:customStyle="1">
    <w:name w:val="Title Char"/>
    <w:basedOn w:val="658"/>
    <w:link w:val="685"/>
    <w:uiPriority w:val="10"/>
    <w:rPr>
      <w:sz w:val="48"/>
      <w:szCs w:val="48"/>
    </w:rPr>
  </w:style>
  <w:style w:type="character" w:styleId="662" w:customStyle="1">
    <w:name w:val="Subtitle Char"/>
    <w:basedOn w:val="658"/>
    <w:link w:val="687"/>
    <w:uiPriority w:val="11"/>
    <w:rPr>
      <w:sz w:val="24"/>
      <w:szCs w:val="24"/>
    </w:rPr>
  </w:style>
  <w:style w:type="character" w:styleId="663" w:customStyle="1">
    <w:name w:val="Quote Char"/>
    <w:link w:val="689"/>
    <w:uiPriority w:val="29"/>
    <w:rPr>
      <w:i/>
    </w:rPr>
  </w:style>
  <w:style w:type="character" w:styleId="664" w:customStyle="1">
    <w:name w:val="Intense Quote Char"/>
    <w:link w:val="691"/>
    <w:uiPriority w:val="30"/>
    <w:rPr>
      <w:i/>
    </w:rPr>
  </w:style>
  <w:style w:type="character" w:styleId="665" w:customStyle="1">
    <w:name w:val="Footnote Text Char"/>
    <w:link w:val="826"/>
    <w:uiPriority w:val="99"/>
    <w:rPr>
      <w:sz w:val="18"/>
    </w:rPr>
  </w:style>
  <w:style w:type="character" w:styleId="666" w:customStyle="1">
    <w:name w:val="Endnote Text Char"/>
    <w:link w:val="829"/>
    <w:uiPriority w:val="99"/>
    <w:rPr>
      <w:sz w:val="20"/>
    </w:rPr>
  </w:style>
  <w:style w:type="paragraph" w:styleId="667" w:customStyle="1">
    <w:name w:val="Heading 1"/>
    <w:basedOn w:val="657"/>
    <w:next w:val="657"/>
    <w:link w:val="668"/>
    <w:uiPriority w:val="9"/>
    <w:qFormat/>
    <w:pPr>
      <w:keepLines/>
      <w:keepNext/>
      <w:spacing w:before="480"/>
      <w:outlineLvl w:val="0"/>
    </w:pPr>
    <w:rPr>
      <w:rFonts w:ascii="Arial" w:hAnsi="Arial" w:eastAsia="Arial" w:cs="Arial"/>
      <w:sz w:val="40"/>
      <w:szCs w:val="40"/>
    </w:rPr>
  </w:style>
  <w:style w:type="character" w:styleId="668" w:customStyle="1">
    <w:name w:val="Heading 1 Char"/>
    <w:link w:val="667"/>
    <w:uiPriority w:val="9"/>
    <w:rPr>
      <w:rFonts w:ascii="Arial" w:hAnsi="Arial" w:eastAsia="Arial" w:cs="Arial"/>
      <w:sz w:val="40"/>
      <w:szCs w:val="40"/>
    </w:rPr>
  </w:style>
  <w:style w:type="paragraph" w:styleId="669" w:customStyle="1">
    <w:name w:val="Heading 2"/>
    <w:basedOn w:val="657"/>
    <w:next w:val="657"/>
    <w:link w:val="670"/>
    <w:uiPriority w:val="9"/>
    <w:unhideWhenUsed/>
    <w:qFormat/>
    <w:pPr>
      <w:keepLines/>
      <w:keepNext/>
      <w:spacing w:before="360"/>
      <w:outlineLvl w:val="1"/>
    </w:pPr>
    <w:rPr>
      <w:rFonts w:ascii="Arial" w:hAnsi="Arial" w:eastAsia="Arial" w:cs="Arial"/>
      <w:sz w:val="34"/>
    </w:rPr>
  </w:style>
  <w:style w:type="character" w:styleId="670" w:customStyle="1">
    <w:name w:val="Heading 2 Char"/>
    <w:link w:val="669"/>
    <w:uiPriority w:val="9"/>
    <w:rPr>
      <w:rFonts w:ascii="Arial" w:hAnsi="Arial" w:eastAsia="Arial" w:cs="Arial"/>
      <w:sz w:val="34"/>
    </w:rPr>
  </w:style>
  <w:style w:type="paragraph" w:styleId="671" w:customStyle="1">
    <w:name w:val="Heading 3"/>
    <w:basedOn w:val="657"/>
    <w:next w:val="657"/>
    <w:link w:val="672"/>
    <w:uiPriority w:val="9"/>
    <w:unhideWhenUsed/>
    <w:qFormat/>
    <w:pPr>
      <w:keepLines/>
      <w:keepNext/>
      <w:spacing w:before="320"/>
      <w:outlineLvl w:val="2"/>
    </w:pPr>
    <w:rPr>
      <w:rFonts w:ascii="Arial" w:hAnsi="Arial" w:eastAsia="Arial" w:cs="Arial"/>
      <w:sz w:val="30"/>
      <w:szCs w:val="30"/>
    </w:rPr>
  </w:style>
  <w:style w:type="character" w:styleId="672" w:customStyle="1">
    <w:name w:val="Heading 3 Char"/>
    <w:link w:val="671"/>
    <w:uiPriority w:val="9"/>
    <w:rPr>
      <w:rFonts w:ascii="Arial" w:hAnsi="Arial" w:eastAsia="Arial" w:cs="Arial"/>
      <w:sz w:val="30"/>
      <w:szCs w:val="30"/>
    </w:rPr>
  </w:style>
  <w:style w:type="paragraph" w:styleId="673" w:customStyle="1">
    <w:name w:val="Heading 4"/>
    <w:basedOn w:val="657"/>
    <w:next w:val="657"/>
    <w:link w:val="674"/>
    <w:uiPriority w:val="9"/>
    <w:unhideWhenUsed/>
    <w:qFormat/>
    <w:pPr>
      <w:keepLines/>
      <w:keepNext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74" w:customStyle="1">
    <w:name w:val="Heading 4 Char"/>
    <w:link w:val="673"/>
    <w:uiPriority w:val="9"/>
    <w:rPr>
      <w:rFonts w:ascii="Arial" w:hAnsi="Arial" w:eastAsia="Arial" w:cs="Arial"/>
      <w:b/>
      <w:bCs/>
      <w:sz w:val="26"/>
      <w:szCs w:val="26"/>
    </w:rPr>
  </w:style>
  <w:style w:type="paragraph" w:styleId="675" w:customStyle="1">
    <w:name w:val="Heading 5"/>
    <w:basedOn w:val="657"/>
    <w:next w:val="657"/>
    <w:link w:val="676"/>
    <w:uiPriority w:val="9"/>
    <w:unhideWhenUsed/>
    <w:qFormat/>
    <w:pPr>
      <w:keepLines/>
      <w:keepNext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76" w:customStyle="1">
    <w:name w:val="Heading 5 Char"/>
    <w:link w:val="675"/>
    <w:uiPriority w:val="9"/>
    <w:rPr>
      <w:rFonts w:ascii="Arial" w:hAnsi="Arial" w:eastAsia="Arial" w:cs="Arial"/>
      <w:b/>
      <w:bCs/>
      <w:sz w:val="24"/>
      <w:szCs w:val="24"/>
    </w:rPr>
  </w:style>
  <w:style w:type="paragraph" w:styleId="677" w:customStyle="1">
    <w:name w:val="Heading 6"/>
    <w:basedOn w:val="657"/>
    <w:next w:val="657"/>
    <w:link w:val="678"/>
    <w:uiPriority w:val="9"/>
    <w:unhideWhenUsed/>
    <w:qFormat/>
    <w:pPr>
      <w:keepLines/>
      <w:keepNext/>
      <w:spacing w:before="320"/>
      <w:outlineLvl w:val="5"/>
    </w:pPr>
    <w:rPr>
      <w:rFonts w:ascii="Arial" w:hAnsi="Arial" w:eastAsia="Arial" w:cs="Arial"/>
      <w:b/>
      <w:bCs/>
    </w:rPr>
  </w:style>
  <w:style w:type="character" w:styleId="678" w:customStyle="1">
    <w:name w:val="Heading 6 Char"/>
    <w:link w:val="677"/>
    <w:uiPriority w:val="9"/>
    <w:rPr>
      <w:rFonts w:ascii="Arial" w:hAnsi="Arial" w:eastAsia="Arial" w:cs="Arial"/>
      <w:b/>
      <w:bCs/>
      <w:sz w:val="22"/>
      <w:szCs w:val="22"/>
    </w:rPr>
  </w:style>
  <w:style w:type="paragraph" w:styleId="679" w:customStyle="1">
    <w:name w:val="Heading 7"/>
    <w:basedOn w:val="657"/>
    <w:next w:val="657"/>
    <w:link w:val="680"/>
    <w:uiPriority w:val="9"/>
    <w:unhideWhenUsed/>
    <w:qFormat/>
    <w:pPr>
      <w:keepLines/>
      <w:keepNext/>
      <w:spacing w:before="320"/>
      <w:outlineLvl w:val="6"/>
    </w:pPr>
    <w:rPr>
      <w:rFonts w:ascii="Arial" w:hAnsi="Arial" w:eastAsia="Arial" w:cs="Arial"/>
      <w:b/>
      <w:bCs/>
      <w:i/>
      <w:iCs/>
    </w:rPr>
  </w:style>
  <w:style w:type="character" w:styleId="680" w:customStyle="1">
    <w:name w:val="Heading 7 Char"/>
    <w:link w:val="67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81" w:customStyle="1">
    <w:name w:val="Heading 8"/>
    <w:basedOn w:val="657"/>
    <w:next w:val="657"/>
    <w:link w:val="682"/>
    <w:uiPriority w:val="9"/>
    <w:unhideWhenUsed/>
    <w:qFormat/>
    <w:pPr>
      <w:keepLines/>
      <w:keepNext/>
      <w:spacing w:before="320"/>
      <w:outlineLvl w:val="7"/>
    </w:pPr>
    <w:rPr>
      <w:rFonts w:ascii="Arial" w:hAnsi="Arial" w:eastAsia="Arial" w:cs="Arial"/>
      <w:i/>
      <w:iCs/>
    </w:rPr>
  </w:style>
  <w:style w:type="character" w:styleId="682" w:customStyle="1">
    <w:name w:val="Heading 8 Char"/>
    <w:link w:val="681"/>
    <w:uiPriority w:val="9"/>
    <w:rPr>
      <w:rFonts w:ascii="Arial" w:hAnsi="Arial" w:eastAsia="Arial" w:cs="Arial"/>
      <w:i/>
      <w:iCs/>
      <w:sz w:val="22"/>
      <w:szCs w:val="22"/>
    </w:rPr>
  </w:style>
  <w:style w:type="paragraph" w:styleId="683" w:customStyle="1">
    <w:name w:val="Heading 9"/>
    <w:basedOn w:val="657"/>
    <w:next w:val="657"/>
    <w:link w:val="684"/>
    <w:uiPriority w:val="9"/>
    <w:unhideWhenUsed/>
    <w:qFormat/>
    <w:pPr>
      <w:keepLines/>
      <w:keepNext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4" w:customStyle="1">
    <w:name w:val="Heading 9 Char"/>
    <w:link w:val="683"/>
    <w:uiPriority w:val="9"/>
    <w:rPr>
      <w:rFonts w:ascii="Arial" w:hAnsi="Arial" w:eastAsia="Arial" w:cs="Arial"/>
      <w:i/>
      <w:iCs/>
      <w:sz w:val="21"/>
      <w:szCs w:val="21"/>
    </w:rPr>
  </w:style>
  <w:style w:type="paragraph" w:styleId="685">
    <w:name w:val="Title"/>
    <w:basedOn w:val="657"/>
    <w:next w:val="657"/>
    <w:link w:val="686"/>
    <w:uiPriority w:val="10"/>
    <w:qFormat/>
    <w:pPr>
      <w:contextualSpacing/>
      <w:spacing w:before="300"/>
    </w:pPr>
    <w:rPr>
      <w:sz w:val="48"/>
      <w:szCs w:val="48"/>
    </w:rPr>
  </w:style>
  <w:style w:type="character" w:styleId="686" w:customStyle="1">
    <w:name w:val="Название Знак"/>
    <w:link w:val="685"/>
    <w:uiPriority w:val="10"/>
    <w:rPr>
      <w:sz w:val="48"/>
      <w:szCs w:val="48"/>
    </w:rPr>
  </w:style>
  <w:style w:type="paragraph" w:styleId="687">
    <w:name w:val="Subtitle"/>
    <w:basedOn w:val="657"/>
    <w:next w:val="657"/>
    <w:link w:val="688"/>
    <w:uiPriority w:val="11"/>
    <w:qFormat/>
    <w:pPr>
      <w:spacing w:before="200"/>
    </w:pPr>
    <w:rPr>
      <w:sz w:val="24"/>
      <w:szCs w:val="24"/>
    </w:rPr>
  </w:style>
  <w:style w:type="character" w:styleId="688" w:customStyle="1">
    <w:name w:val="Подзаголовок Знак"/>
    <w:link w:val="687"/>
    <w:uiPriority w:val="11"/>
    <w:rPr>
      <w:sz w:val="24"/>
      <w:szCs w:val="24"/>
    </w:rPr>
  </w:style>
  <w:style w:type="paragraph" w:styleId="689">
    <w:name w:val="Quote"/>
    <w:basedOn w:val="657"/>
    <w:next w:val="657"/>
    <w:link w:val="690"/>
    <w:uiPriority w:val="29"/>
    <w:qFormat/>
    <w:pPr>
      <w:ind w:left="720" w:right="720"/>
    </w:pPr>
    <w:rPr>
      <w:i/>
    </w:rPr>
  </w:style>
  <w:style w:type="character" w:styleId="690" w:customStyle="1">
    <w:name w:val="Цитата 2 Знак"/>
    <w:link w:val="689"/>
    <w:uiPriority w:val="29"/>
    <w:rPr>
      <w:i/>
    </w:rPr>
  </w:style>
  <w:style w:type="paragraph" w:styleId="691">
    <w:name w:val="Intense Quote"/>
    <w:basedOn w:val="657"/>
    <w:next w:val="657"/>
    <w:link w:val="692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2" w:customStyle="1">
    <w:name w:val="Выделенная цитата Знак"/>
    <w:link w:val="691"/>
    <w:uiPriority w:val="30"/>
    <w:rPr>
      <w:i/>
    </w:rPr>
  </w:style>
  <w:style w:type="paragraph" w:styleId="693" w:customStyle="1">
    <w:name w:val="Header"/>
    <w:basedOn w:val="657"/>
    <w:link w:val="69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4" w:customStyle="1">
    <w:name w:val="Header Char"/>
    <w:link w:val="693"/>
    <w:uiPriority w:val="99"/>
  </w:style>
  <w:style w:type="paragraph" w:styleId="695" w:customStyle="1">
    <w:name w:val="Footer"/>
    <w:basedOn w:val="657"/>
    <w:link w:val="69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6" w:customStyle="1">
    <w:name w:val="Footer Char"/>
    <w:link w:val="695"/>
    <w:uiPriority w:val="99"/>
  </w:style>
  <w:style w:type="paragraph" w:styleId="697" w:customStyle="1">
    <w:name w:val="Caption"/>
    <w:basedOn w:val="657"/>
    <w:next w:val="657"/>
    <w:link w:val="698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styleId="698" w:customStyle="1">
    <w:name w:val="Caption Char"/>
    <w:link w:val="695"/>
    <w:uiPriority w:val="99"/>
  </w:style>
  <w:style w:type="table" w:styleId="699">
    <w:name w:val="Table Grid"/>
    <w:basedOn w:val="65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0" w:customStyle="1">
    <w:name w:val="Table Grid Light"/>
    <w:basedOn w:val="659"/>
    <w:uiPriority w:val="59"/>
    <w:pPr>
      <w:spacing w:after="0" w:line="240" w:lineRule="auto"/>
    </w:pPr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1" w:customStyle="1">
    <w:name w:val="Plain Table 1"/>
    <w:basedOn w:val="659"/>
    <w:uiPriority w:val="59"/>
    <w:pPr>
      <w:spacing w:after="0" w:line="240" w:lineRule="auto"/>
    </w:pPr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0" w:fill="ffffff" w:themeFill="text1" w:themeFillTint="00"/>
      </w:tcPr>
    </w:tblStylePr>
    <w:tblStylePr w:type="band1Vert"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2" w:customStyle="1">
    <w:name w:val="Plain Table 2"/>
    <w:basedOn w:val="65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3" w:customStyle="1">
    <w:name w:val="Plain Table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4" w:customStyle="1">
    <w:name w:val="Plain Table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 w:customStyle="1">
    <w:name w:val="Plain Table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6" w:customStyle="1">
    <w:name w:val="Grid Table 1 Light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 w:customStyle="1">
    <w:name w:val="Grid Table 1 Light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 w:customStyle="1">
    <w:name w:val="Grid Table 1 Light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 w:customStyle="1">
    <w:name w:val="Grid Table 1 Light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 w:customStyle="1">
    <w:name w:val="Grid Table 1 Light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 w:customStyle="1">
    <w:name w:val="Grid Table 1 Light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 w:customStyle="1">
    <w:name w:val="Grid Table 1 Light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 w:customStyle="1">
    <w:name w:val="Grid Table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 w:customStyle="1">
    <w:name w:val="Grid Table 2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 w:customStyle="1">
    <w:name w:val="Grid Table 2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 w:customStyle="1">
    <w:name w:val="Grid Table 2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 w:customStyle="1">
    <w:name w:val="Grid Table 2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 w:customStyle="1">
    <w:name w:val="Grid Table 2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 w:customStyle="1">
    <w:name w:val="Grid Table 2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 w:customStyle="1">
    <w:name w:val="Grid Table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 w:customStyle="1">
    <w:name w:val="Grid Table 3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 w:customStyle="1">
    <w:name w:val="Grid Table 3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 w:customStyle="1">
    <w:name w:val="Grid Table 3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 w:customStyle="1">
    <w:name w:val="Grid Table 3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 w:customStyle="1">
    <w:name w:val="Grid Table 3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 w:customStyle="1">
    <w:name w:val="Grid Table 3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 w:customStyle="1">
    <w:name w:val="Grid Table 4"/>
    <w:basedOn w:val="6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8" w:customStyle="1">
    <w:name w:val="Grid Table 4 - Accent 1"/>
    <w:basedOn w:val="6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29" w:customStyle="1">
    <w:name w:val="Grid Table 4 - Accent 2"/>
    <w:basedOn w:val="6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30" w:customStyle="1">
    <w:name w:val="Grid Table 4 - Accent 3"/>
    <w:basedOn w:val="6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31" w:customStyle="1">
    <w:name w:val="Grid Table 4 - Accent 4"/>
    <w:basedOn w:val="6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32" w:customStyle="1">
    <w:name w:val="Grid Table 4 - Accent 5"/>
    <w:basedOn w:val="6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33" w:customStyle="1">
    <w:name w:val="Grid Table 4 - Accent 6"/>
    <w:basedOn w:val="6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34" w:customStyle="1">
    <w:name w:val="Grid Table 5 Dark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35" w:customStyle="1">
    <w:name w:val="Grid Table 5 Dark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36" w:customStyle="1">
    <w:name w:val="Grid Table 5 Dark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37" w:customStyle="1">
    <w:name w:val="Grid Table 5 Dark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38" w:customStyle="1">
    <w:name w:val="Grid Table 5 Dark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39" w:customStyle="1">
    <w:name w:val="Grid Table 5 Dark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40" w:customStyle="1">
    <w:name w:val="Grid Table 5 Dark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41" w:customStyle="1">
    <w:name w:val="Grid Table 6 Colorful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42" w:customStyle="1">
    <w:name w:val="Grid Table 6 Colorful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43" w:customStyle="1">
    <w:name w:val="Grid Table 6 Colorful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44" w:customStyle="1">
    <w:name w:val="Grid Table 6 Colorful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45" w:customStyle="1">
    <w:name w:val="Grid Table 6 Colorful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46" w:customStyle="1">
    <w:name w:val="Grid Table 6 Colorful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47" w:customStyle="1">
    <w:name w:val="Grid Table 6 Colorful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48" w:customStyle="1">
    <w:name w:val="Grid Table 7 Colorful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fffff" w:themeColor="text1" w:themeTint="00" w:fill="ffffff" w:themeFill="text1" w:themeFillTint="00"/>
      </w:tcPr>
    </w:tblStylePr>
    <w:tblStylePr w:type="band1Vert"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49" w:customStyle="1">
    <w:name w:val="Grid Table 7 Colorful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0" w:customStyle="1">
    <w:name w:val="Grid Table 7 Colorful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1" w:customStyle="1">
    <w:name w:val="Grid Table 7 Colorful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2" w:customStyle="1">
    <w:name w:val="Grid Table 7 Colorful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3" w:customStyle="1">
    <w:name w:val="Grid Table 7 Colorful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4" w:customStyle="1">
    <w:name w:val="Grid Table 7 Colorful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55" w:customStyle="1">
    <w:name w:val="List Table 1 Light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List Table 1 Light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 w:customStyle="1">
    <w:name w:val="List Table 1 Light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 w:customStyle="1">
    <w:name w:val="List Table 1 Light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 w:customStyle="1">
    <w:name w:val="List Table 1 Light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 w:customStyle="1">
    <w:name w:val="List Table 1 Light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 w:customStyle="1">
    <w:name w:val="List Table 1 Light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 w:customStyle="1">
    <w:name w:val="List Table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63" w:customStyle="1">
    <w:name w:val="List Table 2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64" w:customStyle="1">
    <w:name w:val="List Table 2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65" w:customStyle="1">
    <w:name w:val="List Table 2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66" w:customStyle="1">
    <w:name w:val="List Table 2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67" w:customStyle="1">
    <w:name w:val="List Table 2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68" w:customStyle="1">
    <w:name w:val="List Table 2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69" w:customStyle="1">
    <w:name w:val="List Table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 w:customStyle="1">
    <w:name w:val="List Table 3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 w:customStyle="1">
    <w:name w:val="List Table 3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 w:customStyle="1">
    <w:name w:val="List Table 3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 w:customStyle="1">
    <w:name w:val="List Table 3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 w:customStyle="1">
    <w:name w:val="List Table 3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List Table 3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List Table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List Table 4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List Table 4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List Table 4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List Table 4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 w:customStyle="1">
    <w:name w:val="List Table 4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 w:customStyle="1">
    <w:name w:val="List Table 4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 w:customStyle="1">
    <w:name w:val="List Table 5 Dark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4" w:customStyle="1">
    <w:name w:val="List Table 5 Dark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5" w:customStyle="1">
    <w:name w:val="List Table 5 Dark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6" w:customStyle="1">
    <w:name w:val="List Table 5 Dark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7" w:customStyle="1">
    <w:name w:val="List Table 5 Dark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8" w:customStyle="1">
    <w:name w:val="List Table 5 Dark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9" w:customStyle="1">
    <w:name w:val="List Table 5 Dark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0" w:customStyle="1">
    <w:name w:val="List Table 6 Colorful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791" w:customStyle="1">
    <w:name w:val="List Table 6 Colorful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5B9BD5" w:themeColor="accent1" w:sz="4" w:space="0"/>
        <w:bottom w:val="single" w:color="5B9BD5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792" w:customStyle="1">
    <w:name w:val="List Table 6 Colorful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184" w:themeColor="accent2" w:themeTint="97" w:sz="4" w:space="0"/>
        <w:bottom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793" w:customStyle="1">
    <w:name w:val="List Table 6 Colorful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9C9C9" w:themeColor="accent3" w:themeTint="98" w:sz="4" w:space="0"/>
        <w:bottom w:val="single" w:color="C9C9C9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794" w:customStyle="1">
    <w:name w:val="List Table 6 Colorful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865" w:themeColor="accent4" w:themeTint="9A" w:sz="4" w:space="0"/>
        <w:bottom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795" w:customStyle="1">
    <w:name w:val="List Table 6 Colorful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DA9DB" w:themeColor="accent5" w:themeTint="9A" w:sz="4" w:space="0"/>
        <w:bottom w:val="single" w:color="8DA9DB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796" w:customStyle="1">
    <w:name w:val="List Table 6 Colorful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9D08E" w:themeColor="accent6" w:themeTint="98" w:sz="4" w:space="0"/>
        <w:bottom w:val="single" w:color="A9D08E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797" w:customStyle="1">
    <w:name w:val="List Table 7 Colorful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8" w:customStyle="1">
    <w:name w:val="List Table 7 Colorful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5B9BD5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9" w:customStyle="1">
    <w:name w:val="List Table 7 Colorful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0" w:customStyle="1">
    <w:name w:val="List Table 7 Colorful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C9C9C9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1" w:customStyle="1">
    <w:name w:val="List Table 7 Colorful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2" w:customStyle="1">
    <w:name w:val="List Table 7 Colorful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8DA9DB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3" w:customStyle="1">
    <w:name w:val="List Table 7 Colorful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A9D08E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4" w:customStyle="1">
    <w:name w:val="Lined - Accent"/>
    <w:basedOn w:val="659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05" w:customStyle="1">
    <w:name w:val="Lined - Accent 1"/>
    <w:basedOn w:val="659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06" w:customStyle="1">
    <w:name w:val="Lined - Accent 2"/>
    <w:basedOn w:val="659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07" w:customStyle="1">
    <w:name w:val="Lined - Accent 3"/>
    <w:basedOn w:val="659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08" w:customStyle="1">
    <w:name w:val="Lined - Accent 4"/>
    <w:basedOn w:val="659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09" w:customStyle="1">
    <w:name w:val="Lined - Accent 5"/>
    <w:basedOn w:val="659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10" w:customStyle="1">
    <w:name w:val="Lined - Accent 6"/>
    <w:basedOn w:val="659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11" w:customStyle="1">
    <w:name w:val="Bordered &amp; Lined - Accent"/>
    <w:basedOn w:val="659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12" w:customStyle="1">
    <w:name w:val="Bordered &amp; Lined - Accent 1"/>
    <w:basedOn w:val="659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13" w:customStyle="1">
    <w:name w:val="Bordered &amp; Lined - Accent 2"/>
    <w:basedOn w:val="659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14" w:customStyle="1">
    <w:name w:val="Bordered &amp; Lined - Accent 3"/>
    <w:basedOn w:val="659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15" w:customStyle="1">
    <w:name w:val="Bordered &amp; Lined - Accent 4"/>
    <w:basedOn w:val="659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16" w:customStyle="1">
    <w:name w:val="Bordered &amp; Lined - Accent 5"/>
    <w:basedOn w:val="659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17" w:customStyle="1">
    <w:name w:val="Bordered &amp; Lined - Accent 6"/>
    <w:basedOn w:val="659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18" w:customStyle="1">
    <w:name w:val="Bordered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19" w:customStyle="1">
    <w:name w:val="Bordered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20" w:customStyle="1">
    <w:name w:val="Bordered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21" w:customStyle="1">
    <w:name w:val="Bordered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22" w:customStyle="1">
    <w:name w:val="Bordered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23" w:customStyle="1">
    <w:name w:val="Bordered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24" w:customStyle="1">
    <w:name w:val="Bordered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25">
    <w:name w:val="Hyperlink"/>
    <w:uiPriority w:val="99"/>
    <w:unhideWhenUsed/>
    <w:rPr>
      <w:color w:val="0563c1" w:themeColor="hyperlink"/>
      <w:u w:val="single"/>
    </w:rPr>
  </w:style>
  <w:style w:type="paragraph" w:styleId="826">
    <w:name w:val="footnote text"/>
    <w:basedOn w:val="657"/>
    <w:link w:val="827"/>
    <w:uiPriority w:val="99"/>
    <w:semiHidden/>
    <w:unhideWhenUsed/>
    <w:pPr>
      <w:spacing w:after="40" w:line="240" w:lineRule="auto"/>
    </w:pPr>
    <w:rPr>
      <w:sz w:val="18"/>
    </w:rPr>
  </w:style>
  <w:style w:type="character" w:styleId="827" w:customStyle="1">
    <w:name w:val="Текст сноски Знак"/>
    <w:link w:val="826"/>
    <w:uiPriority w:val="99"/>
    <w:rPr>
      <w:sz w:val="18"/>
    </w:rPr>
  </w:style>
  <w:style w:type="character" w:styleId="828">
    <w:name w:val="footnote reference"/>
    <w:uiPriority w:val="99"/>
    <w:unhideWhenUsed/>
    <w:rPr>
      <w:vertAlign w:val="superscript"/>
    </w:rPr>
  </w:style>
  <w:style w:type="paragraph" w:styleId="829">
    <w:name w:val="endnote text"/>
    <w:basedOn w:val="657"/>
    <w:link w:val="830"/>
    <w:uiPriority w:val="99"/>
    <w:semiHidden/>
    <w:unhideWhenUsed/>
    <w:pPr>
      <w:spacing w:after="0" w:line="240" w:lineRule="auto"/>
    </w:pPr>
    <w:rPr>
      <w:sz w:val="20"/>
    </w:rPr>
  </w:style>
  <w:style w:type="character" w:styleId="830" w:customStyle="1">
    <w:name w:val="Текст концевой сноски Знак"/>
    <w:link w:val="829"/>
    <w:uiPriority w:val="99"/>
    <w:rPr>
      <w:sz w:val="20"/>
    </w:rPr>
  </w:style>
  <w:style w:type="character" w:styleId="831">
    <w:name w:val="endnote reference"/>
    <w:uiPriority w:val="99"/>
    <w:semiHidden/>
    <w:unhideWhenUsed/>
    <w:rPr>
      <w:vertAlign w:val="superscript"/>
    </w:rPr>
  </w:style>
  <w:style w:type="paragraph" w:styleId="832">
    <w:name w:val="toc 1"/>
    <w:basedOn w:val="657"/>
    <w:next w:val="657"/>
    <w:uiPriority w:val="39"/>
    <w:unhideWhenUsed/>
    <w:pPr>
      <w:spacing w:after="57"/>
    </w:pPr>
  </w:style>
  <w:style w:type="paragraph" w:styleId="833">
    <w:name w:val="toc 2"/>
    <w:basedOn w:val="657"/>
    <w:next w:val="657"/>
    <w:uiPriority w:val="39"/>
    <w:unhideWhenUsed/>
    <w:pPr>
      <w:ind w:left="283"/>
      <w:spacing w:after="57"/>
    </w:pPr>
  </w:style>
  <w:style w:type="paragraph" w:styleId="834">
    <w:name w:val="toc 3"/>
    <w:basedOn w:val="657"/>
    <w:next w:val="657"/>
    <w:uiPriority w:val="39"/>
    <w:unhideWhenUsed/>
    <w:pPr>
      <w:ind w:left="567"/>
      <w:spacing w:after="57"/>
    </w:pPr>
  </w:style>
  <w:style w:type="paragraph" w:styleId="835">
    <w:name w:val="toc 4"/>
    <w:basedOn w:val="657"/>
    <w:next w:val="657"/>
    <w:uiPriority w:val="39"/>
    <w:unhideWhenUsed/>
    <w:pPr>
      <w:ind w:left="850"/>
      <w:spacing w:after="57"/>
    </w:pPr>
  </w:style>
  <w:style w:type="paragraph" w:styleId="836">
    <w:name w:val="toc 5"/>
    <w:basedOn w:val="657"/>
    <w:next w:val="657"/>
    <w:uiPriority w:val="39"/>
    <w:unhideWhenUsed/>
    <w:pPr>
      <w:ind w:left="1134"/>
      <w:spacing w:after="57"/>
    </w:pPr>
  </w:style>
  <w:style w:type="paragraph" w:styleId="837">
    <w:name w:val="toc 6"/>
    <w:basedOn w:val="657"/>
    <w:next w:val="657"/>
    <w:uiPriority w:val="39"/>
    <w:unhideWhenUsed/>
    <w:pPr>
      <w:ind w:left="1417"/>
      <w:spacing w:after="57"/>
    </w:pPr>
  </w:style>
  <w:style w:type="paragraph" w:styleId="838">
    <w:name w:val="toc 7"/>
    <w:basedOn w:val="657"/>
    <w:next w:val="657"/>
    <w:uiPriority w:val="39"/>
    <w:unhideWhenUsed/>
    <w:pPr>
      <w:ind w:left="1701"/>
      <w:spacing w:after="57"/>
    </w:pPr>
  </w:style>
  <w:style w:type="paragraph" w:styleId="839">
    <w:name w:val="toc 8"/>
    <w:basedOn w:val="657"/>
    <w:next w:val="657"/>
    <w:uiPriority w:val="39"/>
    <w:unhideWhenUsed/>
    <w:pPr>
      <w:ind w:left="1984"/>
      <w:spacing w:after="57"/>
    </w:pPr>
  </w:style>
  <w:style w:type="paragraph" w:styleId="840">
    <w:name w:val="toc 9"/>
    <w:basedOn w:val="657"/>
    <w:next w:val="657"/>
    <w:uiPriority w:val="39"/>
    <w:unhideWhenUsed/>
    <w:pPr>
      <w:ind w:left="2268"/>
      <w:spacing w:after="57"/>
    </w:pPr>
  </w:style>
  <w:style w:type="paragraph" w:styleId="841">
    <w:name w:val="TOC Heading"/>
    <w:uiPriority w:val="39"/>
    <w:unhideWhenUsed/>
  </w:style>
  <w:style w:type="paragraph" w:styleId="842">
    <w:name w:val="table of figures"/>
    <w:basedOn w:val="657"/>
    <w:next w:val="657"/>
    <w:uiPriority w:val="99"/>
    <w:unhideWhenUsed/>
    <w:pPr>
      <w:spacing w:after="0"/>
    </w:pPr>
  </w:style>
  <w:style w:type="paragraph" w:styleId="843">
    <w:name w:val="No Spacing"/>
    <w:basedOn w:val="657"/>
    <w:uiPriority w:val="1"/>
    <w:qFormat/>
    <w:pPr>
      <w:spacing w:after="0" w:line="240" w:lineRule="auto"/>
    </w:pPr>
  </w:style>
  <w:style w:type="paragraph" w:styleId="844">
    <w:name w:val="List Paragraph"/>
    <w:basedOn w:val="657"/>
    <w:uiPriority w:val="34"/>
    <w:qFormat/>
    <w:pPr>
      <w:contextualSpacing/>
      <w:ind w:left="720"/>
    </w:pPr>
  </w:style>
  <w:style w:type="paragraph" w:styleId="845" w:customStyle="1">
    <w:name w:val="Стиль3"/>
    <w:qFormat/>
    <w:pPr>
      <w:ind w:left="720"/>
      <w:jc w:val="both"/>
      <w:spacing w:after="0" w:line="240" w:lineRule="auto"/>
      <w:shd w:val="nil"/>
      <w:widowControl w:val="off"/>
      <w:tabs>
        <w:tab w:val="left" w:pos="947" w:leader="none"/>
      </w:tabs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Arial" w:hAnsi="Arial" w:eastAsia="Calibri" w:cs="Times New Roman"/>
      <w:sz w:val="24"/>
      <w:szCs w:val="24"/>
      <w:lang w:eastAsia="ru-RU"/>
    </w:rPr>
  </w:style>
  <w:style w:type="paragraph" w:styleId="846" w:customStyle="1">
    <w:name w:val="ГФА - обычный"/>
    <w:qFormat/>
    <w:pPr>
      <w:jc w:val="both"/>
      <w:spacing w:after="0" w:line="240" w:lineRule="auto"/>
      <w:shd w:val="nil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Times New Roman" w:hAnsi="Times New Roman" w:eastAsia="Calibri" w:cs="Times New Roman"/>
      <w:sz w:val="24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consultantplus://offline/ref=D3F7D91CD81949DB3E8E8F2BAB2C01C61E45399AB50A7206932B4CE6A817160CD226DB185FAD9FC98869F2B3BA818B625C4C1AC6GB29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kirichenkoalex</dc:creator>
  <cp:lastModifiedBy>bobkovaeyu</cp:lastModifiedBy>
  <cp:revision>5</cp:revision>
  <dcterms:created xsi:type="dcterms:W3CDTF">2026-08-21T10:42:00Z</dcterms:created>
  <dcterms:modified xsi:type="dcterms:W3CDTF">2026-08-31T16:02:22Z</dcterms:modified>
</cp:coreProperties>
</file>