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Calibri" w:hAnsi="Calibri"/>
          <w:b/>
          <w:i w:val="0"/>
          <w:color w:val="18324A"/>
          <w:sz w:val="68"/>
        </w:rPr>
        <w:t>BISTBOT</w:t>
      </w:r>
    </w:p>
    <w:p>
      <w:pPr>
        <w:jc w:val="center"/>
      </w:pPr>
      <w:r>
        <w:rPr>
          <w:rFonts w:ascii="Calibri" w:hAnsi="Calibri"/>
          <w:b/>
          <w:i w:val="0"/>
          <w:color w:val="1F4E78"/>
          <w:sz w:val="40"/>
        </w:rPr>
        <w:t>Proje Kullanım ve Karar Motoru Rehberi</w:t>
      </w:r>
    </w:p>
    <w:p>
      <w:pPr>
        <w:jc w:val="center"/>
      </w:pPr>
      <w:r>
        <w:rPr>
          <w:rFonts w:ascii="Calibri" w:hAnsi="Calibri"/>
          <w:b w:val="0"/>
          <w:i w:val="0"/>
          <w:color w:val="59636E"/>
          <w:sz w:val="24"/>
        </w:rPr>
        <w:t>Kurulum • Veri Akışı • Puanlama • Market Regime • Risk • PAPER İşlemler</w:t>
      </w:r>
    </w:p>
    <w:p>
      <w:pPr>
        <w:spacing w:before="1000"/>
      </w:pP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1F4E78"/>
                <w:sz w:val="22"/>
              </w:rPr>
              <w:t>Belgenin amacı</w:t>
              <w:br/>
            </w:r>
            <w:r>
              <w:rPr>
                <w:rFonts w:ascii="Calibri" w:hAnsi="Calibri"/>
                <w:b w:val="0"/>
                <w:i w:val="0"/>
                <w:color w:val="222222"/>
                <w:sz w:val="21"/>
              </w:rPr>
              <w:t>Bu rehber, BISTBOT’un her ana bileşenini, hangi veriyi neden kullandığını, bir hisseyi hangi koşullarda BUY/HOLD/SELL değerlendirdiğini ve Risk Engine’in emri nasıl onayladığını açıklar. Kod ve config.yaml, bu belgeden daha güncel olabilir; canlı davranışta her zaman kod ve aktif konfigürasyon esas alınır.</w:t>
            </w:r>
          </w:p>
        </w:tc>
      </w:tr>
    </w:tbl>
    <w:p>
      <w:pPr>
        <w:spacing w:after="0"/>
      </w:pPr>
    </w:p>
    <w:p>
      <w:pPr>
        <w:spacing w:before="1200"/>
        <w:jc w:val="center"/>
      </w:pPr>
      <w:r>
        <w:rPr>
          <w:rFonts w:ascii="Calibri" w:hAnsi="Calibri"/>
          <w:b w:val="0"/>
          <w:i w:val="0"/>
          <w:color w:val="59636E"/>
          <w:sz w:val="20"/>
        </w:rPr>
        <w:t>Sürüm: PAPER v1.0-aggressive  •  Hazırlanma: 29.08.2026</w:t>
      </w:r>
    </w:p>
    <w:p>
      <w:r>
        <w:br w:type="page"/>
      </w:r>
    </w:p>
    <w:p>
      <w:pPr>
        <w:pStyle w:val="Title"/>
      </w:pPr>
      <w:r>
        <w:t>İçindekiler ve hızlı yönlendirme</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1584"/>
            <w:shd w:fill="1F4E78"/>
            <w:tcMar>
              <w:top w:w="80" w:type="dxa"/>
              <w:start w:w="120" w:type="dxa"/>
              <w:bottom w:w="80" w:type="dxa"/>
              <w:end w:w="120" w:type="dxa"/>
            </w:tcMar>
            <w:vAlign w:val="center"/>
          </w:tcPr>
          <w:p>
            <w:pPr>
              <w:spacing w:after="0"/>
            </w:pPr>
            <w:r>
              <w:rPr>
                <w:rFonts w:ascii="Calibri" w:hAnsi="Calibri"/>
                <w:b/>
                <w:i w:val="0"/>
                <w:color w:val="FFFFFF"/>
                <w:sz w:val="18"/>
              </w:rPr>
              <w:t>Bölüm</w:t>
            </w:r>
          </w:p>
        </w:tc>
        <w:tc>
          <w:tcPr>
            <w:tcW w:type="dxa" w:w="7488"/>
            <w:shd w:fill="1F4E78"/>
            <w:tcMar>
              <w:top w:w="80" w:type="dxa"/>
              <w:start w:w="120" w:type="dxa"/>
              <w:bottom w:w="80" w:type="dxa"/>
              <w:end w:w="120" w:type="dxa"/>
            </w:tcMar>
            <w:vAlign w:val="center"/>
          </w:tcPr>
          <w:p>
            <w:pPr>
              <w:spacing w:after="0"/>
            </w:pPr>
            <w:r>
              <w:rPr>
                <w:rFonts w:ascii="Calibri" w:hAnsi="Calibri"/>
                <w:b/>
                <w:i w:val="0"/>
                <w:color w:val="FFFFFF"/>
                <w:sz w:val="18"/>
              </w:rPr>
              <w:t>Ne anlatır?</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1–3</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Sistem özeti, güvenlik sınırı, kurulum ve komutlar</w:t>
            </w:r>
          </w:p>
        </w:tc>
      </w:tr>
      <w:tr>
        <w:trPr>
          <w:cantSplit/>
        </w:trPr>
        <w:tc>
          <w:tcPr>
            <w:tcW w:type="dxa" w:w="1584"/>
            <w:tcMar>
              <w:top w:w="80" w:type="dxa"/>
              <w:start w:w="120" w:type="dxa"/>
              <w:bottom w:w="80" w:type="dxa"/>
              <w:end w:w="120" w:type="dxa"/>
            </w:tcMar>
            <w:vAlign w:val="center"/>
            <w:shd w:fill="F7F9FB"/>
          </w:tcPr>
          <w:p>
            <w:pPr>
              <w:spacing w:after="0"/>
            </w:pPr>
            <w:r>
              <w:rPr>
                <w:rFonts w:ascii="Calibri" w:hAnsi="Calibri"/>
                <w:b w:val="0"/>
                <w:i w:val="0"/>
                <w:color w:val="222222"/>
                <w:sz w:val="18"/>
              </w:rPr>
              <w:t>4–6</w:t>
            </w:r>
          </w:p>
        </w:tc>
        <w:tc>
          <w:tcPr>
            <w:tcW w:type="dxa" w:w="7488"/>
            <w:tcMar>
              <w:top w:w="80" w:type="dxa"/>
              <w:start w:w="120" w:type="dxa"/>
              <w:bottom w:w="80" w:type="dxa"/>
              <w:end w:w="120" w:type="dxa"/>
            </w:tcMar>
            <w:vAlign w:val="center"/>
            <w:shd w:fill="F7F9FB"/>
          </w:tcPr>
          <w:p>
            <w:pPr>
              <w:spacing w:after="0"/>
            </w:pPr>
            <w:r>
              <w:rPr>
                <w:rFonts w:ascii="Calibri" w:hAnsi="Calibri"/>
                <w:b w:val="0"/>
                <w:i w:val="0"/>
                <w:color w:val="222222"/>
                <w:sz w:val="18"/>
              </w:rPr>
              <w:t>Mimari, çalışma döngüsü, piyasa verisi ve scanner</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7–9</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KAP/haber materyalitesi, LLM ve nihai hisse puanı</w:t>
            </w:r>
          </w:p>
        </w:tc>
      </w:tr>
      <w:tr>
        <w:trPr>
          <w:cantSplit/>
        </w:trPr>
        <w:tc>
          <w:tcPr>
            <w:tcW w:type="dxa" w:w="1584"/>
            <w:tcMar>
              <w:top w:w="80" w:type="dxa"/>
              <w:start w:w="120" w:type="dxa"/>
              <w:bottom w:w="80" w:type="dxa"/>
              <w:end w:w="120" w:type="dxa"/>
            </w:tcMar>
            <w:vAlign w:val="center"/>
            <w:shd w:fill="F7F9FB"/>
          </w:tcPr>
          <w:p>
            <w:pPr>
              <w:spacing w:after="0"/>
            </w:pPr>
            <w:r>
              <w:rPr>
                <w:rFonts w:ascii="Calibri" w:hAnsi="Calibri"/>
                <w:b w:val="0"/>
                <w:i w:val="0"/>
                <w:color w:val="222222"/>
                <w:sz w:val="18"/>
              </w:rPr>
              <w:t>10</w:t>
            </w:r>
          </w:p>
        </w:tc>
        <w:tc>
          <w:tcPr>
            <w:tcW w:type="dxa" w:w="7488"/>
            <w:tcMar>
              <w:top w:w="80" w:type="dxa"/>
              <w:start w:w="120" w:type="dxa"/>
              <w:bottom w:w="80" w:type="dxa"/>
              <w:end w:w="120" w:type="dxa"/>
            </w:tcMar>
            <w:vAlign w:val="center"/>
            <w:shd w:fill="F7F9FB"/>
          </w:tcPr>
          <w:p>
            <w:pPr>
              <w:spacing w:after="0"/>
            </w:pPr>
            <w:r>
              <w:rPr>
                <w:rFonts w:ascii="Calibri" w:hAnsi="Calibri"/>
                <w:b w:val="0"/>
                <w:i w:val="0"/>
                <w:color w:val="222222"/>
                <w:sz w:val="18"/>
              </w:rPr>
              <w:t>Gerçek makro pipeline ve Market Regime overlay</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11–14</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Karar, Risk Engine, pozisyon büyüklüğü, BIST takvimi ve PAPER broker</w:t>
            </w:r>
          </w:p>
        </w:tc>
      </w:tr>
      <w:tr>
        <w:trPr>
          <w:cantSplit/>
        </w:trPr>
        <w:tc>
          <w:tcPr>
            <w:tcW w:type="dxa" w:w="1584"/>
            <w:tcMar>
              <w:top w:w="80" w:type="dxa"/>
              <w:start w:w="120" w:type="dxa"/>
              <w:bottom w:w="80" w:type="dxa"/>
              <w:end w:w="120" w:type="dxa"/>
            </w:tcMar>
            <w:vAlign w:val="center"/>
            <w:shd w:fill="F7F9FB"/>
          </w:tcPr>
          <w:p>
            <w:pPr>
              <w:spacing w:after="0"/>
            </w:pPr>
            <w:r>
              <w:rPr>
                <w:rFonts w:ascii="Calibri" w:hAnsi="Calibri"/>
                <w:b w:val="0"/>
                <w:i w:val="0"/>
                <w:color w:val="222222"/>
                <w:sz w:val="18"/>
              </w:rPr>
              <w:t>15–17</w:t>
            </w:r>
          </w:p>
        </w:tc>
        <w:tc>
          <w:tcPr>
            <w:tcW w:type="dxa" w:w="7488"/>
            <w:tcMar>
              <w:top w:w="80" w:type="dxa"/>
              <w:start w:w="120" w:type="dxa"/>
              <w:bottom w:w="80" w:type="dxa"/>
              <w:end w:w="120" w:type="dxa"/>
            </w:tcMar>
            <w:vAlign w:val="center"/>
            <w:shd w:fill="F7F9FB"/>
          </w:tcPr>
          <w:p>
            <w:pPr>
              <w:spacing w:after="0"/>
            </w:pPr>
            <w:r>
              <w:rPr>
                <w:rFonts w:ascii="Calibri" w:hAnsi="Calibri"/>
                <w:b w:val="0"/>
                <w:i w:val="0"/>
                <w:color w:val="222222"/>
                <w:sz w:val="18"/>
              </w:rPr>
              <w:t>Çıkışlar, veritabanı, dashboard ve teşhis</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18–21</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Örnekler, ayarlar, hata durumları ve operasyon kontrol listesi</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2E6B4F"/>
                <w:sz w:val="22"/>
              </w:rPr>
              <w:t>En kısa cevap</w:t>
              <w:br/>
            </w:r>
            <w:r>
              <w:rPr>
                <w:rFonts w:ascii="Calibri" w:hAnsi="Calibri"/>
                <w:b w:val="0"/>
                <w:i w:val="0"/>
                <w:color w:val="222222"/>
                <w:sz w:val="21"/>
              </w:rPr>
              <w:t>Bot doğrudan “haber iyi, al” mantığıyla çalışmaz. Önce OHLCV taraması yapar; materyal şirket olaylarını filtreler; gerekliyse LLM’den sınırlı yorum alır; makro rejimi ayrı overlay uygular; sonra Risk Engine nakit, stop, kayıp limitleri ve pozisyon sınırlarıyla son kararı verir.</w:t>
            </w:r>
          </w:p>
        </w:tc>
      </w:tr>
    </w:tbl>
    <w:p>
      <w:pPr>
        <w:spacing w:after="0"/>
      </w:pPr>
    </w:p>
    <w:p>
      <w:pPr>
        <w:pStyle w:val="Title"/>
      </w:pPr>
      <w:r>
        <w:t>1. Sistem nedir, ne değildir?</w:t>
      </w:r>
    </w:p>
    <w:p>
      <w:pPr>
        <w:spacing w:after="120" w:line="300" w:lineRule="auto"/>
      </w:pPr>
      <w:r>
        <w:rPr>
          <w:rFonts w:ascii="Calibri" w:hAnsi="Calibri"/>
          <w:b w:val="0"/>
          <w:i w:val="0"/>
          <w:color w:val="222222"/>
          <w:sz w:val="22"/>
        </w:rPr>
        <w:t>BISTBOT, Borsa İstanbul hisselerini deterministik teknik göstergelerle tarayan, KAP/haber kanıtlarını sınırlı biçimde değerlendiren, geniş piyasa riskini ayrı bir Market Regime katmanıyla uygulayan ve yalnızca sanal portföyde işlem yapan bir PAPER trading uygulamasıdır.</w:t>
      </w:r>
    </w:p>
    <w:p>
      <w:pPr>
        <w:pStyle w:val="Heading1"/>
      </w:pPr>
      <w:r>
        <w:t>Temel ilkeler</w:t>
      </w:r>
    </w:p>
    <w:p>
      <w:pPr>
        <w:pStyle w:val="ListBullet"/>
        <w:spacing w:after="80" w:line="288" w:lineRule="auto"/>
      </w:pPr>
      <w:r>
        <w:rPr>
          <w:rFonts w:ascii="Calibri" w:hAnsi="Calibri"/>
          <w:b w:val="0"/>
          <w:i w:val="0"/>
          <w:color w:val="222222"/>
          <w:sz w:val="22"/>
        </w:rPr>
        <w:t>PAPER ONLY: Gerçek broker bağlantısı ve gerçek para emri yoktur.</w:t>
      </w:r>
    </w:p>
    <w:p>
      <w:pPr>
        <w:pStyle w:val="ListBullet"/>
        <w:spacing w:after="80" w:line="288" w:lineRule="auto"/>
      </w:pPr>
      <w:r>
        <w:rPr>
          <w:rFonts w:ascii="Calibri" w:hAnsi="Calibri"/>
          <w:b w:val="0"/>
          <w:i w:val="0"/>
          <w:color w:val="222222"/>
          <w:sz w:val="22"/>
        </w:rPr>
        <w:t>Risk Engine son otoritedir; LLM miktar belirleyemez, limit değiştiremez veya emir gönderemez.</w:t>
      </w:r>
    </w:p>
    <w:p>
      <w:pPr>
        <w:pStyle w:val="ListBullet"/>
        <w:spacing w:after="80" w:line="288" w:lineRule="auto"/>
      </w:pPr>
      <w:r>
        <w:rPr>
          <w:rFonts w:ascii="Calibri" w:hAnsi="Calibri"/>
          <w:b w:val="0"/>
          <w:i w:val="0"/>
          <w:color w:val="222222"/>
          <w:sz w:val="22"/>
        </w:rPr>
        <w:t>Şirket haberi puanı ile genel makro risk birbirine karıştırılmaz.</w:t>
      </w:r>
    </w:p>
    <w:p>
      <w:pPr>
        <w:pStyle w:val="ListBullet"/>
        <w:spacing w:after="80" w:line="288" w:lineRule="auto"/>
      </w:pPr>
      <w:r>
        <w:rPr>
          <w:rFonts w:ascii="Calibri" w:hAnsi="Calibri"/>
          <w:b w:val="0"/>
          <w:i w:val="0"/>
          <w:color w:val="222222"/>
          <w:sz w:val="22"/>
        </w:rPr>
        <w:t>Eksik veya bayat veri olumlu varsayımla doldurulmaz; aday elenir ya da giriş engellenir.</w:t>
      </w:r>
    </w:p>
    <w:p>
      <w:pPr>
        <w:pStyle w:val="ListBullet"/>
        <w:spacing w:after="80" w:line="288" w:lineRule="auto"/>
      </w:pPr>
      <w:r>
        <w:rPr>
          <w:rFonts w:ascii="Calibri" w:hAnsi="Calibri"/>
          <w:b w:val="0"/>
          <w:i w:val="0"/>
          <w:color w:val="222222"/>
          <w:sz w:val="22"/>
        </w:rPr>
        <w:t>Açık pozisyon çıkış kontrolü, yeni giriş taramasından önce yapılır.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9B1C1C"/>
                <w:sz w:val="22"/>
              </w:rPr>
              <w:t>Uyarı</w:t>
              <w:br/>
            </w:r>
            <w:r>
              <w:rPr>
                <w:rFonts w:ascii="Calibri" w:hAnsi="Calibri"/>
                <w:b w:val="0"/>
                <w:i w:val="0"/>
                <w:color w:val="222222"/>
                <w:sz w:val="21"/>
              </w:rPr>
              <w:t>Bu yazılım yatırım tavsiyesi üretmez. Geçmiş veya sanal performans gerçek piyasadaki sonucu garanti etmez.</w:t>
            </w:r>
          </w:p>
        </w:tc>
      </w:tr>
    </w:tbl>
    <w:p>
      <w:pPr>
        <w:spacing w:after="0"/>
      </w:pPr>
    </w:p>
    <w:p>
      <w:pPr>
        <w:pStyle w:val="Title"/>
      </w:pPr>
      <w:r>
        <w:t>2. Hızlı kurulum</w:t>
      </w:r>
    </w:p>
    <w:p>
      <w:pPr>
        <w:pStyle w:val="Heading1"/>
      </w:pPr>
      <w:r>
        <w:t>Gereksinimler</w:t>
      </w:r>
    </w:p>
    <w:p>
      <w:pPr>
        <w:pStyle w:val="ListBullet"/>
        <w:spacing w:after="80" w:line="288" w:lineRule="auto"/>
      </w:pPr>
      <w:r>
        <w:rPr>
          <w:rFonts w:ascii="Calibri" w:hAnsi="Calibri"/>
          <w:b w:val="0"/>
          <w:i w:val="0"/>
          <w:color w:val="222222"/>
          <w:sz w:val="22"/>
        </w:rPr>
        <w:t>Python 3.12 veya üzeri</w:t>
      </w:r>
    </w:p>
    <w:p>
      <w:pPr>
        <w:pStyle w:val="ListBullet"/>
        <w:spacing w:after="80" w:line="288" w:lineRule="auto"/>
      </w:pPr>
      <w:r>
        <w:rPr>
          <w:rFonts w:ascii="Calibri" w:hAnsi="Calibri"/>
          <w:b w:val="0"/>
          <w:i w:val="0"/>
          <w:color w:val="222222"/>
          <w:sz w:val="22"/>
        </w:rPr>
        <w:t>İnternet bağlantısı (gerçek piyasa, KAP/haber ve makro kaynaklar için)</w:t>
      </w:r>
    </w:p>
    <w:p>
      <w:pPr>
        <w:pStyle w:val="ListBullet"/>
        <w:spacing w:after="80" w:line="288" w:lineRule="auto"/>
      </w:pPr>
      <w:r>
        <w:rPr>
          <w:rFonts w:ascii="Calibri" w:hAnsi="Calibri"/>
          <w:b w:val="0"/>
          <w:i w:val="0"/>
          <w:color w:val="222222"/>
          <w:sz w:val="22"/>
        </w:rPr>
        <w:t>OpenAI kullanılacaksa proje kökündeki .env dosyasında OPENAI_API_KEY</w:t>
      </w:r>
    </w:p>
    <w:p>
      <w:pPr>
        <w:pStyle w:val="ListBullet"/>
        <w:spacing w:after="80" w:line="288" w:lineRule="auto"/>
      </w:pPr>
      <w:r>
        <w:rPr>
          <w:rFonts w:ascii="Calibri" w:hAnsi="Calibri"/>
          <w:b w:val="0"/>
          <w:i w:val="0"/>
          <w:color w:val="222222"/>
          <w:sz w:val="22"/>
        </w:rPr>
        <w:t>Yazılabilir SQLite veritabanı konumu</w:t>
      </w:r>
    </w:p>
    <w:p>
      <w:pPr>
        <w:pStyle w:val="Heading1"/>
      </w:pPr>
      <w:r>
        <w:t>Kurulum komutları</w:t>
      </w:r>
    </w:p>
    <w:p>
      <w:pPr>
        <w:pStyle w:val="IntenseQuote"/>
        <w:spacing w:after="120" w:line="300" w:lineRule="auto"/>
      </w:pPr>
      <w:r>
        <w:rPr>
          <w:rFonts w:ascii="Calibri" w:hAnsi="Calibri"/>
          <w:b w:val="0"/>
          <w:i w:val="0"/>
          <w:color w:val="222222"/>
          <w:sz w:val="22"/>
        </w:rPr>
        <w:t>python -m venv .venv</w:t>
      </w:r>
    </w:p>
    <w:p>
      <w:pPr>
        <w:pStyle w:val="IntenseQuote"/>
        <w:spacing w:after="120" w:line="300" w:lineRule="auto"/>
      </w:pPr>
      <w:r>
        <w:rPr>
          <w:rFonts w:ascii="Calibri" w:hAnsi="Calibri"/>
          <w:b w:val="0"/>
          <w:i w:val="0"/>
          <w:color w:val="222222"/>
          <w:sz w:val="22"/>
        </w:rPr>
        <w:t>source .venv/bin/activate</w:t>
      </w:r>
    </w:p>
    <w:p>
      <w:pPr>
        <w:pStyle w:val="IntenseQuote"/>
        <w:spacing w:after="120" w:line="300" w:lineRule="auto"/>
      </w:pPr>
      <w:r>
        <w:rPr>
          <w:rFonts w:ascii="Calibri" w:hAnsi="Calibri"/>
          <w:b w:val="0"/>
          <w:i w:val="0"/>
          <w:color w:val="222222"/>
          <w:sz w:val="22"/>
        </w:rPr>
        <w:t>pip install -r requirements.txt</w:t>
      </w:r>
    </w:p>
    <w:p>
      <w:pPr>
        <w:spacing w:after="120" w:line="300" w:lineRule="auto"/>
      </w:pPr>
      <w:r>
        <w:rPr>
          <w:rFonts w:ascii="Calibri" w:hAnsi="Calibri"/>
          <w:b w:val="0"/>
          <w:i w:val="0"/>
          <w:color w:val="222222"/>
          <w:sz w:val="22"/>
        </w:rPr>
        <w:t>Aktif ayar dosyası varsayılan olarak proje kökündeki config.yaml’dır. Veritabanı göreli yazılmışsa proje köküne göre çözülür.</w:t>
      </w:r>
    </w:p>
    <w:p>
      <w:pPr>
        <w:pStyle w:val="Title"/>
      </w:pPr>
      <w:r>
        <w:t>3. Çalıştırma komutları</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240"/>
            <w:shd w:fill="1F4E78"/>
            <w:tcMar>
              <w:top w:w="80" w:type="dxa"/>
              <w:start w:w="120" w:type="dxa"/>
              <w:bottom w:w="80" w:type="dxa"/>
              <w:end w:w="120" w:type="dxa"/>
            </w:tcMar>
            <w:vAlign w:val="center"/>
          </w:tcPr>
          <w:p>
            <w:pPr>
              <w:spacing w:after="0"/>
            </w:pPr>
            <w:r>
              <w:rPr>
                <w:rFonts w:ascii="Calibri" w:hAnsi="Calibri"/>
                <w:b/>
                <w:i w:val="0"/>
                <w:color w:val="FFFFFF"/>
                <w:sz w:val="18"/>
              </w:rPr>
              <w:t>Komut</w:t>
            </w:r>
          </w:p>
        </w:tc>
        <w:tc>
          <w:tcPr>
            <w:tcW w:type="dxa" w:w="4824"/>
            <w:shd w:fill="1F4E78"/>
            <w:tcMar>
              <w:top w:w="80" w:type="dxa"/>
              <w:start w:w="120" w:type="dxa"/>
              <w:bottom w:w="80" w:type="dxa"/>
              <w:end w:w="120" w:type="dxa"/>
            </w:tcMar>
            <w:vAlign w:val="center"/>
          </w:tcPr>
          <w:p>
            <w:pPr>
              <w:spacing w:after="0"/>
            </w:pPr>
            <w:r>
              <w:rPr>
                <w:rFonts w:ascii="Calibri" w:hAnsi="Calibri"/>
                <w:b/>
                <w:i w:val="0"/>
                <w:color w:val="FFFFFF"/>
                <w:sz w:val="18"/>
              </w:rPr>
              <w:t>Davranış</w:t>
            </w:r>
          </w:p>
        </w:tc>
        <w:tc>
          <w:tcPr>
            <w:tcW w:type="dxa" w:w="1008"/>
            <w:shd w:fill="1F4E78"/>
            <w:tcMar>
              <w:top w:w="80" w:type="dxa"/>
              <w:start w:w="120" w:type="dxa"/>
              <w:bottom w:w="80" w:type="dxa"/>
              <w:end w:w="120" w:type="dxa"/>
            </w:tcMar>
            <w:vAlign w:val="center"/>
          </w:tcPr>
          <w:p>
            <w:pPr>
              <w:spacing w:after="0"/>
            </w:pPr>
            <w:r>
              <w:rPr>
                <w:rFonts w:ascii="Calibri" w:hAnsi="Calibri"/>
                <w:b/>
                <w:i w:val="0"/>
                <w:color w:val="FFFFFF"/>
                <w:sz w:val="18"/>
              </w:rPr>
              <w:t>Emir?</w:t>
            </w:r>
          </w:p>
        </w:tc>
      </w:tr>
      <w:tr>
        <w:trPr>
          <w:cantSplit/>
        </w:trPr>
        <w:tc>
          <w:tcPr>
            <w:tcW w:type="dxa" w:w="3240"/>
            <w:tcMar>
              <w:top w:w="80" w:type="dxa"/>
              <w:start w:w="120" w:type="dxa"/>
              <w:bottom w:w="80" w:type="dxa"/>
              <w:end w:w="120" w:type="dxa"/>
            </w:tcMar>
            <w:vAlign w:val="center"/>
          </w:tcPr>
          <w:p>
            <w:pPr>
              <w:spacing w:after="0"/>
            </w:pPr>
            <w:r>
              <w:rPr>
                <w:rFonts w:ascii="Calibri" w:hAnsi="Calibri"/>
                <w:b w:val="0"/>
                <w:i w:val="0"/>
                <w:color w:val="222222"/>
                <w:sz w:val="18"/>
              </w:rPr>
              <w:t>python main.py</w:t>
            </w:r>
          </w:p>
        </w:tc>
        <w:tc>
          <w:tcPr>
            <w:tcW w:type="dxa" w:w="4824"/>
            <w:tcMar>
              <w:top w:w="80" w:type="dxa"/>
              <w:start w:w="120" w:type="dxa"/>
              <w:bottom w:w="80" w:type="dxa"/>
              <w:end w:w="120" w:type="dxa"/>
            </w:tcMar>
            <w:vAlign w:val="center"/>
          </w:tcPr>
          <w:p>
            <w:pPr>
              <w:spacing w:after="0"/>
            </w:pPr>
            <w:r>
              <w:rPr>
                <w:rFonts w:ascii="Calibri" w:hAnsi="Calibri"/>
                <w:b w:val="0"/>
                <w:i w:val="0"/>
                <w:color w:val="222222"/>
                <w:sz w:val="18"/>
              </w:rPr>
              <w:t>Scheduler ile sürekli PAPER döngüsü</w:t>
            </w:r>
          </w:p>
        </w:tc>
        <w:tc>
          <w:tcPr>
            <w:tcW w:type="dxa" w:w="1008"/>
            <w:tcMar>
              <w:top w:w="80" w:type="dxa"/>
              <w:start w:w="120" w:type="dxa"/>
              <w:bottom w:w="80" w:type="dxa"/>
              <w:end w:w="120" w:type="dxa"/>
            </w:tcMar>
            <w:vAlign w:val="center"/>
          </w:tcPr>
          <w:p>
            <w:pPr>
              <w:spacing w:after="0"/>
            </w:pPr>
            <w:r>
              <w:rPr>
                <w:rFonts w:ascii="Calibri" w:hAnsi="Calibri"/>
                <w:b w:val="0"/>
                <w:i w:val="0"/>
                <w:color w:val="222222"/>
                <w:sz w:val="18"/>
              </w:rPr>
              <w:t>Sanal PAPER</w:t>
            </w:r>
          </w:p>
        </w:tc>
      </w:tr>
      <w:tr>
        <w:trPr>
          <w:cantSplit/>
        </w:trPr>
        <w:tc>
          <w:tcPr>
            <w:tcW w:type="dxa" w:w="3240"/>
            <w:tcMar>
              <w:top w:w="80" w:type="dxa"/>
              <w:start w:w="120" w:type="dxa"/>
              <w:bottom w:w="80" w:type="dxa"/>
              <w:end w:w="120" w:type="dxa"/>
            </w:tcMar>
            <w:vAlign w:val="center"/>
            <w:shd w:fill="F7F9FB"/>
          </w:tcPr>
          <w:p>
            <w:pPr>
              <w:spacing w:after="0"/>
            </w:pPr>
            <w:r>
              <w:rPr>
                <w:rFonts w:ascii="Calibri" w:hAnsi="Calibri"/>
                <w:b w:val="0"/>
                <w:i w:val="0"/>
                <w:color w:val="222222"/>
                <w:sz w:val="18"/>
              </w:rPr>
              <w:t>python main.py --once</w:t>
            </w:r>
          </w:p>
        </w:tc>
        <w:tc>
          <w:tcPr>
            <w:tcW w:type="dxa" w:w="4824"/>
            <w:tcMar>
              <w:top w:w="80" w:type="dxa"/>
              <w:start w:w="120" w:type="dxa"/>
              <w:bottom w:w="80" w:type="dxa"/>
              <w:end w:w="120" w:type="dxa"/>
            </w:tcMar>
            <w:vAlign w:val="center"/>
            <w:shd w:fill="F7F9FB"/>
          </w:tcPr>
          <w:p>
            <w:pPr>
              <w:spacing w:after="0"/>
            </w:pPr>
            <w:r>
              <w:rPr>
                <w:rFonts w:ascii="Calibri" w:hAnsi="Calibri"/>
                <w:b w:val="0"/>
                <w:i w:val="0"/>
                <w:color w:val="222222"/>
                <w:sz w:val="18"/>
              </w:rPr>
              <w:t>Tek tam döngü</w:t>
            </w:r>
          </w:p>
        </w:tc>
        <w:tc>
          <w:tcPr>
            <w:tcW w:type="dxa" w:w="1008"/>
            <w:tcMar>
              <w:top w:w="80" w:type="dxa"/>
              <w:start w:w="120" w:type="dxa"/>
              <w:bottom w:w="80" w:type="dxa"/>
              <w:end w:w="120" w:type="dxa"/>
            </w:tcMar>
            <w:vAlign w:val="center"/>
            <w:shd w:fill="F7F9FB"/>
          </w:tcPr>
          <w:p>
            <w:pPr>
              <w:spacing w:after="0"/>
            </w:pPr>
            <w:r>
              <w:rPr>
                <w:rFonts w:ascii="Calibri" w:hAnsi="Calibri"/>
                <w:b w:val="0"/>
                <w:i w:val="0"/>
                <w:color w:val="222222"/>
                <w:sz w:val="18"/>
              </w:rPr>
              <w:t>Sanal PAPER</w:t>
            </w:r>
          </w:p>
        </w:tc>
      </w:tr>
      <w:tr>
        <w:trPr>
          <w:cantSplit/>
        </w:trPr>
        <w:tc>
          <w:tcPr>
            <w:tcW w:type="dxa" w:w="3240"/>
            <w:tcMar>
              <w:top w:w="80" w:type="dxa"/>
              <w:start w:w="120" w:type="dxa"/>
              <w:bottom w:w="80" w:type="dxa"/>
              <w:end w:w="120" w:type="dxa"/>
            </w:tcMar>
            <w:vAlign w:val="center"/>
          </w:tcPr>
          <w:p>
            <w:pPr>
              <w:spacing w:after="0"/>
            </w:pPr>
            <w:r>
              <w:rPr>
                <w:rFonts w:ascii="Calibri" w:hAnsi="Calibri"/>
                <w:b w:val="0"/>
                <w:i w:val="0"/>
                <w:color w:val="222222"/>
                <w:sz w:val="18"/>
              </w:rPr>
              <w:t>python main.py --dry-run</w:t>
            </w:r>
          </w:p>
        </w:tc>
        <w:tc>
          <w:tcPr>
            <w:tcW w:type="dxa" w:w="4824"/>
            <w:tcMar>
              <w:top w:w="80" w:type="dxa"/>
              <w:start w:w="120" w:type="dxa"/>
              <w:bottom w:w="80" w:type="dxa"/>
              <w:end w:w="120" w:type="dxa"/>
            </w:tcMar>
            <w:vAlign w:val="center"/>
          </w:tcPr>
          <w:p>
            <w:pPr>
              <w:spacing w:after="0"/>
            </w:pPr>
            <w:r>
              <w:rPr>
                <w:rFonts w:ascii="Calibri" w:hAnsi="Calibri"/>
                <w:b w:val="0"/>
                <w:i w:val="0"/>
                <w:color w:val="222222"/>
                <w:sz w:val="18"/>
              </w:rPr>
              <w:t>Hesaplar; yeni kalıcı işlem yapmaz</w:t>
            </w:r>
          </w:p>
        </w:tc>
        <w:tc>
          <w:tcPr>
            <w:tcW w:type="dxa" w:w="1008"/>
            <w:tcMar>
              <w:top w:w="80" w:type="dxa"/>
              <w:start w:w="120" w:type="dxa"/>
              <w:bottom w:w="80" w:type="dxa"/>
              <w:end w:w="120" w:type="dxa"/>
            </w:tcMar>
            <w:vAlign w:val="center"/>
          </w:tcPr>
          <w:p>
            <w:pPr>
              <w:spacing w:after="0"/>
            </w:pPr>
            <w:r>
              <w:rPr>
                <w:rFonts w:ascii="Calibri" w:hAnsi="Calibri"/>
                <w:b w:val="0"/>
                <w:i w:val="0"/>
                <w:color w:val="222222"/>
                <w:sz w:val="18"/>
              </w:rPr>
              <w:t>Hayır</w:t>
            </w:r>
          </w:p>
        </w:tc>
      </w:tr>
      <w:tr>
        <w:trPr>
          <w:cantSplit/>
        </w:trPr>
        <w:tc>
          <w:tcPr>
            <w:tcW w:type="dxa" w:w="3240"/>
            <w:tcMar>
              <w:top w:w="80" w:type="dxa"/>
              <w:start w:w="120" w:type="dxa"/>
              <w:bottom w:w="80" w:type="dxa"/>
              <w:end w:w="120" w:type="dxa"/>
            </w:tcMar>
            <w:vAlign w:val="center"/>
            <w:shd w:fill="F7F9FB"/>
          </w:tcPr>
          <w:p>
            <w:pPr>
              <w:spacing w:after="0"/>
            </w:pPr>
            <w:r>
              <w:rPr>
                <w:rFonts w:ascii="Calibri" w:hAnsi="Calibri"/>
                <w:b w:val="0"/>
                <w:i w:val="0"/>
                <w:color w:val="222222"/>
                <w:sz w:val="18"/>
              </w:rPr>
              <w:t>python main.py --once --verbose</w:t>
            </w:r>
          </w:p>
        </w:tc>
        <w:tc>
          <w:tcPr>
            <w:tcW w:type="dxa" w:w="4824"/>
            <w:tcMar>
              <w:top w:w="80" w:type="dxa"/>
              <w:start w:w="120" w:type="dxa"/>
              <w:bottom w:w="80" w:type="dxa"/>
              <w:end w:w="120" w:type="dxa"/>
            </w:tcMar>
            <w:vAlign w:val="center"/>
            <w:shd w:fill="F7F9FB"/>
          </w:tcPr>
          <w:p>
            <w:pPr>
              <w:spacing w:after="0"/>
            </w:pPr>
            <w:r>
              <w:rPr>
                <w:rFonts w:ascii="Calibri" w:hAnsi="Calibri"/>
                <w:b w:val="0"/>
                <w:i w:val="0"/>
                <w:color w:val="222222"/>
                <w:sz w:val="18"/>
              </w:rPr>
              <w:t>Tek döngü + ayrıntılı teşhis</w:t>
            </w:r>
          </w:p>
        </w:tc>
        <w:tc>
          <w:tcPr>
            <w:tcW w:type="dxa" w:w="1008"/>
            <w:tcMar>
              <w:top w:w="80" w:type="dxa"/>
              <w:start w:w="120" w:type="dxa"/>
              <w:bottom w:w="80" w:type="dxa"/>
              <w:end w:w="120" w:type="dxa"/>
            </w:tcMar>
            <w:vAlign w:val="center"/>
            <w:shd w:fill="F7F9FB"/>
          </w:tcPr>
          <w:p>
            <w:pPr>
              <w:spacing w:after="0"/>
            </w:pPr>
            <w:r>
              <w:rPr>
                <w:rFonts w:ascii="Calibri" w:hAnsi="Calibri"/>
                <w:b w:val="0"/>
                <w:i w:val="0"/>
                <w:color w:val="222222"/>
                <w:sz w:val="18"/>
              </w:rPr>
              <w:t>Sanal PAPER</w:t>
            </w:r>
          </w:p>
        </w:tc>
      </w:tr>
      <w:tr>
        <w:trPr>
          <w:cantSplit/>
        </w:trPr>
        <w:tc>
          <w:tcPr>
            <w:tcW w:type="dxa" w:w="3240"/>
            <w:tcMar>
              <w:top w:w="80" w:type="dxa"/>
              <w:start w:w="120" w:type="dxa"/>
              <w:bottom w:w="80" w:type="dxa"/>
              <w:end w:w="120" w:type="dxa"/>
            </w:tcMar>
            <w:vAlign w:val="center"/>
          </w:tcPr>
          <w:p>
            <w:pPr>
              <w:spacing w:after="0"/>
            </w:pPr>
            <w:r>
              <w:rPr>
                <w:rFonts w:ascii="Calibri" w:hAnsi="Calibri"/>
                <w:b w:val="0"/>
                <w:i w:val="0"/>
                <w:color w:val="222222"/>
                <w:sz w:val="18"/>
              </w:rPr>
              <w:t>python main.py --status</w:t>
            </w:r>
          </w:p>
        </w:tc>
        <w:tc>
          <w:tcPr>
            <w:tcW w:type="dxa" w:w="4824"/>
            <w:tcMar>
              <w:top w:w="80" w:type="dxa"/>
              <w:start w:w="120" w:type="dxa"/>
              <w:bottom w:w="80" w:type="dxa"/>
              <w:end w:w="120" w:type="dxa"/>
            </w:tcMar>
            <w:vAlign w:val="center"/>
          </w:tcPr>
          <w:p>
            <w:pPr>
              <w:spacing w:after="0"/>
            </w:pPr>
            <w:r>
              <w:rPr>
                <w:rFonts w:ascii="Calibri" w:hAnsi="Calibri"/>
                <w:b w:val="0"/>
                <w:i w:val="0"/>
                <w:color w:val="222222"/>
                <w:sz w:val="18"/>
              </w:rPr>
              <w:t>Portföy/pozisyon durumunu okur</w:t>
            </w:r>
          </w:p>
        </w:tc>
        <w:tc>
          <w:tcPr>
            <w:tcW w:type="dxa" w:w="1008"/>
            <w:tcMar>
              <w:top w:w="80" w:type="dxa"/>
              <w:start w:w="120" w:type="dxa"/>
              <w:bottom w:w="80" w:type="dxa"/>
              <w:end w:w="120" w:type="dxa"/>
            </w:tcMar>
            <w:vAlign w:val="center"/>
          </w:tcPr>
          <w:p>
            <w:pPr>
              <w:spacing w:after="0"/>
            </w:pPr>
            <w:r>
              <w:rPr>
                <w:rFonts w:ascii="Calibri" w:hAnsi="Calibri"/>
                <w:b w:val="0"/>
                <w:i w:val="0"/>
                <w:color w:val="222222"/>
                <w:sz w:val="18"/>
              </w:rPr>
              <w:t>Hayır</w:t>
            </w:r>
          </w:p>
        </w:tc>
      </w:tr>
      <w:tr>
        <w:trPr>
          <w:cantSplit/>
        </w:trPr>
        <w:tc>
          <w:tcPr>
            <w:tcW w:type="dxa" w:w="3240"/>
            <w:tcMar>
              <w:top w:w="80" w:type="dxa"/>
              <w:start w:w="120" w:type="dxa"/>
              <w:bottom w:w="80" w:type="dxa"/>
              <w:end w:w="120" w:type="dxa"/>
            </w:tcMar>
            <w:vAlign w:val="center"/>
            <w:shd w:fill="F7F9FB"/>
          </w:tcPr>
          <w:p>
            <w:pPr>
              <w:spacing w:after="0"/>
            </w:pPr>
            <w:r>
              <w:rPr>
                <w:rFonts w:ascii="Calibri" w:hAnsi="Calibri"/>
                <w:b w:val="0"/>
                <w:i w:val="0"/>
                <w:color w:val="222222"/>
                <w:sz w:val="18"/>
              </w:rPr>
              <w:t>python main.py --report</w:t>
            </w:r>
          </w:p>
        </w:tc>
        <w:tc>
          <w:tcPr>
            <w:tcW w:type="dxa" w:w="4824"/>
            <w:tcMar>
              <w:top w:w="80" w:type="dxa"/>
              <w:start w:w="120" w:type="dxa"/>
              <w:bottom w:w="80" w:type="dxa"/>
              <w:end w:w="120" w:type="dxa"/>
            </w:tcMar>
            <w:vAlign w:val="center"/>
            <w:shd w:fill="F7F9FB"/>
          </w:tcPr>
          <w:p>
            <w:pPr>
              <w:spacing w:after="0"/>
            </w:pPr>
            <w:r>
              <w:rPr>
                <w:rFonts w:ascii="Calibri" w:hAnsi="Calibri"/>
                <w:b w:val="0"/>
                <w:i w:val="0"/>
                <w:color w:val="222222"/>
                <w:sz w:val="18"/>
              </w:rPr>
              <w:t>Portföy modelini raporlar</w:t>
            </w:r>
          </w:p>
        </w:tc>
        <w:tc>
          <w:tcPr>
            <w:tcW w:type="dxa" w:w="1008"/>
            <w:tcMar>
              <w:top w:w="80" w:type="dxa"/>
              <w:start w:w="120" w:type="dxa"/>
              <w:bottom w:w="80" w:type="dxa"/>
              <w:end w:w="120" w:type="dxa"/>
            </w:tcMar>
            <w:vAlign w:val="center"/>
            <w:shd w:fill="F7F9FB"/>
          </w:tcPr>
          <w:p>
            <w:pPr>
              <w:spacing w:after="0"/>
            </w:pPr>
            <w:r>
              <w:rPr>
                <w:rFonts w:ascii="Calibri" w:hAnsi="Calibri"/>
                <w:b w:val="0"/>
                <w:i w:val="0"/>
                <w:color w:val="222222"/>
                <w:sz w:val="18"/>
              </w:rPr>
              <w:t>Hayır</w:t>
            </w:r>
          </w:p>
        </w:tc>
      </w:tr>
      <w:tr>
        <w:trPr>
          <w:cantSplit/>
        </w:trPr>
        <w:tc>
          <w:tcPr>
            <w:tcW w:type="dxa" w:w="3240"/>
            <w:tcMar>
              <w:top w:w="80" w:type="dxa"/>
              <w:start w:w="120" w:type="dxa"/>
              <w:bottom w:w="80" w:type="dxa"/>
              <w:end w:w="120" w:type="dxa"/>
            </w:tcMar>
            <w:vAlign w:val="center"/>
          </w:tcPr>
          <w:p>
            <w:pPr>
              <w:spacing w:after="0"/>
            </w:pPr>
            <w:r>
              <w:rPr>
                <w:rFonts w:ascii="Calibri" w:hAnsi="Calibri"/>
                <w:b w:val="0"/>
                <w:i w:val="0"/>
                <w:color w:val="222222"/>
                <w:sz w:val="18"/>
              </w:rPr>
              <w:t>python main.py --analyze-symbol THYAO</w:t>
            </w:r>
          </w:p>
        </w:tc>
        <w:tc>
          <w:tcPr>
            <w:tcW w:type="dxa" w:w="4824"/>
            <w:tcMar>
              <w:top w:w="80" w:type="dxa"/>
              <w:start w:w="120" w:type="dxa"/>
              <w:bottom w:w="80" w:type="dxa"/>
              <w:end w:w="120" w:type="dxa"/>
            </w:tcMar>
            <w:vAlign w:val="center"/>
          </w:tcPr>
          <w:p>
            <w:pPr>
              <w:spacing w:after="0"/>
            </w:pPr>
            <w:r>
              <w:rPr>
                <w:rFonts w:ascii="Calibri" w:hAnsi="Calibri"/>
                <w:b w:val="0"/>
                <w:i w:val="0"/>
                <w:color w:val="222222"/>
                <w:sz w:val="18"/>
              </w:rPr>
              <w:t>Tek hisseyi salt-okunur analiz eder</w:t>
            </w:r>
          </w:p>
        </w:tc>
        <w:tc>
          <w:tcPr>
            <w:tcW w:type="dxa" w:w="1008"/>
            <w:tcMar>
              <w:top w:w="80" w:type="dxa"/>
              <w:start w:w="120" w:type="dxa"/>
              <w:bottom w:w="80" w:type="dxa"/>
              <w:end w:w="120" w:type="dxa"/>
            </w:tcMar>
            <w:vAlign w:val="center"/>
          </w:tcPr>
          <w:p>
            <w:pPr>
              <w:spacing w:after="0"/>
            </w:pPr>
            <w:r>
              <w:rPr>
                <w:rFonts w:ascii="Calibri" w:hAnsi="Calibri"/>
                <w:b w:val="0"/>
                <w:i w:val="0"/>
                <w:color w:val="222222"/>
                <w:sz w:val="18"/>
              </w:rPr>
              <w:t>Hayır</w:t>
            </w:r>
          </w:p>
        </w:tc>
      </w:tr>
      <w:tr>
        <w:trPr>
          <w:cantSplit/>
        </w:trPr>
        <w:tc>
          <w:tcPr>
            <w:tcW w:type="dxa" w:w="3240"/>
            <w:tcMar>
              <w:top w:w="80" w:type="dxa"/>
              <w:start w:w="120" w:type="dxa"/>
              <w:bottom w:w="80" w:type="dxa"/>
              <w:end w:w="120" w:type="dxa"/>
            </w:tcMar>
            <w:vAlign w:val="center"/>
            <w:shd w:fill="F7F9FB"/>
          </w:tcPr>
          <w:p>
            <w:pPr>
              <w:spacing w:after="0"/>
            </w:pPr>
            <w:r>
              <w:rPr>
                <w:rFonts w:ascii="Calibri" w:hAnsi="Calibri"/>
                <w:b w:val="0"/>
                <w:i w:val="0"/>
                <w:color w:val="222222"/>
                <w:sz w:val="18"/>
              </w:rPr>
              <w:t>python main.py --diagnose-intelligence</w:t>
            </w:r>
          </w:p>
        </w:tc>
        <w:tc>
          <w:tcPr>
            <w:tcW w:type="dxa" w:w="4824"/>
            <w:tcMar>
              <w:top w:w="80" w:type="dxa"/>
              <w:start w:w="120" w:type="dxa"/>
              <w:bottom w:w="80" w:type="dxa"/>
              <w:end w:w="120" w:type="dxa"/>
            </w:tcMar>
            <w:vAlign w:val="center"/>
            <w:shd w:fill="F7F9FB"/>
          </w:tcPr>
          <w:p>
            <w:pPr>
              <w:spacing w:after="0"/>
            </w:pPr>
            <w:r>
              <w:rPr>
                <w:rFonts w:ascii="Calibri" w:hAnsi="Calibri"/>
                <w:b w:val="0"/>
                <w:i w:val="0"/>
                <w:color w:val="222222"/>
                <w:sz w:val="18"/>
              </w:rPr>
              <w:t>Haber/KAP/OpenAI kaynaklarını sınar</w:t>
            </w:r>
          </w:p>
        </w:tc>
        <w:tc>
          <w:tcPr>
            <w:tcW w:type="dxa" w:w="1008"/>
            <w:tcMar>
              <w:top w:w="80" w:type="dxa"/>
              <w:start w:w="120" w:type="dxa"/>
              <w:bottom w:w="80" w:type="dxa"/>
              <w:end w:w="120" w:type="dxa"/>
            </w:tcMar>
            <w:vAlign w:val="center"/>
            <w:shd w:fill="F7F9FB"/>
          </w:tcPr>
          <w:p>
            <w:pPr>
              <w:spacing w:after="0"/>
            </w:pPr>
            <w:r>
              <w:rPr>
                <w:rFonts w:ascii="Calibri" w:hAnsi="Calibri"/>
                <w:b w:val="0"/>
                <w:i w:val="0"/>
                <w:color w:val="222222"/>
                <w:sz w:val="18"/>
              </w:rPr>
              <w:t>Hayır</w:t>
            </w:r>
          </w:p>
        </w:tc>
      </w:tr>
      <w:tr>
        <w:trPr>
          <w:cantSplit/>
        </w:trPr>
        <w:tc>
          <w:tcPr>
            <w:tcW w:type="dxa" w:w="3240"/>
            <w:tcMar>
              <w:top w:w="80" w:type="dxa"/>
              <w:start w:w="120" w:type="dxa"/>
              <w:bottom w:w="80" w:type="dxa"/>
              <w:end w:w="120" w:type="dxa"/>
            </w:tcMar>
            <w:vAlign w:val="center"/>
          </w:tcPr>
          <w:p>
            <w:pPr>
              <w:spacing w:after="0"/>
            </w:pPr>
            <w:r>
              <w:rPr>
                <w:rFonts w:ascii="Calibri" w:hAnsi="Calibri"/>
                <w:b w:val="0"/>
                <w:i w:val="0"/>
                <w:color w:val="222222"/>
                <w:sz w:val="18"/>
              </w:rPr>
              <w:t>python main.py --diagnose-regime</w:t>
            </w:r>
          </w:p>
        </w:tc>
        <w:tc>
          <w:tcPr>
            <w:tcW w:type="dxa" w:w="4824"/>
            <w:tcMar>
              <w:top w:w="80" w:type="dxa"/>
              <w:start w:w="120" w:type="dxa"/>
              <w:bottom w:w="80" w:type="dxa"/>
              <w:end w:w="120" w:type="dxa"/>
            </w:tcMar>
            <w:vAlign w:val="center"/>
          </w:tcPr>
          <w:p>
            <w:pPr>
              <w:spacing w:after="0"/>
            </w:pPr>
            <w:r>
              <w:rPr>
                <w:rFonts w:ascii="Calibri" w:hAnsi="Calibri"/>
                <w:b w:val="0"/>
                <w:i w:val="0"/>
                <w:color w:val="222222"/>
                <w:sz w:val="18"/>
              </w:rPr>
              <w:t>Makro kaynakları ve rejimi sınar</w:t>
            </w:r>
          </w:p>
        </w:tc>
        <w:tc>
          <w:tcPr>
            <w:tcW w:type="dxa" w:w="1008"/>
            <w:tcMar>
              <w:top w:w="80" w:type="dxa"/>
              <w:start w:w="120" w:type="dxa"/>
              <w:bottom w:w="80" w:type="dxa"/>
              <w:end w:w="120" w:type="dxa"/>
            </w:tcMar>
            <w:vAlign w:val="center"/>
          </w:tcPr>
          <w:p>
            <w:pPr>
              <w:spacing w:after="0"/>
            </w:pPr>
            <w:r>
              <w:rPr>
                <w:rFonts w:ascii="Calibri" w:hAnsi="Calibri"/>
                <w:b w:val="0"/>
                <w:i w:val="0"/>
                <w:color w:val="222222"/>
                <w:sz w:val="18"/>
              </w:rPr>
              <w:t>Hayır</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9B1C1C"/>
                <w:sz w:val="22"/>
              </w:rPr>
              <w:t>Dikkat: --reset</w:t>
              <w:br/>
            </w:r>
            <w:r>
              <w:rPr>
                <w:rFonts w:ascii="Calibri" w:hAnsi="Calibri"/>
                <w:b w:val="0"/>
                <w:i w:val="0"/>
                <w:color w:val="222222"/>
                <w:sz w:val="21"/>
              </w:rPr>
              <w:t>Bu komut veritabanı dosyasını silerek PAPER portföyünü sıfırlar. Normal kullanım veya teşhis için gerekli değildir. Mevcut pozisyon ve işlem geçmişi korunmak isteniyorsa çalıştırılmamalıdır.</w:t>
            </w:r>
          </w:p>
        </w:tc>
      </w:tr>
    </w:tbl>
    <w:p>
      <w:pPr>
        <w:spacing w:after="0"/>
      </w:pPr>
    </w:p>
    <w:p>
      <w:pPr>
        <w:pStyle w:val="Title"/>
      </w:pPr>
      <w:r>
        <w:t>4. Mimari ve veri akışı</w:t>
      </w:r>
    </w:p>
    <w:p>
      <w:pPr>
        <w:pStyle w:val="ListNumber"/>
        <w:spacing w:after="100"/>
      </w:pPr>
      <w:r>
        <w:rPr>
          <w:rFonts w:ascii="Calibri" w:hAnsi="Calibri"/>
          <w:b w:val="0"/>
          <w:i w:val="0"/>
          <w:color w:val="222222"/>
          <w:sz w:val="22"/>
        </w:rPr>
        <w:t>Açık pozisyonları al ve güncel fiyatlarla çıkış koşullarını kontrol et.</w:t>
      </w:r>
    </w:p>
    <w:p>
      <w:pPr>
        <w:pStyle w:val="ListNumber"/>
        <w:spacing w:after="100"/>
      </w:pPr>
      <w:r>
        <w:rPr>
          <w:rFonts w:ascii="Calibri" w:hAnsi="Calibri"/>
          <w:b w:val="0"/>
          <w:i w:val="0"/>
          <w:color w:val="222222"/>
          <w:sz w:val="22"/>
        </w:rPr>
        <w:t>Aktif BIST sembol evrenini yükle ve OHLCV verisini çek.</w:t>
      </w:r>
    </w:p>
    <w:p>
      <w:pPr>
        <w:pStyle w:val="ListNumber"/>
        <w:spacing w:after="100"/>
      </w:pPr>
      <w:r>
        <w:rPr>
          <w:rFonts w:ascii="Calibri" w:hAnsi="Calibri"/>
          <w:b w:val="0"/>
          <w:i w:val="0"/>
          <w:color w:val="222222"/>
          <w:sz w:val="22"/>
        </w:rPr>
        <w:t>Likidite filtresini geçen hisseler için teknik scanner puanları üret.</w:t>
      </w:r>
    </w:p>
    <w:p>
      <w:pPr>
        <w:pStyle w:val="ListNumber"/>
        <w:spacing w:after="100"/>
      </w:pPr>
      <w:r>
        <w:rPr>
          <w:rFonts w:ascii="Calibri" w:hAnsi="Calibri"/>
          <w:b w:val="0"/>
          <w:i w:val="0"/>
          <w:color w:val="222222"/>
          <w:sz w:val="22"/>
        </w:rPr>
        <w:t>En yüksek scanner adaylarına KAP ve haber olaylarını bağla; materyaliteyi deterministik filtrele.</w:t>
      </w:r>
    </w:p>
    <w:p>
      <w:pPr>
        <w:pStyle w:val="ListNumber"/>
        <w:spacing w:after="100"/>
      </w:pPr>
      <w:r>
        <w:rPr>
          <w:rFonts w:ascii="Calibri" w:hAnsi="Calibri"/>
          <w:b w:val="0"/>
          <w:i w:val="0"/>
          <w:color w:val="222222"/>
          <w:sz w:val="22"/>
        </w:rPr>
        <w:t>Yalnızca kanıt bulunan materyal olayları LLM’ye gönder; sonuç yoksa teknik-only devam et.</w:t>
      </w:r>
    </w:p>
    <w:p>
      <w:pPr>
        <w:pStyle w:val="ListNumber"/>
        <w:spacing w:after="100"/>
      </w:pPr>
      <w:r>
        <w:rPr>
          <w:rFonts w:ascii="Calibri" w:hAnsi="Calibri"/>
          <w:b w:val="0"/>
          <w:i w:val="0"/>
          <w:color w:val="222222"/>
          <w:sz w:val="22"/>
        </w:rPr>
        <w:t>Market Regime katmanını yenile; piyasa ve sektör ayarını hisse puanına overlay olarak uygula.</w:t>
      </w:r>
    </w:p>
    <w:p>
      <w:pPr>
        <w:pStyle w:val="ListNumber"/>
        <w:spacing w:after="100"/>
      </w:pPr>
      <w:r>
        <w:rPr>
          <w:rFonts w:ascii="Calibri" w:hAnsi="Calibri"/>
          <w:b w:val="0"/>
          <w:i w:val="0"/>
          <w:color w:val="222222"/>
          <w:sz w:val="22"/>
        </w:rPr>
        <w:t>BUY/SELL önerisini Risk Engine’e gönder; miktar ve güvenlik limitlerini burada sonlandır.</w:t>
      </w:r>
    </w:p>
    <w:p>
      <w:pPr>
        <w:pStyle w:val="ListNumber"/>
        <w:spacing w:after="100"/>
      </w:pPr>
      <w:r>
        <w:rPr>
          <w:rFonts w:ascii="Calibri" w:hAnsi="Calibri"/>
          <w:b w:val="0"/>
          <w:i w:val="0"/>
          <w:color w:val="222222"/>
          <w:sz w:val="22"/>
        </w:rPr>
        <w:t>Risk onaylarsa PaperBroker sanal fill, komisyon, slippage, nakit ve pozisyon kayıtlarını günceller.</w:t>
      </w:r>
    </w:p>
    <w:p>
      <w:pPr>
        <w:pStyle w:val="ListNumber"/>
        <w:spacing w:after="100"/>
      </w:pPr>
      <w:r>
        <w:rPr>
          <w:rFonts w:ascii="Calibri" w:hAnsi="Calibri"/>
          <w:b w:val="0"/>
          <w:i w:val="0"/>
          <w:color w:val="222222"/>
          <w:sz w:val="22"/>
        </w:rPr>
        <w:t>Döngü özeti, karar açıklamaları ve dashboard verileri SQLite’a yazılır.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7A5A00"/>
                <w:sz w:val="22"/>
              </w:rPr>
              <w:t>Öncelik kuralı</w:t>
              <w:br/>
            </w:r>
            <w:r>
              <w:rPr>
                <w:rFonts w:ascii="Calibri" w:hAnsi="Calibri"/>
                <w:b w:val="0"/>
                <w:i w:val="0"/>
                <w:color w:val="222222"/>
                <w:sz w:val="21"/>
              </w:rPr>
              <w:t>Açık pozisyonların korunması yeni fırsat aramadan önce gelir. Açık pozisyon fiyatı bayatsa yeni girişler bloke edilir; sistem eski fiyatı güncelmiş gibi kabul etmez.</w:t>
            </w:r>
          </w:p>
        </w:tc>
      </w:tr>
    </w:tbl>
    <w:p>
      <w:pPr>
        <w:spacing w:after="0"/>
      </w:pPr>
    </w:p>
    <w:p>
      <w:pPr>
        <w:pStyle w:val="Title"/>
      </w:pPr>
      <w:r>
        <w:t>5. Piyasa verisi ve sembol evreni</w:t>
      </w:r>
    </w:p>
    <w:p>
      <w:pPr>
        <w:spacing w:after="120" w:line="300" w:lineRule="auto"/>
      </w:pPr>
      <w:r>
        <w:rPr>
          <w:rFonts w:ascii="Calibri" w:hAnsi="Calibri"/>
          <w:b w:val="0"/>
          <w:i w:val="0"/>
          <w:color w:val="222222"/>
          <w:sz w:val="22"/>
        </w:rPr>
        <w:t>Gerçek çalışma modunda YahooBistProvider kullanılır. Aktif semboller önce KAP aktif şirket listesinden yüklenmeye çalışılır; bu kaynak çalışmazsa bakımı yapılan data/bist_symbols.txt dosyası kullanılır. Semboller .IS biçimine normalize edilir.</w:t>
      </w:r>
    </w:p>
    <w:p>
      <w:pPr>
        <w:pStyle w:val="Heading1"/>
      </w:pPr>
      <w:r>
        <w:t>Veri kalite kontrolleri</w:t>
      </w:r>
    </w:p>
    <w:p>
      <w:pPr>
        <w:pStyle w:val="ListBullet"/>
        <w:spacing w:after="80" w:line="288" w:lineRule="auto"/>
      </w:pPr>
      <w:r>
        <w:rPr>
          <w:rFonts w:ascii="Calibri" w:hAnsi="Calibri"/>
          <w:b w:val="0"/>
          <w:i w:val="0"/>
          <w:color w:val="222222"/>
          <w:sz w:val="22"/>
        </w:rPr>
        <w:t>Minimum bar sayısı: 22</w:t>
      </w:r>
    </w:p>
    <w:p>
      <w:pPr>
        <w:pStyle w:val="ListBullet"/>
        <w:spacing w:after="80" w:line="288" w:lineRule="auto"/>
      </w:pPr>
      <w:r>
        <w:rPr>
          <w:rFonts w:ascii="Calibri" w:hAnsi="Calibri"/>
          <w:b w:val="0"/>
          <w:i w:val="0"/>
          <w:color w:val="222222"/>
          <w:sz w:val="22"/>
        </w:rPr>
        <w:t>Bar zamanları kesin artan sırada olmalı</w:t>
      </w:r>
    </w:p>
    <w:p>
      <w:pPr>
        <w:pStyle w:val="ListBullet"/>
        <w:spacing w:after="80" w:line="288" w:lineRule="auto"/>
      </w:pPr>
      <w:r>
        <w:rPr>
          <w:rFonts w:ascii="Calibri" w:hAnsi="Calibri"/>
          <w:b w:val="0"/>
          <w:i w:val="0"/>
          <w:color w:val="222222"/>
          <w:sz w:val="22"/>
        </w:rPr>
        <w:t>OHLC ilişkileri geçerli olmalı; sayılar sonlu olmalı</w:t>
      </w:r>
    </w:p>
    <w:p>
      <w:pPr>
        <w:pStyle w:val="ListBullet"/>
        <w:spacing w:after="80" w:line="288" w:lineRule="auto"/>
      </w:pPr>
      <w:r>
        <w:rPr>
          <w:rFonts w:ascii="Calibri" w:hAnsi="Calibri"/>
          <w:b w:val="0"/>
          <w:i w:val="0"/>
          <w:color w:val="222222"/>
          <w:sz w:val="22"/>
        </w:rPr>
        <w:t>İşlem saatinde varsayılan maksimum veri yaşı 30 dakika</w:t>
      </w:r>
    </w:p>
    <w:p>
      <w:pPr>
        <w:pStyle w:val="ListBullet"/>
        <w:spacing w:after="80" w:line="288" w:lineRule="auto"/>
      </w:pPr>
      <w:r>
        <w:rPr>
          <w:rFonts w:ascii="Calibri" w:hAnsi="Calibri"/>
          <w:b w:val="0"/>
          <w:i w:val="0"/>
          <w:color w:val="222222"/>
          <w:sz w:val="22"/>
        </w:rPr>
        <w:t>Minimum ortalama hacim: 100.000</w:t>
      </w:r>
    </w:p>
    <w:p>
      <w:pPr>
        <w:pStyle w:val="ListBullet"/>
        <w:spacing w:after="80" w:line="288" w:lineRule="auto"/>
      </w:pPr>
      <w:r>
        <w:rPr>
          <w:rFonts w:ascii="Calibri" w:hAnsi="Calibri"/>
          <w:b w:val="0"/>
          <w:i w:val="0"/>
          <w:color w:val="222222"/>
          <w:sz w:val="22"/>
        </w:rPr>
        <w:t>Minimum ortalama işlem tutarı: 1.000.000 TL</w:t>
      </w:r>
    </w:p>
    <w:p>
      <w:pPr>
        <w:pStyle w:val="ListBullet"/>
        <w:spacing w:after="80" w:line="288" w:lineRule="auto"/>
      </w:pPr>
      <w:r>
        <w:rPr>
          <w:rFonts w:ascii="Calibri" w:hAnsi="Calibri"/>
          <w:b w:val="0"/>
          <w:i w:val="0"/>
          <w:color w:val="222222"/>
          <w:sz w:val="22"/>
        </w:rPr>
        <w:t>Bir sembolün hatası tüm batch’i düşürmez; sembol bazında izole edilir</w:t>
      </w:r>
    </w:p>
    <w:p>
      <w:pPr>
        <w:pStyle w:val="Title"/>
      </w:pPr>
      <w:r>
        <w:t>6. Teknik scanner nasıl puanlar?</w:t>
      </w:r>
    </w:p>
    <w:p>
      <w:pPr>
        <w:spacing w:after="120" w:line="300" w:lineRule="auto"/>
      </w:pPr>
      <w:r>
        <w:rPr>
          <w:rFonts w:ascii="Calibri" w:hAnsi="Calibri"/>
          <w:b w:val="0"/>
          <w:i w:val="0"/>
          <w:color w:val="222222"/>
          <w:sz w:val="22"/>
        </w:rPr>
        <w:t>Scanner yalnızca OHLCV kullanır; bu aşamada LLM çağrılmaz. Önce göstergeler hesaplanır, likit olmayan hisse elenir, sonra 0–100 arası bileşenler oluşturulur.</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512"/>
            <w:shd w:fill="1F4E78"/>
            <w:tcMar>
              <w:top w:w="80" w:type="dxa"/>
              <w:start w:w="120" w:type="dxa"/>
              <w:bottom w:w="80" w:type="dxa"/>
              <w:end w:w="120" w:type="dxa"/>
            </w:tcMar>
            <w:vAlign w:val="center"/>
          </w:tcPr>
          <w:p>
            <w:pPr>
              <w:spacing w:after="0"/>
            </w:pPr>
            <w:r>
              <w:rPr>
                <w:rFonts w:ascii="Calibri" w:hAnsi="Calibri"/>
                <w:b/>
                <w:i w:val="0"/>
                <w:color w:val="FFFFFF"/>
                <w:sz w:val="18"/>
              </w:rPr>
              <w:t>Bileşen</w:t>
            </w:r>
          </w:p>
        </w:tc>
        <w:tc>
          <w:tcPr>
            <w:tcW w:type="dxa" w:w="6120"/>
            <w:shd w:fill="1F4E78"/>
            <w:tcMar>
              <w:top w:w="80" w:type="dxa"/>
              <w:start w:w="120" w:type="dxa"/>
              <w:bottom w:w="80" w:type="dxa"/>
              <w:end w:w="120" w:type="dxa"/>
            </w:tcMar>
            <w:vAlign w:val="center"/>
          </w:tcPr>
          <w:p>
            <w:pPr>
              <w:spacing w:after="0"/>
            </w:pPr>
            <w:r>
              <w:rPr>
                <w:rFonts w:ascii="Calibri" w:hAnsi="Calibri"/>
                <w:b/>
                <w:i w:val="0"/>
                <w:color w:val="FFFFFF"/>
                <w:sz w:val="18"/>
              </w:rPr>
              <w:t>Hesap mantığı</w:t>
            </w:r>
          </w:p>
        </w:tc>
        <w:tc>
          <w:tcPr>
            <w:tcW w:type="dxa" w:w="1440"/>
            <w:shd w:fill="1F4E78"/>
            <w:tcMar>
              <w:top w:w="80" w:type="dxa"/>
              <w:start w:w="120" w:type="dxa"/>
              <w:bottom w:w="80" w:type="dxa"/>
              <w:end w:w="120" w:type="dxa"/>
            </w:tcMar>
            <w:vAlign w:val="center"/>
          </w:tcPr>
          <w:p>
            <w:pPr>
              <w:spacing w:after="0"/>
            </w:pPr>
            <w:r>
              <w:rPr>
                <w:rFonts w:ascii="Calibri" w:hAnsi="Calibri"/>
                <w:b/>
                <w:i w:val="0"/>
                <w:color w:val="FFFFFF"/>
                <w:sz w:val="18"/>
              </w:rPr>
              <w:t>Aktif ağırlık</w:t>
            </w:r>
          </w:p>
        </w:tc>
      </w:tr>
      <w:tr>
        <w:trPr>
          <w:cantSplit/>
        </w:trPr>
        <w:tc>
          <w:tcPr>
            <w:tcW w:type="dxa" w:w="1512"/>
            <w:tcMar>
              <w:top w:w="80" w:type="dxa"/>
              <w:start w:w="120" w:type="dxa"/>
              <w:bottom w:w="80" w:type="dxa"/>
              <w:end w:w="120" w:type="dxa"/>
            </w:tcMar>
            <w:vAlign w:val="center"/>
          </w:tcPr>
          <w:p>
            <w:pPr>
              <w:spacing w:after="0"/>
            </w:pPr>
            <w:r>
              <w:rPr>
                <w:rFonts w:ascii="Calibri" w:hAnsi="Calibri"/>
                <w:b w:val="0"/>
                <w:i w:val="0"/>
                <w:color w:val="222222"/>
                <w:sz w:val="18"/>
              </w:rPr>
              <w:t>Technical</w:t>
            </w:r>
          </w:p>
        </w:tc>
        <w:tc>
          <w:tcPr>
            <w:tcW w:type="dxa" w:w="6120"/>
            <w:tcMar>
              <w:top w:w="80" w:type="dxa"/>
              <w:start w:w="120" w:type="dxa"/>
              <w:bottom w:w="80" w:type="dxa"/>
              <w:end w:w="120" w:type="dxa"/>
            </w:tcMar>
            <w:vAlign w:val="center"/>
          </w:tcPr>
          <w:p>
            <w:pPr>
              <w:spacing w:after="0"/>
            </w:pPr>
            <w:r>
              <w:rPr>
                <w:rFonts w:ascii="Calibri" w:hAnsi="Calibri"/>
                <w:b w:val="0"/>
                <w:i w:val="0"/>
                <w:color w:val="222222"/>
                <w:sz w:val="18"/>
              </w:rPr>
              <w:t>EMA9/EMA21 farkı, son zirve kırılımı/mesafesi ve RSI ayarı</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%25</w:t>
            </w:r>
          </w:p>
        </w:tc>
      </w:tr>
      <w:tr>
        <w:trPr>
          <w:cantSplit/>
        </w:trPr>
        <w:tc>
          <w:tcPr>
            <w:tcW w:type="dxa" w:w="1512"/>
            <w:tcMar>
              <w:top w:w="80" w:type="dxa"/>
              <w:start w:w="120" w:type="dxa"/>
              <w:bottom w:w="80" w:type="dxa"/>
              <w:end w:w="120" w:type="dxa"/>
            </w:tcMar>
            <w:vAlign w:val="center"/>
            <w:shd w:fill="F7F9FB"/>
          </w:tcPr>
          <w:p>
            <w:pPr>
              <w:spacing w:after="0"/>
            </w:pPr>
            <w:r>
              <w:rPr>
                <w:rFonts w:ascii="Calibri" w:hAnsi="Calibri"/>
                <w:b w:val="0"/>
                <w:i w:val="0"/>
                <w:color w:val="222222"/>
                <w:sz w:val="18"/>
              </w:rPr>
              <w:t>Momentum</w:t>
            </w:r>
          </w:p>
        </w:tc>
        <w:tc>
          <w:tcPr>
            <w:tcW w:type="dxa" w:w="6120"/>
            <w:tcMar>
              <w:top w:w="80" w:type="dxa"/>
              <w:start w:w="120" w:type="dxa"/>
              <w:bottom w:w="80" w:type="dxa"/>
              <w:end w:w="120" w:type="dxa"/>
            </w:tcMar>
            <w:vAlign w:val="center"/>
            <w:shd w:fill="F7F9FB"/>
          </w:tcPr>
          <w:p>
            <w:pPr>
              <w:spacing w:after="0"/>
            </w:pPr>
            <w:r>
              <w:rPr>
                <w:rFonts w:ascii="Calibri" w:hAnsi="Calibri"/>
                <w:b w:val="0"/>
                <w:i w:val="0"/>
                <w:color w:val="222222"/>
                <w:sz w:val="18"/>
              </w:rPr>
              <w:t>1, 3 ve 12 bar getirilerinin ağırlıklı etkisi</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%30</w:t>
            </w:r>
          </w:p>
        </w:tc>
      </w:tr>
      <w:tr>
        <w:trPr>
          <w:cantSplit/>
        </w:trPr>
        <w:tc>
          <w:tcPr>
            <w:tcW w:type="dxa" w:w="1512"/>
            <w:tcMar>
              <w:top w:w="80" w:type="dxa"/>
              <w:start w:w="120" w:type="dxa"/>
              <w:bottom w:w="80" w:type="dxa"/>
              <w:end w:w="120" w:type="dxa"/>
            </w:tcMar>
            <w:vAlign w:val="center"/>
          </w:tcPr>
          <w:p>
            <w:pPr>
              <w:spacing w:after="0"/>
            </w:pPr>
            <w:r>
              <w:rPr>
                <w:rFonts w:ascii="Calibri" w:hAnsi="Calibri"/>
                <w:b w:val="0"/>
                <w:i w:val="0"/>
                <w:color w:val="222222"/>
                <w:sz w:val="18"/>
              </w:rPr>
              <w:t>Volume</w:t>
            </w:r>
          </w:p>
        </w:tc>
        <w:tc>
          <w:tcPr>
            <w:tcW w:type="dxa" w:w="6120"/>
            <w:tcMar>
              <w:top w:w="80" w:type="dxa"/>
              <w:start w:w="120" w:type="dxa"/>
              <w:bottom w:w="80" w:type="dxa"/>
              <w:end w:w="120" w:type="dxa"/>
            </w:tcMar>
            <w:vAlign w:val="center"/>
          </w:tcPr>
          <w:p>
            <w:pPr>
              <w:spacing w:after="0"/>
            </w:pPr>
            <w:r>
              <w:rPr>
                <w:rFonts w:ascii="Calibri" w:hAnsi="Calibri"/>
                <w:b w:val="0"/>
                <w:i w:val="0"/>
                <w:color w:val="222222"/>
                <w:sz w:val="18"/>
              </w:rPr>
              <w:t>20 + göreli hacim × 30, 0–100 sınırı</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%25</w:t>
            </w:r>
          </w:p>
        </w:tc>
      </w:tr>
      <w:tr>
        <w:trPr>
          <w:cantSplit/>
        </w:trPr>
        <w:tc>
          <w:tcPr>
            <w:tcW w:type="dxa" w:w="1512"/>
            <w:tcMar>
              <w:top w:w="80" w:type="dxa"/>
              <w:start w:w="120" w:type="dxa"/>
              <w:bottom w:w="80" w:type="dxa"/>
              <w:end w:w="120" w:type="dxa"/>
            </w:tcMar>
            <w:vAlign w:val="center"/>
            <w:shd w:fill="F7F9FB"/>
          </w:tcPr>
          <w:p>
            <w:pPr>
              <w:spacing w:after="0"/>
            </w:pPr>
            <w:r>
              <w:rPr>
                <w:rFonts w:ascii="Calibri" w:hAnsi="Calibri"/>
                <w:b w:val="0"/>
                <w:i w:val="0"/>
                <w:color w:val="222222"/>
                <w:sz w:val="18"/>
              </w:rPr>
              <w:t>Liquidity</w:t>
            </w:r>
          </w:p>
        </w:tc>
        <w:tc>
          <w:tcPr>
            <w:tcW w:type="dxa" w:w="6120"/>
            <w:tcMar>
              <w:top w:w="80" w:type="dxa"/>
              <w:start w:w="120" w:type="dxa"/>
              <w:bottom w:w="80" w:type="dxa"/>
              <w:end w:w="120" w:type="dxa"/>
            </w:tcMar>
            <w:vAlign w:val="center"/>
            <w:shd w:fill="F7F9FB"/>
          </w:tcPr>
          <w:p>
            <w:pPr>
              <w:spacing w:after="0"/>
            </w:pPr>
            <w:r>
              <w:rPr>
                <w:rFonts w:ascii="Calibri" w:hAnsi="Calibri"/>
                <w:b w:val="0"/>
                <w:i w:val="0"/>
                <w:color w:val="222222"/>
                <w:sz w:val="18"/>
              </w:rPr>
              <w:t>Ortalama hacim %40 + turnover %45 + süreklilik %15</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%10</w:t>
            </w:r>
          </w:p>
        </w:tc>
      </w:tr>
      <w:tr>
        <w:trPr>
          <w:cantSplit/>
        </w:trPr>
        <w:tc>
          <w:tcPr>
            <w:tcW w:type="dxa" w:w="1512"/>
            <w:tcMar>
              <w:top w:w="80" w:type="dxa"/>
              <w:start w:w="120" w:type="dxa"/>
              <w:bottom w:w="80" w:type="dxa"/>
              <w:end w:w="120" w:type="dxa"/>
            </w:tcMar>
            <w:vAlign w:val="center"/>
          </w:tcPr>
          <w:p>
            <w:pPr>
              <w:spacing w:after="0"/>
            </w:pPr>
            <w:r>
              <w:rPr>
                <w:rFonts w:ascii="Calibri" w:hAnsi="Calibri"/>
                <w:b w:val="0"/>
                <w:i w:val="0"/>
                <w:color w:val="222222"/>
                <w:sz w:val="18"/>
              </w:rPr>
              <w:t>Volatility</w:t>
            </w:r>
          </w:p>
        </w:tc>
        <w:tc>
          <w:tcPr>
            <w:tcW w:type="dxa" w:w="6120"/>
            <w:tcMar>
              <w:top w:w="80" w:type="dxa"/>
              <w:start w:w="120" w:type="dxa"/>
              <w:bottom w:w="80" w:type="dxa"/>
              <w:end w:w="120" w:type="dxa"/>
            </w:tcMar>
            <w:vAlign w:val="center"/>
          </w:tcPr>
          <w:p>
            <w:pPr>
              <w:spacing w:after="0"/>
            </w:pPr>
            <w:r>
              <w:rPr>
                <w:rFonts w:ascii="Calibri" w:hAnsi="Calibri"/>
                <w:b w:val="0"/>
                <w:i w:val="0"/>
                <w:color w:val="222222"/>
                <w:sz w:val="18"/>
              </w:rPr>
              <w:t>Hedef %1,5 oynaklığa uzaklık; yüksek oynaklık cezası</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%10</w:t>
            </w:r>
          </w:p>
        </w:tc>
      </w:tr>
    </w:tbl>
    <w:p>
      <w:pPr>
        <w:spacing w:after="0"/>
      </w:pPr>
    </w:p>
    <w:p>
      <w:pPr>
        <w:pStyle w:val="Heading1"/>
      </w:pPr>
      <w:r>
        <w:t>Temel formüller</w:t>
      </w:r>
    </w:p>
    <w:p>
      <w:pPr>
        <w:pStyle w:val="IntenseQuote"/>
        <w:spacing w:after="120" w:line="300" w:lineRule="auto"/>
      </w:pPr>
      <w:r>
        <w:rPr>
          <w:rFonts w:ascii="Calibri" w:hAnsi="Calibri"/>
          <w:b w:val="0"/>
          <w:i w:val="0"/>
          <w:color w:val="222222"/>
          <w:sz w:val="22"/>
        </w:rPr>
        <w:t>momentum_score = clamp(50 + 3×getiri_1 + 2×momentum_3 + momentum_12)</w:t>
      </w:r>
    </w:p>
    <w:p>
      <w:pPr>
        <w:pStyle w:val="IntenseQuote"/>
        <w:spacing w:after="120" w:line="300" w:lineRule="auto"/>
      </w:pPr>
      <w:r>
        <w:rPr>
          <w:rFonts w:ascii="Calibri" w:hAnsi="Calibri"/>
          <w:b w:val="0"/>
          <w:i w:val="0"/>
          <w:color w:val="222222"/>
          <w:sz w:val="22"/>
        </w:rPr>
        <w:t>trend_score = clamp(50 + 7×yüzdesel(EMA9, EMA21))</w:t>
      </w:r>
    </w:p>
    <w:p>
      <w:pPr>
        <w:pStyle w:val="IntenseQuote"/>
        <w:spacing w:after="120" w:line="300" w:lineRule="auto"/>
      </w:pPr>
      <w:r>
        <w:rPr>
          <w:rFonts w:ascii="Calibri" w:hAnsi="Calibri"/>
          <w:b w:val="0"/>
          <w:i w:val="0"/>
          <w:color w:val="222222"/>
          <w:sz w:val="22"/>
        </w:rPr>
        <w:t>technical_score = clamp(50 + 7×trend_spread + breakout/zirve etkisi + RSI etkisi)</w:t>
      </w:r>
    </w:p>
    <w:p>
      <w:pPr>
        <w:pStyle w:val="IntenseQuote"/>
        <w:spacing w:after="120" w:line="300" w:lineRule="auto"/>
      </w:pPr>
      <w:r>
        <w:rPr>
          <w:rFonts w:ascii="Calibri" w:hAnsi="Calibri"/>
          <w:b w:val="0"/>
          <w:i w:val="0"/>
          <w:color w:val="222222"/>
          <w:sz w:val="22"/>
        </w:rPr>
        <w:t>volume_score = clamp(20 + 30×relative_volume)</w:t>
      </w:r>
    </w:p>
    <w:p>
      <w:pPr>
        <w:pStyle w:val="IntenseQuote"/>
        <w:spacing w:after="120" w:line="300" w:lineRule="auto"/>
      </w:pPr>
      <w:r>
        <w:rPr>
          <w:rFonts w:ascii="Calibri" w:hAnsi="Calibri"/>
          <w:b w:val="0"/>
          <w:i w:val="0"/>
          <w:color w:val="222222"/>
          <w:sz w:val="22"/>
        </w:rPr>
        <w:t>scanner_score = Σ(bileşen_puanı × scanner_ağırlığı)</w:t>
      </w:r>
    </w:p>
    <w:p>
      <w:pPr>
        <w:spacing w:after="120" w:line="300" w:lineRule="auto"/>
      </w:pPr>
      <w:r>
        <w:rPr>
          <w:rFonts w:ascii="Calibri" w:hAnsi="Calibri"/>
          <w:b w:val="0"/>
          <w:i w:val="0"/>
          <w:color w:val="222222"/>
          <w:sz w:val="22"/>
        </w:rPr>
        <w:t>RSI 50–70 aralığı +10 destek verir. RSI 70–80 arası ceza alır; RSI ≥80 olduğunda -25 uygulanır ve technical_score en fazla 70 olabilir. Breakout, kapanışın önceki lookback zirvesini aşmasıdır.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7A5A00"/>
                <w:sz w:val="22"/>
              </w:rPr>
              <w:t>Önemli config notu</w:t>
              <w:br/>
            </w:r>
            <w:r>
              <w:rPr>
                <w:rFonts w:ascii="Calibri" w:hAnsi="Calibri"/>
                <w:b w:val="0"/>
                <w:i w:val="0"/>
                <w:color w:val="222222"/>
                <w:sz w:val="21"/>
              </w:rPr>
              <w:t>Eski nested config yapısındaki scanner.weights.trend alanı uyumluluk katmanında volatility ağırlığına dönüştürülür. Ayrı trend_score yine hesaplanır ve nihai hisse puanında gerçek katkı olarak kullanılır.</w:t>
            </w:r>
          </w:p>
        </w:tc>
      </w:tr>
    </w:tbl>
    <w:p>
      <w:pPr>
        <w:spacing w:after="0"/>
      </w:pPr>
    </w:p>
    <w:p>
      <w:pPr>
        <w:pStyle w:val="Title"/>
      </w:pPr>
      <w:r>
        <w:t>7. KAP, haber ve materyalite</w:t>
      </w:r>
    </w:p>
    <w:p>
      <w:pPr>
        <w:spacing w:after="120" w:line="300" w:lineRule="auto"/>
      </w:pPr>
      <w:r>
        <w:rPr>
          <w:rFonts w:ascii="Calibri" w:hAnsi="Calibri"/>
          <w:b w:val="0"/>
          <w:i w:val="0"/>
          <w:color w:val="222222"/>
          <w:sz w:val="22"/>
        </w:rPr>
        <w:t>Scanner’ın üst sıralarındaki adaylar için KAP ve finans haberleri çekilir. Aynı olay hash ile tekilleştirilir. Kaynak güveni, güncellik, sembol ilgisi, anahtar temalar ve materyalite birlikte event_score üretir.</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7056"/>
            <w:shd w:fill="1F4E78"/>
            <w:tcMar>
              <w:top w:w="80" w:type="dxa"/>
              <w:start w:w="120" w:type="dxa"/>
              <w:bottom w:w="80" w:type="dxa"/>
              <w:end w:w="120" w:type="dxa"/>
            </w:tcMar>
            <w:vAlign w:val="center"/>
          </w:tcPr>
          <w:p>
            <w:pPr>
              <w:spacing w:after="0"/>
            </w:pPr>
            <w:r>
              <w:rPr>
                <w:rFonts w:ascii="Calibri" w:hAnsi="Calibri"/>
                <w:b/>
                <w:i w:val="0"/>
                <w:color w:val="FFFFFF"/>
                <w:sz w:val="18"/>
              </w:rPr>
              <w:t>Event-score bileşeni</w:t>
            </w:r>
          </w:p>
        </w:tc>
        <w:tc>
          <w:tcPr>
            <w:tcW w:type="dxa" w:w="2016"/>
            <w:shd w:fill="1F4E78"/>
            <w:tcMar>
              <w:top w:w="80" w:type="dxa"/>
              <w:start w:w="120" w:type="dxa"/>
              <w:bottom w:w="80" w:type="dxa"/>
              <w:end w:w="120" w:type="dxa"/>
            </w:tcMar>
            <w:vAlign w:val="center"/>
          </w:tcPr>
          <w:p>
            <w:pPr>
              <w:spacing w:after="0"/>
            </w:pPr>
            <w:r>
              <w:rPr>
                <w:rFonts w:ascii="Calibri" w:hAnsi="Calibri"/>
                <w:b/>
                <w:i w:val="0"/>
                <w:color w:val="FFFFFF"/>
                <w:sz w:val="18"/>
              </w:rPr>
              <w:t>Ağırlık</w:t>
            </w:r>
          </w:p>
        </w:tc>
      </w:tr>
      <w:tr>
        <w:trPr>
          <w:cantSplit/>
        </w:trPr>
        <w:tc>
          <w:tcPr>
            <w:tcW w:type="dxa" w:w="7056"/>
            <w:tcMar>
              <w:top w:w="80" w:type="dxa"/>
              <w:start w:w="120" w:type="dxa"/>
              <w:bottom w:w="80" w:type="dxa"/>
              <w:end w:w="120" w:type="dxa"/>
            </w:tcMar>
            <w:vAlign w:val="center"/>
          </w:tcPr>
          <w:p>
            <w:pPr>
              <w:spacing w:after="0"/>
            </w:pPr>
            <w:r>
              <w:rPr>
                <w:rFonts w:ascii="Calibri" w:hAnsi="Calibri"/>
                <w:b w:val="0"/>
                <w:i w:val="0"/>
                <w:color w:val="222222"/>
                <w:sz w:val="18"/>
              </w:rPr>
              <w:t>Güncellik (24 saat half-life)</w:t>
            </w:r>
          </w:p>
        </w:tc>
        <w:tc>
          <w:tcPr>
            <w:tcW w:type="dxa" w:w="2016"/>
            <w:tcMar>
              <w:top w:w="80" w:type="dxa"/>
              <w:start w:w="120" w:type="dxa"/>
              <w:bottom w:w="80" w:type="dxa"/>
              <w:end w:w="120" w:type="dxa"/>
            </w:tcMar>
            <w:vAlign w:val="center"/>
          </w:tcPr>
          <w:p>
            <w:pPr>
              <w:spacing w:after="0"/>
            </w:pPr>
            <w:r>
              <w:rPr>
                <w:rFonts w:ascii="Calibri" w:hAnsi="Calibri"/>
                <w:b w:val="0"/>
                <w:i w:val="0"/>
                <w:color w:val="222222"/>
                <w:sz w:val="18"/>
              </w:rPr>
              <w:t>%25</w:t>
            </w:r>
          </w:p>
        </w:tc>
      </w:tr>
      <w:tr>
        <w:trPr>
          <w:cantSplit/>
        </w:trPr>
        <w:tc>
          <w:tcPr>
            <w:tcW w:type="dxa" w:w="7056"/>
            <w:tcMar>
              <w:top w:w="80" w:type="dxa"/>
              <w:start w:w="120" w:type="dxa"/>
              <w:bottom w:w="80" w:type="dxa"/>
              <w:end w:w="120" w:type="dxa"/>
            </w:tcMar>
            <w:vAlign w:val="center"/>
            <w:shd w:fill="F7F9FB"/>
          </w:tcPr>
          <w:p>
            <w:pPr>
              <w:spacing w:after="0"/>
            </w:pPr>
            <w:r>
              <w:rPr>
                <w:rFonts w:ascii="Calibri" w:hAnsi="Calibri"/>
                <w:b w:val="0"/>
                <w:i w:val="0"/>
                <w:color w:val="222222"/>
                <w:sz w:val="18"/>
              </w:rPr>
              <w:t>Kaynak güveni</w:t>
            </w:r>
          </w:p>
        </w:tc>
        <w:tc>
          <w:tcPr>
            <w:tcW w:type="dxa" w:w="2016"/>
            <w:tcMar>
              <w:top w:w="80" w:type="dxa"/>
              <w:start w:w="120" w:type="dxa"/>
              <w:bottom w:w="80" w:type="dxa"/>
              <w:end w:w="120" w:type="dxa"/>
            </w:tcMar>
            <w:vAlign w:val="center"/>
            <w:shd w:fill="F7F9FB"/>
          </w:tcPr>
          <w:p>
            <w:pPr>
              <w:spacing w:after="0"/>
            </w:pPr>
            <w:r>
              <w:rPr>
                <w:rFonts w:ascii="Calibri" w:hAnsi="Calibri"/>
                <w:b w:val="0"/>
                <w:i w:val="0"/>
                <w:color w:val="222222"/>
                <w:sz w:val="18"/>
              </w:rPr>
              <w:t>%25</w:t>
            </w:r>
          </w:p>
        </w:tc>
      </w:tr>
      <w:tr>
        <w:trPr>
          <w:cantSplit/>
        </w:trPr>
        <w:tc>
          <w:tcPr>
            <w:tcW w:type="dxa" w:w="7056"/>
            <w:tcMar>
              <w:top w:w="80" w:type="dxa"/>
              <w:start w:w="120" w:type="dxa"/>
              <w:bottom w:w="80" w:type="dxa"/>
              <w:end w:w="120" w:type="dxa"/>
            </w:tcMar>
            <w:vAlign w:val="center"/>
          </w:tcPr>
          <w:p>
            <w:pPr>
              <w:spacing w:after="0"/>
            </w:pPr>
            <w:r>
              <w:rPr>
                <w:rFonts w:ascii="Calibri" w:hAnsi="Calibri"/>
                <w:b w:val="0"/>
                <w:i w:val="0"/>
                <w:color w:val="222222"/>
                <w:sz w:val="18"/>
              </w:rPr>
              <w:t>Sembol ilgisi</w:t>
            </w:r>
          </w:p>
        </w:tc>
        <w:tc>
          <w:tcPr>
            <w:tcW w:type="dxa" w:w="2016"/>
            <w:tcMar>
              <w:top w:w="80" w:type="dxa"/>
              <w:start w:w="120" w:type="dxa"/>
              <w:bottom w:w="80" w:type="dxa"/>
              <w:end w:w="120" w:type="dxa"/>
            </w:tcMar>
            <w:vAlign w:val="center"/>
          </w:tcPr>
          <w:p>
            <w:pPr>
              <w:spacing w:after="0"/>
            </w:pPr>
            <w:r>
              <w:rPr>
                <w:rFonts w:ascii="Calibri" w:hAnsi="Calibri"/>
                <w:b w:val="0"/>
                <w:i w:val="0"/>
                <w:color w:val="222222"/>
                <w:sz w:val="18"/>
              </w:rPr>
              <w:t>%20</w:t>
            </w:r>
          </w:p>
        </w:tc>
      </w:tr>
      <w:tr>
        <w:trPr>
          <w:cantSplit/>
        </w:trPr>
        <w:tc>
          <w:tcPr>
            <w:tcW w:type="dxa" w:w="7056"/>
            <w:tcMar>
              <w:top w:w="80" w:type="dxa"/>
              <w:start w:w="120" w:type="dxa"/>
              <w:bottom w:w="80" w:type="dxa"/>
              <w:end w:w="120" w:type="dxa"/>
            </w:tcMar>
            <w:vAlign w:val="center"/>
            <w:shd w:fill="F7F9FB"/>
          </w:tcPr>
          <w:p>
            <w:pPr>
              <w:spacing w:after="0"/>
            </w:pPr>
            <w:r>
              <w:rPr>
                <w:rFonts w:ascii="Calibri" w:hAnsi="Calibri"/>
                <w:b w:val="0"/>
                <w:i w:val="0"/>
                <w:color w:val="222222"/>
                <w:sz w:val="18"/>
              </w:rPr>
              <w:t>Anahtar kelime temaları</w:t>
            </w:r>
          </w:p>
        </w:tc>
        <w:tc>
          <w:tcPr>
            <w:tcW w:type="dxa" w:w="2016"/>
            <w:tcMar>
              <w:top w:w="80" w:type="dxa"/>
              <w:start w:w="120" w:type="dxa"/>
              <w:bottom w:w="80" w:type="dxa"/>
              <w:end w:w="120" w:type="dxa"/>
            </w:tcMar>
            <w:vAlign w:val="center"/>
            <w:shd w:fill="F7F9FB"/>
          </w:tcPr>
          <w:p>
            <w:pPr>
              <w:spacing w:after="0"/>
            </w:pPr>
            <w:r>
              <w:rPr>
                <w:rFonts w:ascii="Calibri" w:hAnsi="Calibri"/>
                <w:b w:val="0"/>
                <w:i w:val="0"/>
                <w:color w:val="222222"/>
                <w:sz w:val="18"/>
              </w:rPr>
              <w:t>%15</w:t>
            </w:r>
          </w:p>
        </w:tc>
      </w:tr>
      <w:tr>
        <w:trPr>
          <w:cantSplit/>
        </w:trPr>
        <w:tc>
          <w:tcPr>
            <w:tcW w:type="dxa" w:w="7056"/>
            <w:tcMar>
              <w:top w:w="80" w:type="dxa"/>
              <w:start w:w="120" w:type="dxa"/>
              <w:bottom w:w="80" w:type="dxa"/>
              <w:end w:w="120" w:type="dxa"/>
            </w:tcMar>
            <w:vAlign w:val="center"/>
          </w:tcPr>
          <w:p>
            <w:pPr>
              <w:spacing w:after="0"/>
            </w:pPr>
            <w:r>
              <w:rPr>
                <w:rFonts w:ascii="Calibri" w:hAnsi="Calibri"/>
                <w:b w:val="0"/>
                <w:i w:val="0"/>
                <w:color w:val="222222"/>
                <w:sz w:val="18"/>
              </w:rPr>
              <w:t>Materyalite</w:t>
            </w:r>
          </w:p>
        </w:tc>
        <w:tc>
          <w:tcPr>
            <w:tcW w:type="dxa" w:w="2016"/>
            <w:tcMar>
              <w:top w:w="80" w:type="dxa"/>
              <w:start w:w="120" w:type="dxa"/>
              <w:bottom w:w="80" w:type="dxa"/>
              <w:end w:w="120" w:type="dxa"/>
            </w:tcMar>
            <w:vAlign w:val="center"/>
          </w:tcPr>
          <w:p>
            <w:pPr>
              <w:spacing w:after="0"/>
            </w:pPr>
            <w:r>
              <w:rPr>
                <w:rFonts w:ascii="Calibri" w:hAnsi="Calibri"/>
                <w:b w:val="0"/>
                <w:i w:val="0"/>
                <w:color w:val="222222"/>
                <w:sz w:val="18"/>
              </w:rPr>
              <w:t>%15</w:t>
            </w:r>
          </w:p>
        </w:tc>
      </w:tr>
    </w:tbl>
    <w:p>
      <w:pPr>
        <w:spacing w:after="0"/>
      </w:pPr>
    </w:p>
    <w:p>
      <w:pPr>
        <w:spacing w:after="120" w:line="300" w:lineRule="auto"/>
      </w:pPr>
      <w:r>
        <w:rPr>
          <w:rFonts w:ascii="Calibri" w:hAnsi="Calibri"/>
          <w:b w:val="0"/>
          <w:i w:val="0"/>
          <w:color w:val="222222"/>
          <w:sz w:val="22"/>
        </w:rPr>
        <w:t>KAP güven skoru 95, genel haber güven skoru 65’tir. Devre kesici ve rutin MKK bildirimleri güvenilir kaynakta yayımlansa bile düşük materyalite sayılır. Başlık-only sözleşme haberi yüksek güvenli karar için yeterli değildir.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2E6B4F"/>
                <w:sz w:val="22"/>
              </w:rPr>
              <w:t>LLM maliyet kontrolü</w:t>
              <w:br/>
            </w:r>
            <w:r>
              <w:rPr>
                <w:rFonts w:ascii="Calibri" w:hAnsi="Calibri"/>
                <w:b w:val="0"/>
                <w:i w:val="0"/>
                <w:color w:val="222222"/>
                <w:sz w:val="21"/>
              </w:rPr>
              <w:t>Şirket olayı materiality_score 50 altındaysa LLM’ye gönderilmez. Haber yoksa veya olay yetersizse LLM NOT_REQUIRED/HOLD üretir ve puanlama mevcut bileşenlerle yeniden normalize edilir.</w:t>
            </w:r>
          </w:p>
        </w:tc>
      </w:tr>
    </w:tbl>
    <w:p>
      <w:pPr>
        <w:spacing w:after="0"/>
      </w:pPr>
    </w:p>
    <w:p>
      <w:pPr>
        <w:pStyle w:val="Title"/>
      </w:pPr>
      <w:r>
        <w:t>8. LLM’nin rolü ve sınırları</w:t>
      </w:r>
    </w:p>
    <w:p>
      <w:pPr>
        <w:pStyle w:val="ListBullet"/>
        <w:spacing w:after="80" w:line="288" w:lineRule="auto"/>
      </w:pPr>
      <w:r>
        <w:rPr>
          <w:rFonts w:ascii="Calibri" w:hAnsi="Calibri"/>
          <w:b w:val="0"/>
          <w:i w:val="0"/>
          <w:color w:val="222222"/>
          <w:sz w:val="22"/>
        </w:rPr>
        <w:t>Yalnızca verilen teknik veri ve doğrulanmış olayları kullanır.</w:t>
      </w:r>
    </w:p>
    <w:p>
      <w:pPr>
        <w:pStyle w:val="ListBullet"/>
        <w:spacing w:after="80" w:line="288" w:lineRule="auto"/>
      </w:pPr>
      <w:r>
        <w:rPr>
          <w:rFonts w:ascii="Calibri" w:hAnsi="Calibri"/>
          <w:b w:val="0"/>
          <w:i w:val="0"/>
          <w:color w:val="222222"/>
          <w:sz w:val="22"/>
        </w:rPr>
        <w:t>Kaynak ID uyduramaz; çıktıdaki source_ids giriş kümesinde olmalıdır.</w:t>
      </w:r>
    </w:p>
    <w:p>
      <w:pPr>
        <w:pStyle w:val="ListBullet"/>
        <w:spacing w:after="80" w:line="288" w:lineRule="auto"/>
      </w:pPr>
      <w:r>
        <w:rPr>
          <w:rFonts w:ascii="Calibri" w:hAnsi="Calibri"/>
          <w:b w:val="0"/>
          <w:i w:val="0"/>
          <w:color w:val="222222"/>
          <w:sz w:val="22"/>
        </w:rPr>
        <w:t>BUY/HOLD/SELL yön eğilimi, katalizör, fiyatlanma olasılığı, risk ve güven döndürür.</w:t>
      </w:r>
    </w:p>
    <w:p>
      <w:pPr>
        <w:pStyle w:val="ListBullet"/>
        <w:spacing w:after="80" w:line="288" w:lineRule="auto"/>
      </w:pPr>
      <w:r>
        <w:rPr>
          <w:rFonts w:ascii="Calibri" w:hAnsi="Calibri"/>
          <w:b w:val="0"/>
          <w:i w:val="0"/>
          <w:color w:val="222222"/>
          <w:sz w:val="22"/>
        </w:rPr>
        <w:t>Belirsiz başlıkları şirket lehine yorumlayamaz.</w:t>
      </w:r>
    </w:p>
    <w:p>
      <w:pPr>
        <w:pStyle w:val="ListBullet"/>
        <w:spacing w:after="80" w:line="288" w:lineRule="auto"/>
      </w:pPr>
      <w:r>
        <w:rPr>
          <w:rFonts w:ascii="Calibri" w:hAnsi="Calibri"/>
          <w:b w:val="0"/>
          <w:i w:val="0"/>
          <w:color w:val="222222"/>
          <w:sz w:val="22"/>
        </w:rPr>
        <w:t>Pozisyon büyüklüğü, risk limiti veya gerçek/sanal emir kararı veremez.</w:t>
      </w:r>
    </w:p>
    <w:p>
      <w:pPr>
        <w:pStyle w:val="ListBullet"/>
        <w:spacing w:after="80" w:line="288" w:lineRule="auto"/>
      </w:pPr>
      <w:r>
        <w:rPr>
          <w:rFonts w:ascii="Calibri" w:hAnsi="Calibri"/>
          <w:b w:val="0"/>
          <w:i w:val="0"/>
          <w:color w:val="222222"/>
          <w:sz w:val="22"/>
        </w:rPr>
        <w:t>Model hatası, şema hatası veya erişim sorunu güvenli HOLD/UNAVAILABLE sonucuna döner.</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5184"/>
            <w:shd w:fill="1F4E78"/>
            <w:tcMar>
              <w:top w:w="80" w:type="dxa"/>
              <w:start w:w="120" w:type="dxa"/>
              <w:bottom w:w="80" w:type="dxa"/>
              <w:end w:w="120" w:type="dxa"/>
            </w:tcMar>
            <w:vAlign w:val="center"/>
          </w:tcPr>
          <w:p>
            <w:pPr>
              <w:spacing w:after="0"/>
            </w:pPr>
            <w:r>
              <w:rPr>
                <w:rFonts w:ascii="Calibri" w:hAnsi="Calibri"/>
                <w:b/>
                <w:i w:val="0"/>
                <w:color w:val="FFFFFF"/>
                <w:sz w:val="18"/>
              </w:rPr>
              <w:t>LLM alanı</w:t>
            </w:r>
          </w:p>
        </w:tc>
        <w:tc>
          <w:tcPr>
            <w:tcW w:type="dxa" w:w="3888"/>
            <w:shd w:fill="1F4E78"/>
            <w:tcMar>
              <w:top w:w="80" w:type="dxa"/>
              <w:start w:w="120" w:type="dxa"/>
              <w:bottom w:w="80" w:type="dxa"/>
              <w:end w:w="120" w:type="dxa"/>
            </w:tcMar>
            <w:vAlign w:val="center"/>
          </w:tcPr>
          <w:p>
            <w:pPr>
              <w:spacing w:after="0"/>
            </w:pPr>
            <w:r>
              <w:rPr>
                <w:rFonts w:ascii="Calibri" w:hAnsi="Calibri"/>
                <w:b/>
                <w:i w:val="0"/>
                <w:color w:val="FFFFFF"/>
                <w:sz w:val="18"/>
              </w:rPr>
              <w:t>Aralık/anlam</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sentiment</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-100…+100</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importance / catalyst_score / risk_score / confidence</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0…100</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priced_in_probability</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0…100</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time_horizon</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intraday / swing / none</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action_bias</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BUY / SELL / HOLD</w:t>
            </w:r>
          </w:p>
        </w:tc>
      </w:tr>
    </w:tbl>
    <w:p>
      <w:pPr>
        <w:spacing w:after="0"/>
      </w:pPr>
    </w:p>
    <w:p>
      <w:r>
        <w:br w:type="page"/>
      </w:r>
    </w:p>
    <w:p>
      <w:pPr>
        <w:pStyle w:val="Title"/>
      </w:pPr>
      <w:r>
        <w:t>9. Nihai hisse puanı</w:t>
      </w:r>
    </w:p>
    <w:p>
      <w:pPr>
        <w:spacing w:after="120" w:line="300" w:lineRule="auto"/>
      </w:pPr>
      <w:r>
        <w:rPr>
          <w:rFonts w:ascii="Calibri" w:hAnsi="Calibri"/>
          <w:b w:val="0"/>
          <w:i w:val="0"/>
          <w:color w:val="222222"/>
          <w:sz w:val="22"/>
        </w:rPr>
        <w:t>Nihai strateji puanı scanner_score ile aynı değildir. Teknik sinyalin alt bileşenleri, şirket olayı ve varsa LLM analizi yeniden bir araya getirilir. Mevcut aktif ağırlıklar aşağıdadır.</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1944"/>
            <w:shd w:fill="1F4E78"/>
            <w:tcMar>
              <w:top w:w="80" w:type="dxa"/>
              <w:start w:w="120" w:type="dxa"/>
              <w:bottom w:w="80" w:type="dxa"/>
              <w:end w:w="120" w:type="dxa"/>
            </w:tcMar>
            <w:vAlign w:val="center"/>
          </w:tcPr>
          <w:p>
            <w:pPr>
              <w:spacing w:after="0"/>
            </w:pPr>
            <w:r>
              <w:rPr>
                <w:rFonts w:ascii="Calibri" w:hAnsi="Calibri"/>
                <w:b/>
                <w:i w:val="0"/>
                <w:color w:val="FFFFFF"/>
                <w:sz w:val="18"/>
              </w:rPr>
              <w:t>Nihai bileşen</w:t>
            </w:r>
          </w:p>
        </w:tc>
        <w:tc>
          <w:tcPr>
            <w:tcW w:type="dxa" w:w="1152"/>
            <w:shd w:fill="1F4E78"/>
            <w:tcMar>
              <w:top w:w="80" w:type="dxa"/>
              <w:start w:w="120" w:type="dxa"/>
              <w:bottom w:w="80" w:type="dxa"/>
              <w:end w:w="120" w:type="dxa"/>
            </w:tcMar>
            <w:vAlign w:val="center"/>
          </w:tcPr>
          <w:p>
            <w:pPr>
              <w:spacing w:after="0"/>
            </w:pPr>
            <w:r>
              <w:rPr>
                <w:rFonts w:ascii="Calibri" w:hAnsi="Calibri"/>
                <w:b/>
                <w:i w:val="0"/>
                <w:color w:val="FFFFFF"/>
                <w:sz w:val="18"/>
              </w:rPr>
              <w:t>Ağırlık</w:t>
            </w:r>
          </w:p>
        </w:tc>
        <w:tc>
          <w:tcPr>
            <w:tcW w:type="dxa" w:w="5976"/>
            <w:shd w:fill="1F4E78"/>
            <w:tcMar>
              <w:top w:w="80" w:type="dxa"/>
              <w:start w:w="120" w:type="dxa"/>
              <w:bottom w:w="80" w:type="dxa"/>
              <w:end w:w="120" w:type="dxa"/>
            </w:tcMar>
            <w:vAlign w:val="center"/>
          </w:tcPr>
          <w:p>
            <w:pPr>
              <w:spacing w:after="0"/>
            </w:pPr>
            <w:r>
              <w:rPr>
                <w:rFonts w:ascii="Calibri" w:hAnsi="Calibri"/>
                <w:b/>
                <w:i w:val="0"/>
                <w:color w:val="FFFFFF"/>
                <w:sz w:val="18"/>
              </w:rPr>
              <w:t>Not</w:t>
            </w:r>
          </w:p>
        </w:tc>
      </w:tr>
      <w:tr>
        <w:trPr>
          <w:cantSplit/>
        </w:trPr>
        <w:tc>
          <w:tcPr>
            <w:tcW w:type="dxa" w:w="1944"/>
            <w:tcMar>
              <w:top w:w="80" w:type="dxa"/>
              <w:start w:w="120" w:type="dxa"/>
              <w:bottom w:w="80" w:type="dxa"/>
              <w:end w:w="120" w:type="dxa"/>
            </w:tcMar>
            <w:vAlign w:val="center"/>
          </w:tcPr>
          <w:p>
            <w:pPr>
              <w:spacing w:after="0"/>
            </w:pPr>
            <w:r>
              <w:rPr>
                <w:rFonts w:ascii="Calibri" w:hAnsi="Calibri"/>
                <w:b w:val="0"/>
                <w:i w:val="0"/>
                <w:color w:val="222222"/>
                <w:sz w:val="18"/>
              </w:rPr>
              <w:t>Technical</w:t>
            </w:r>
          </w:p>
        </w:tc>
        <w:tc>
          <w:tcPr>
            <w:tcW w:type="dxa" w:w="1152"/>
            <w:tcMar>
              <w:top w:w="80" w:type="dxa"/>
              <w:start w:w="120" w:type="dxa"/>
              <w:bottom w:w="80" w:type="dxa"/>
              <w:end w:w="120" w:type="dxa"/>
            </w:tcMar>
            <w:vAlign w:val="center"/>
          </w:tcPr>
          <w:p>
            <w:pPr>
              <w:spacing w:after="0"/>
            </w:pPr>
            <w:r>
              <w:rPr>
                <w:rFonts w:ascii="Calibri" w:hAnsi="Calibri"/>
                <w:b w:val="0"/>
                <w:i w:val="0"/>
                <w:color w:val="222222"/>
                <w:sz w:val="18"/>
              </w:rPr>
              <w:t>%12</w:t>
            </w:r>
          </w:p>
        </w:tc>
        <w:tc>
          <w:tcPr>
            <w:tcW w:type="dxa" w:w="5976"/>
            <w:tcMar>
              <w:top w:w="80" w:type="dxa"/>
              <w:start w:w="120" w:type="dxa"/>
              <w:bottom w:w="80" w:type="dxa"/>
              <w:end w:w="120" w:type="dxa"/>
            </w:tcMar>
            <w:vAlign w:val="center"/>
          </w:tcPr>
          <w:p>
            <w:pPr>
              <w:spacing w:after="0"/>
            </w:pPr>
            <w:r>
              <w:rPr>
                <w:rFonts w:ascii="Calibri" w:hAnsi="Calibri"/>
                <w:b w:val="0"/>
                <w:i w:val="0"/>
                <w:color w:val="222222"/>
                <w:sz w:val="18"/>
              </w:rPr>
              <w:t>Toplam teknik ağırlığın %60’ı</w:t>
            </w:r>
          </w:p>
        </w:tc>
      </w:tr>
      <w:tr>
        <w:trPr>
          <w:cantSplit/>
        </w:trPr>
        <w:tc>
          <w:tcPr>
            <w:tcW w:type="dxa" w:w="1944"/>
            <w:tcMar>
              <w:top w:w="80" w:type="dxa"/>
              <w:start w:w="120" w:type="dxa"/>
              <w:bottom w:w="80" w:type="dxa"/>
              <w:end w:w="120" w:type="dxa"/>
            </w:tcMar>
            <w:vAlign w:val="center"/>
            <w:shd w:fill="F7F9FB"/>
          </w:tcPr>
          <w:p>
            <w:pPr>
              <w:spacing w:after="0"/>
            </w:pPr>
            <w:r>
              <w:rPr>
                <w:rFonts w:ascii="Calibri" w:hAnsi="Calibri"/>
                <w:b w:val="0"/>
                <w:i w:val="0"/>
                <w:color w:val="222222"/>
                <w:sz w:val="18"/>
              </w:rPr>
              <w:t>Trend</w:t>
            </w:r>
          </w:p>
        </w:tc>
        <w:tc>
          <w:tcPr>
            <w:tcW w:type="dxa" w:w="1152"/>
            <w:tcMar>
              <w:top w:w="80" w:type="dxa"/>
              <w:start w:w="120" w:type="dxa"/>
              <w:bottom w:w="80" w:type="dxa"/>
              <w:end w:w="120" w:type="dxa"/>
            </w:tcMar>
            <w:vAlign w:val="center"/>
            <w:shd w:fill="F7F9FB"/>
          </w:tcPr>
          <w:p>
            <w:pPr>
              <w:spacing w:after="0"/>
            </w:pPr>
            <w:r>
              <w:rPr>
                <w:rFonts w:ascii="Calibri" w:hAnsi="Calibri"/>
                <w:b w:val="0"/>
                <w:i w:val="0"/>
                <w:color w:val="222222"/>
                <w:sz w:val="18"/>
              </w:rPr>
              <w:t>%4</w:t>
            </w:r>
          </w:p>
        </w:tc>
        <w:tc>
          <w:tcPr>
            <w:tcW w:type="dxa" w:w="5976"/>
            <w:tcMar>
              <w:top w:w="80" w:type="dxa"/>
              <w:start w:w="120" w:type="dxa"/>
              <w:bottom w:w="80" w:type="dxa"/>
              <w:end w:w="120" w:type="dxa"/>
            </w:tcMar>
            <w:vAlign w:val="center"/>
            <w:shd w:fill="F7F9FB"/>
          </w:tcPr>
          <w:p>
            <w:pPr>
              <w:spacing w:after="0"/>
            </w:pPr>
            <w:r>
              <w:rPr>
                <w:rFonts w:ascii="Calibri" w:hAnsi="Calibri"/>
                <w:b w:val="0"/>
                <w:i w:val="0"/>
                <w:color w:val="222222"/>
                <w:sz w:val="18"/>
              </w:rPr>
              <w:t>Toplam teknik ağırlığın %20’si</w:t>
            </w:r>
          </w:p>
        </w:tc>
      </w:tr>
      <w:tr>
        <w:trPr>
          <w:cantSplit/>
        </w:trPr>
        <w:tc>
          <w:tcPr>
            <w:tcW w:type="dxa" w:w="1944"/>
            <w:tcMar>
              <w:top w:w="80" w:type="dxa"/>
              <w:start w:w="120" w:type="dxa"/>
              <w:bottom w:w="80" w:type="dxa"/>
              <w:end w:w="120" w:type="dxa"/>
            </w:tcMar>
            <w:vAlign w:val="center"/>
          </w:tcPr>
          <w:p>
            <w:pPr>
              <w:spacing w:after="0"/>
            </w:pPr>
            <w:r>
              <w:rPr>
                <w:rFonts w:ascii="Calibri" w:hAnsi="Calibri"/>
                <w:b w:val="0"/>
                <w:i w:val="0"/>
                <w:color w:val="222222"/>
                <w:sz w:val="18"/>
              </w:rPr>
              <w:t>Liquidity</w:t>
            </w:r>
          </w:p>
        </w:tc>
        <w:tc>
          <w:tcPr>
            <w:tcW w:type="dxa" w:w="1152"/>
            <w:tcMar>
              <w:top w:w="80" w:type="dxa"/>
              <w:start w:w="120" w:type="dxa"/>
              <w:bottom w:w="80" w:type="dxa"/>
              <w:end w:w="120" w:type="dxa"/>
            </w:tcMar>
            <w:vAlign w:val="center"/>
          </w:tcPr>
          <w:p>
            <w:pPr>
              <w:spacing w:after="0"/>
            </w:pPr>
            <w:r>
              <w:rPr>
                <w:rFonts w:ascii="Calibri" w:hAnsi="Calibri"/>
                <w:b w:val="0"/>
                <w:i w:val="0"/>
                <w:color w:val="222222"/>
                <w:sz w:val="18"/>
              </w:rPr>
              <w:t>%4</w:t>
            </w:r>
          </w:p>
        </w:tc>
        <w:tc>
          <w:tcPr>
            <w:tcW w:type="dxa" w:w="5976"/>
            <w:tcMar>
              <w:top w:w="80" w:type="dxa"/>
              <w:start w:w="120" w:type="dxa"/>
              <w:bottom w:w="80" w:type="dxa"/>
              <w:end w:w="120" w:type="dxa"/>
            </w:tcMar>
            <w:vAlign w:val="center"/>
          </w:tcPr>
          <w:p>
            <w:pPr>
              <w:spacing w:after="0"/>
            </w:pPr>
            <w:r>
              <w:rPr>
                <w:rFonts w:ascii="Calibri" w:hAnsi="Calibri"/>
                <w:b w:val="0"/>
                <w:i w:val="0"/>
                <w:color w:val="222222"/>
                <w:sz w:val="18"/>
              </w:rPr>
              <w:t>Toplam teknik ağırlığın %20’si</w:t>
            </w:r>
          </w:p>
        </w:tc>
      </w:tr>
      <w:tr>
        <w:trPr>
          <w:cantSplit/>
        </w:trPr>
        <w:tc>
          <w:tcPr>
            <w:tcW w:type="dxa" w:w="1944"/>
            <w:tcMar>
              <w:top w:w="80" w:type="dxa"/>
              <w:start w:w="120" w:type="dxa"/>
              <w:bottom w:w="80" w:type="dxa"/>
              <w:end w:w="120" w:type="dxa"/>
            </w:tcMar>
            <w:vAlign w:val="center"/>
            <w:shd w:fill="F7F9FB"/>
          </w:tcPr>
          <w:p>
            <w:pPr>
              <w:spacing w:after="0"/>
            </w:pPr>
            <w:r>
              <w:rPr>
                <w:rFonts w:ascii="Calibri" w:hAnsi="Calibri"/>
                <w:b w:val="0"/>
                <w:i w:val="0"/>
                <w:color w:val="222222"/>
                <w:sz w:val="18"/>
              </w:rPr>
              <w:t>Momentum</w:t>
            </w:r>
          </w:p>
        </w:tc>
        <w:tc>
          <w:tcPr>
            <w:tcW w:type="dxa" w:w="1152"/>
            <w:tcMar>
              <w:top w:w="80" w:type="dxa"/>
              <w:start w:w="120" w:type="dxa"/>
              <w:bottom w:w="80" w:type="dxa"/>
              <w:end w:w="120" w:type="dxa"/>
            </w:tcMar>
            <w:vAlign w:val="center"/>
            <w:shd w:fill="F7F9FB"/>
          </w:tcPr>
          <w:p>
            <w:pPr>
              <w:spacing w:after="0"/>
            </w:pPr>
            <w:r>
              <w:rPr>
                <w:rFonts w:ascii="Calibri" w:hAnsi="Calibri"/>
                <w:b w:val="0"/>
                <w:i w:val="0"/>
                <w:color w:val="222222"/>
                <w:sz w:val="18"/>
              </w:rPr>
              <w:t>%25</w:t>
            </w:r>
          </w:p>
        </w:tc>
        <w:tc>
          <w:tcPr>
            <w:tcW w:type="dxa" w:w="5976"/>
            <w:tcMar>
              <w:top w:w="80" w:type="dxa"/>
              <w:start w:w="120" w:type="dxa"/>
              <w:bottom w:w="80" w:type="dxa"/>
              <w:end w:w="120" w:type="dxa"/>
            </w:tcMar>
            <w:vAlign w:val="center"/>
            <w:shd w:fill="F7F9FB"/>
          </w:tcPr>
          <w:p>
            <w:pPr>
              <w:spacing w:after="0"/>
            </w:pPr>
            <w:r>
              <w:rPr>
                <w:rFonts w:ascii="Calibri" w:hAnsi="Calibri"/>
                <w:b w:val="0"/>
                <w:i w:val="0"/>
                <w:color w:val="222222"/>
                <w:sz w:val="18"/>
              </w:rPr>
              <w:t>Doğrudan</w:t>
            </w:r>
          </w:p>
        </w:tc>
      </w:tr>
      <w:tr>
        <w:trPr>
          <w:cantSplit/>
        </w:trPr>
        <w:tc>
          <w:tcPr>
            <w:tcW w:type="dxa" w:w="1944"/>
            <w:tcMar>
              <w:top w:w="80" w:type="dxa"/>
              <w:start w:w="120" w:type="dxa"/>
              <w:bottom w:w="80" w:type="dxa"/>
              <w:end w:w="120" w:type="dxa"/>
            </w:tcMar>
            <w:vAlign w:val="center"/>
          </w:tcPr>
          <w:p>
            <w:pPr>
              <w:spacing w:after="0"/>
            </w:pPr>
            <w:r>
              <w:rPr>
                <w:rFonts w:ascii="Calibri" w:hAnsi="Calibri"/>
                <w:b w:val="0"/>
                <w:i w:val="0"/>
                <w:color w:val="222222"/>
                <w:sz w:val="18"/>
              </w:rPr>
              <w:t>Volume</w:t>
            </w:r>
          </w:p>
        </w:tc>
        <w:tc>
          <w:tcPr>
            <w:tcW w:type="dxa" w:w="1152"/>
            <w:tcMar>
              <w:top w:w="80" w:type="dxa"/>
              <w:start w:w="120" w:type="dxa"/>
              <w:bottom w:w="80" w:type="dxa"/>
              <w:end w:w="120" w:type="dxa"/>
            </w:tcMar>
            <w:vAlign w:val="center"/>
          </w:tcPr>
          <w:p>
            <w:pPr>
              <w:spacing w:after="0"/>
            </w:pPr>
            <w:r>
              <w:rPr>
                <w:rFonts w:ascii="Calibri" w:hAnsi="Calibri"/>
                <w:b w:val="0"/>
                <w:i w:val="0"/>
                <w:color w:val="222222"/>
                <w:sz w:val="18"/>
              </w:rPr>
              <w:t>%20</w:t>
            </w:r>
          </w:p>
        </w:tc>
        <w:tc>
          <w:tcPr>
            <w:tcW w:type="dxa" w:w="5976"/>
            <w:tcMar>
              <w:top w:w="80" w:type="dxa"/>
              <w:start w:w="120" w:type="dxa"/>
              <w:bottom w:w="80" w:type="dxa"/>
              <w:end w:w="120" w:type="dxa"/>
            </w:tcMar>
            <w:vAlign w:val="center"/>
          </w:tcPr>
          <w:p>
            <w:pPr>
              <w:spacing w:after="0"/>
            </w:pPr>
            <w:r>
              <w:rPr>
                <w:rFonts w:ascii="Calibri" w:hAnsi="Calibri"/>
                <w:b w:val="0"/>
                <w:i w:val="0"/>
                <w:color w:val="222222"/>
                <w:sz w:val="18"/>
              </w:rPr>
              <w:t>Doğrudan</w:t>
            </w:r>
          </w:p>
        </w:tc>
      </w:tr>
      <w:tr>
        <w:trPr>
          <w:cantSplit/>
        </w:trPr>
        <w:tc>
          <w:tcPr>
            <w:tcW w:type="dxa" w:w="1944"/>
            <w:tcMar>
              <w:top w:w="80" w:type="dxa"/>
              <w:start w:w="120" w:type="dxa"/>
              <w:bottom w:w="80" w:type="dxa"/>
              <w:end w:w="120" w:type="dxa"/>
            </w:tcMar>
            <w:vAlign w:val="center"/>
            <w:shd w:fill="F7F9FB"/>
          </w:tcPr>
          <w:p>
            <w:pPr>
              <w:spacing w:after="0"/>
            </w:pPr>
            <w:r>
              <w:rPr>
                <w:rFonts w:ascii="Calibri" w:hAnsi="Calibri"/>
                <w:b w:val="0"/>
                <w:i w:val="0"/>
                <w:color w:val="222222"/>
                <w:sz w:val="18"/>
              </w:rPr>
              <w:t>News/KAP</w:t>
            </w:r>
          </w:p>
        </w:tc>
        <w:tc>
          <w:tcPr>
            <w:tcW w:type="dxa" w:w="1152"/>
            <w:tcMar>
              <w:top w:w="80" w:type="dxa"/>
              <w:start w:w="120" w:type="dxa"/>
              <w:bottom w:w="80" w:type="dxa"/>
              <w:end w:w="120" w:type="dxa"/>
            </w:tcMar>
            <w:vAlign w:val="center"/>
            <w:shd w:fill="F7F9FB"/>
          </w:tcPr>
          <w:p>
            <w:pPr>
              <w:spacing w:after="0"/>
            </w:pPr>
            <w:r>
              <w:rPr>
                <w:rFonts w:ascii="Calibri" w:hAnsi="Calibri"/>
                <w:b w:val="0"/>
                <w:i w:val="0"/>
                <w:color w:val="222222"/>
                <w:sz w:val="18"/>
              </w:rPr>
              <w:t>%20</w:t>
            </w:r>
          </w:p>
        </w:tc>
        <w:tc>
          <w:tcPr>
            <w:tcW w:type="dxa" w:w="5976"/>
            <w:tcMar>
              <w:top w:w="80" w:type="dxa"/>
              <w:start w:w="120" w:type="dxa"/>
              <w:bottom w:w="80" w:type="dxa"/>
              <w:end w:w="120" w:type="dxa"/>
            </w:tcMar>
            <w:vAlign w:val="center"/>
            <w:shd w:fill="F7F9FB"/>
          </w:tcPr>
          <w:p>
            <w:pPr>
              <w:spacing w:after="0"/>
            </w:pPr>
            <w:r>
              <w:rPr>
                <w:rFonts w:ascii="Calibri" w:hAnsi="Calibri"/>
                <w:b w:val="0"/>
                <w:i w:val="0"/>
                <w:color w:val="222222"/>
                <w:sz w:val="18"/>
              </w:rPr>
              <w:t>Yalnız materyal olay varsa</w:t>
            </w:r>
          </w:p>
        </w:tc>
      </w:tr>
      <w:tr>
        <w:trPr>
          <w:cantSplit/>
        </w:trPr>
        <w:tc>
          <w:tcPr>
            <w:tcW w:type="dxa" w:w="1944"/>
            <w:tcMar>
              <w:top w:w="80" w:type="dxa"/>
              <w:start w:w="120" w:type="dxa"/>
              <w:bottom w:w="80" w:type="dxa"/>
              <w:end w:w="120" w:type="dxa"/>
            </w:tcMar>
            <w:vAlign w:val="center"/>
          </w:tcPr>
          <w:p>
            <w:pPr>
              <w:spacing w:after="0"/>
            </w:pPr>
            <w:r>
              <w:rPr>
                <w:rFonts w:ascii="Calibri" w:hAnsi="Calibri"/>
                <w:b w:val="0"/>
                <w:i w:val="0"/>
                <w:color w:val="222222"/>
                <w:sz w:val="18"/>
              </w:rPr>
              <w:t>LLM</w:t>
            </w:r>
          </w:p>
        </w:tc>
        <w:tc>
          <w:tcPr>
            <w:tcW w:type="dxa" w:w="1152"/>
            <w:tcMar>
              <w:top w:w="80" w:type="dxa"/>
              <w:start w:w="120" w:type="dxa"/>
              <w:bottom w:w="80" w:type="dxa"/>
              <w:end w:w="120" w:type="dxa"/>
            </w:tcMar>
            <w:vAlign w:val="center"/>
          </w:tcPr>
          <w:p>
            <w:pPr>
              <w:spacing w:after="0"/>
            </w:pPr>
            <w:r>
              <w:rPr>
                <w:rFonts w:ascii="Calibri" w:hAnsi="Calibri"/>
                <w:b w:val="0"/>
                <w:i w:val="0"/>
                <w:color w:val="222222"/>
                <w:sz w:val="18"/>
              </w:rPr>
              <w:t>%15</w:t>
            </w:r>
          </w:p>
        </w:tc>
        <w:tc>
          <w:tcPr>
            <w:tcW w:type="dxa" w:w="5976"/>
            <w:tcMar>
              <w:top w:w="80" w:type="dxa"/>
              <w:start w:w="120" w:type="dxa"/>
              <w:bottom w:w="80" w:type="dxa"/>
              <w:end w:w="120" w:type="dxa"/>
            </w:tcMar>
            <w:vAlign w:val="center"/>
          </w:tcPr>
          <w:p>
            <w:pPr>
              <w:spacing w:after="0"/>
            </w:pPr>
            <w:r>
              <w:rPr>
                <w:rFonts w:ascii="Calibri" w:hAnsi="Calibri"/>
                <w:b w:val="0"/>
                <w:i w:val="0"/>
                <w:color w:val="222222"/>
                <w:sz w:val="18"/>
              </w:rPr>
              <w:t>Yalnız geçerli analiz varsa</w:t>
            </w:r>
          </w:p>
        </w:tc>
      </w:tr>
    </w:tbl>
    <w:p>
      <w:pPr>
        <w:spacing w:after="0"/>
      </w:pPr>
    </w:p>
    <w:p>
      <w:pPr>
        <w:spacing w:after="120" w:line="300" w:lineRule="auto"/>
      </w:pPr>
      <w:r>
        <w:rPr>
          <w:rFonts w:ascii="Calibri" w:hAnsi="Calibri"/>
          <w:b w:val="0"/>
          <w:i w:val="0"/>
          <w:color w:val="222222"/>
          <w:sz w:val="22"/>
        </w:rPr>
        <w:t>Kullanılmayan News/KAP veya LLM ağırlığı sıfır puan gibi eklenmez. Mevcut ağırlıklar toplamı 1 olacak şekilde yeniden normalize edilir. Trend ve liquidity her teknik sinyalde mevcuttur ve artık missing_components içinde gösterilmez.</w:t>
      </w:r>
    </w:p>
    <w:p>
      <w:pPr>
        <w:pStyle w:val="Heading1"/>
      </w:pPr>
      <w:r>
        <w:t>LLM puan dönüşümü</w:t>
      </w:r>
    </w:p>
    <w:p>
      <w:pPr>
        <w:pStyle w:val="ListBullet"/>
        <w:spacing w:after="80" w:line="288" w:lineRule="auto"/>
      </w:pPr>
      <w:r>
        <w:rPr>
          <w:rFonts w:ascii="Calibri" w:hAnsi="Calibri"/>
          <w:b w:val="0"/>
          <w:i w:val="0"/>
          <w:color w:val="222222"/>
          <w:sz w:val="22"/>
        </w:rPr>
        <w:t>BUY bias: 50 + catalyst_score × confidence / 200</w:t>
      </w:r>
    </w:p>
    <w:p>
      <w:pPr>
        <w:pStyle w:val="ListBullet"/>
        <w:spacing w:after="80" w:line="288" w:lineRule="auto"/>
      </w:pPr>
      <w:r>
        <w:rPr>
          <w:rFonts w:ascii="Calibri" w:hAnsi="Calibri"/>
          <w:b w:val="0"/>
          <w:i w:val="0"/>
          <w:color w:val="222222"/>
          <w:sz w:val="22"/>
        </w:rPr>
        <w:t>SELL bias: confidence (bearish hesap ayrıca teknik bileşenleri tersler)</w:t>
      </w:r>
    </w:p>
    <w:p>
      <w:pPr>
        <w:pStyle w:val="ListBullet"/>
        <w:spacing w:after="80" w:line="288" w:lineRule="auto"/>
      </w:pPr>
      <w:r>
        <w:rPr>
          <w:rFonts w:ascii="Calibri" w:hAnsi="Calibri"/>
          <w:b w:val="0"/>
          <w:i w:val="0"/>
          <w:color w:val="222222"/>
          <w:sz w:val="22"/>
        </w:rPr>
        <w:t>HOLD bias: LLM mevcutsa yeni BUY’ı bloke eder</w:t>
      </w:r>
    </w:p>
    <w:p>
      <w:pPr>
        <w:spacing w:after="120" w:line="300" w:lineRule="auto"/>
      </w:pPr>
      <w:r>
        <w:rPr>
          <w:rFonts w:ascii="Calibri" w:hAnsi="Calibri"/>
          <w:b w:val="0"/>
          <w:i w:val="0"/>
          <w:color w:val="222222"/>
          <w:sz w:val="22"/>
        </w:rPr>
        <w:t>Temel BUY eşiği aktif config’te 72, SELL eşiği 38’dir. strong_buy_threshold 82 config’te tanımlı olsa da mevcut strateji karar kodu BUY için buy_threshold değerini kullanır.</w:t>
      </w:r>
    </w:p>
    <w:p>
      <w:pPr>
        <w:pStyle w:val="Title"/>
      </w:pPr>
      <w:r>
        <w:t>10. Market Regime / gerçek makro pipeline</w:t>
      </w:r>
    </w:p>
    <w:p>
      <w:pPr>
        <w:spacing w:after="120" w:line="300" w:lineRule="auto"/>
      </w:pPr>
      <w:r>
        <w:rPr>
          <w:rFonts w:ascii="Calibri" w:hAnsi="Calibri"/>
          <w:b w:val="0"/>
          <w:i w:val="0"/>
          <w:color w:val="222222"/>
          <w:sz w:val="22"/>
        </w:rPr>
        <w:t>Makro katman şirket puanına sıradan haber bileşeni olarak eklenmez. Ayrı risk overlay’i olarak çalışır. Varsayılan sağlayıcı RealMacroNewsProvider’dır; STATIC yalnızca açık test enjeksiyonunda kullanılır.</w:t>
      </w:r>
    </w:p>
    <w:p>
      <w:pPr>
        <w:pStyle w:val="Heading1"/>
      </w:pPr>
      <w:r>
        <w:t>Kaynaklar</w:t>
      </w:r>
    </w:p>
    <w:p>
      <w:pPr>
        <w:pStyle w:val="ListBullet"/>
        <w:spacing w:after="80" w:line="288" w:lineRule="auto"/>
      </w:pPr>
      <w:r>
        <w:rPr>
          <w:rFonts w:ascii="Calibri" w:hAnsi="Calibri"/>
          <w:b w:val="0"/>
          <w:i w:val="0"/>
          <w:color w:val="222222"/>
          <w:sz w:val="22"/>
        </w:rPr>
        <w:t>Resmî RSS: TCMB, Federal Reserve, ECB</w:t>
      </w:r>
    </w:p>
    <w:p>
      <w:pPr>
        <w:pStyle w:val="ListBullet"/>
        <w:spacing w:after="80" w:line="288" w:lineRule="auto"/>
      </w:pPr>
      <w:r>
        <w:rPr>
          <w:rFonts w:ascii="Calibri" w:hAnsi="Calibri"/>
          <w:b w:val="0"/>
          <w:i w:val="0"/>
          <w:color w:val="222222"/>
          <w:sz w:val="22"/>
        </w:rPr>
        <w:t>Piyasa bağlamı: USDTRY, EURTRY, Brent, Gold, S&amp;P 500, Nasdaq, VIX, ABD 10Y</w:t>
      </w:r>
    </w:p>
    <w:p>
      <w:pPr>
        <w:pStyle w:val="ListBullet"/>
        <w:spacing w:after="80" w:line="288" w:lineRule="auto"/>
      </w:pPr>
      <w:r>
        <w:rPr>
          <w:rFonts w:ascii="Calibri" w:hAnsi="Calibri"/>
          <w:b w:val="0"/>
          <w:i w:val="0"/>
          <w:color w:val="222222"/>
          <w:sz w:val="22"/>
        </w:rPr>
        <w:t>SPK, Borsa İstanbul, TÜİK ve Hazine için kararlı makine-okunur endpoint yoksa UNAVAILABLE raporlanır; veri uydurulmaz</w:t>
      </w:r>
    </w:p>
    <w:p>
      <w:pPr>
        <w:pStyle w:val="ListBullet"/>
        <w:spacing w:after="80" w:line="288" w:lineRule="auto"/>
      </w:pPr>
      <w:r>
        <w:rPr>
          <w:rFonts w:ascii="Calibri" w:hAnsi="Calibri"/>
          <w:b w:val="0"/>
          <w:i w:val="0"/>
          <w:color w:val="222222"/>
          <w:sz w:val="22"/>
        </w:rPr>
        <w:t>Sosyal medya doğrulama kaynağı değildir</w:t>
      </w:r>
    </w:p>
    <w:p>
      <w:pPr>
        <w:pStyle w:val="Heading1"/>
      </w:pPr>
      <w:r>
        <w:t>Yedi risk kategorisi</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3024"/>
            <w:shd w:fill="1F4E78"/>
            <w:tcMar>
              <w:top w:w="80" w:type="dxa"/>
              <w:start w:w="120" w:type="dxa"/>
              <w:bottom w:w="80" w:type="dxa"/>
              <w:end w:w="120" w:type="dxa"/>
            </w:tcMar>
            <w:vAlign w:val="center"/>
          </w:tcPr>
          <w:p>
            <w:pPr>
              <w:spacing w:after="0"/>
            </w:pPr>
            <w:r>
              <w:rPr>
                <w:rFonts w:ascii="Calibri" w:hAnsi="Calibri"/>
                <w:b/>
                <w:i w:val="0"/>
                <w:color w:val="FFFFFF"/>
                <w:sz w:val="18"/>
              </w:rPr>
              <w:t>Kategori</w:t>
            </w:r>
          </w:p>
        </w:tc>
        <w:tc>
          <w:tcPr>
            <w:tcW w:type="dxa" w:w="6048"/>
            <w:shd w:fill="1F4E78"/>
            <w:tcMar>
              <w:top w:w="80" w:type="dxa"/>
              <w:start w:w="120" w:type="dxa"/>
              <w:bottom w:w="80" w:type="dxa"/>
              <w:end w:w="120" w:type="dxa"/>
            </w:tcMar>
            <w:vAlign w:val="center"/>
          </w:tcPr>
          <w:p>
            <w:pPr>
              <w:spacing w:after="0"/>
            </w:pPr>
            <w:r>
              <w:rPr>
                <w:rFonts w:ascii="Calibri" w:hAnsi="Calibri"/>
                <w:b/>
                <w:i w:val="0"/>
                <w:color w:val="FFFFFF"/>
                <w:sz w:val="18"/>
              </w:rPr>
              <w:t>Örnek kapsam</w:t>
            </w:r>
          </w:p>
        </w:tc>
      </w:tr>
      <w:tr>
        <w:trPr>
          <w:cantSplit/>
        </w:trPr>
        <w:tc>
          <w:tcPr>
            <w:tcW w:type="dxa" w:w="3024"/>
            <w:tcMar>
              <w:top w:w="80" w:type="dxa"/>
              <w:start w:w="120" w:type="dxa"/>
              <w:bottom w:w="80" w:type="dxa"/>
              <w:end w:w="120" w:type="dxa"/>
            </w:tcMar>
            <w:vAlign w:val="center"/>
          </w:tcPr>
          <w:p>
            <w:pPr>
              <w:spacing w:after="0"/>
            </w:pPr>
            <w:r>
              <w:rPr>
                <w:rFonts w:ascii="Calibri" w:hAnsi="Calibri"/>
                <w:b w:val="0"/>
                <w:i w:val="0"/>
                <w:color w:val="222222"/>
                <w:sz w:val="18"/>
              </w:rPr>
              <w:t>turkey_macro_risk</w:t>
            </w:r>
          </w:p>
        </w:tc>
        <w:tc>
          <w:tcPr>
            <w:tcW w:type="dxa" w:w="6048"/>
            <w:tcMar>
              <w:top w:w="80" w:type="dxa"/>
              <w:start w:w="120" w:type="dxa"/>
              <w:bottom w:w="80" w:type="dxa"/>
              <w:end w:w="120" w:type="dxa"/>
            </w:tcMar>
            <w:vAlign w:val="center"/>
          </w:tcPr>
          <w:p>
            <w:pPr>
              <w:spacing w:after="0"/>
            </w:pPr>
            <w:r>
              <w:rPr>
                <w:rFonts w:ascii="Calibri" w:hAnsi="Calibri"/>
                <w:b w:val="0"/>
                <w:i w:val="0"/>
                <w:color w:val="222222"/>
                <w:sz w:val="18"/>
              </w:rPr>
              <w:t>Enflasyon, TCMB, Türkiye makro şoku</w:t>
            </w:r>
          </w:p>
        </w:tc>
      </w:tr>
      <w:tr>
        <w:trPr>
          <w:cantSplit/>
        </w:trPr>
        <w:tc>
          <w:tcPr>
            <w:tcW w:type="dxa" w:w="3024"/>
            <w:tcMar>
              <w:top w:w="80" w:type="dxa"/>
              <w:start w:w="120" w:type="dxa"/>
              <w:bottom w:w="80" w:type="dxa"/>
              <w:end w:w="120" w:type="dxa"/>
            </w:tcMar>
            <w:vAlign w:val="center"/>
            <w:shd w:fill="F7F9FB"/>
          </w:tcPr>
          <w:p>
            <w:pPr>
              <w:spacing w:after="0"/>
            </w:pPr>
            <w:r>
              <w:rPr>
                <w:rFonts w:ascii="Calibri" w:hAnsi="Calibri"/>
                <w:b w:val="0"/>
                <w:i w:val="0"/>
                <w:color w:val="222222"/>
                <w:sz w:val="18"/>
              </w:rPr>
              <w:t>domestic_policy_risk</w:t>
            </w:r>
          </w:p>
        </w:tc>
        <w:tc>
          <w:tcPr>
            <w:tcW w:type="dxa" w:w="6048"/>
            <w:tcMar>
              <w:top w:w="80" w:type="dxa"/>
              <w:start w:w="120" w:type="dxa"/>
              <w:bottom w:w="80" w:type="dxa"/>
              <w:end w:w="120" w:type="dxa"/>
            </w:tcMar>
            <w:vAlign w:val="center"/>
            <w:shd w:fill="F7F9FB"/>
          </w:tcPr>
          <w:p>
            <w:pPr>
              <w:spacing w:after="0"/>
            </w:pPr>
            <w:r>
              <w:rPr>
                <w:rFonts w:ascii="Calibri" w:hAnsi="Calibri"/>
                <w:b w:val="0"/>
                <w:i w:val="0"/>
                <w:color w:val="222222"/>
                <w:sz w:val="18"/>
              </w:rPr>
              <w:t>SPK/BIST düzenleme, vergi/politika</w:t>
            </w:r>
          </w:p>
        </w:tc>
      </w:tr>
      <w:tr>
        <w:trPr>
          <w:cantSplit/>
        </w:trPr>
        <w:tc>
          <w:tcPr>
            <w:tcW w:type="dxa" w:w="3024"/>
            <w:tcMar>
              <w:top w:w="80" w:type="dxa"/>
              <w:start w:w="120" w:type="dxa"/>
              <w:bottom w:w="80" w:type="dxa"/>
              <w:end w:w="120" w:type="dxa"/>
            </w:tcMar>
            <w:vAlign w:val="center"/>
          </w:tcPr>
          <w:p>
            <w:pPr>
              <w:spacing w:after="0"/>
            </w:pPr>
            <w:r>
              <w:rPr>
                <w:rFonts w:ascii="Calibri" w:hAnsi="Calibri"/>
                <w:b w:val="0"/>
                <w:i w:val="0"/>
                <w:color w:val="222222"/>
                <w:sz w:val="18"/>
              </w:rPr>
              <w:t>geopolitical_risk</w:t>
            </w:r>
          </w:p>
        </w:tc>
        <w:tc>
          <w:tcPr>
            <w:tcW w:type="dxa" w:w="6048"/>
            <w:tcMar>
              <w:top w:w="80" w:type="dxa"/>
              <w:start w:w="120" w:type="dxa"/>
              <w:bottom w:w="80" w:type="dxa"/>
              <w:end w:w="120" w:type="dxa"/>
            </w:tcMar>
            <w:vAlign w:val="center"/>
          </w:tcPr>
          <w:p>
            <w:pPr>
              <w:spacing w:after="0"/>
            </w:pPr>
            <w:r>
              <w:rPr>
                <w:rFonts w:ascii="Calibri" w:hAnsi="Calibri"/>
                <w:b w:val="0"/>
                <w:i w:val="0"/>
                <w:color w:val="222222"/>
                <w:sz w:val="18"/>
              </w:rPr>
              <w:t>Savaş ve bölgesel gerilim</w:t>
            </w:r>
          </w:p>
        </w:tc>
      </w:tr>
      <w:tr>
        <w:trPr>
          <w:cantSplit/>
        </w:trPr>
        <w:tc>
          <w:tcPr>
            <w:tcW w:type="dxa" w:w="3024"/>
            <w:tcMar>
              <w:top w:w="80" w:type="dxa"/>
              <w:start w:w="120" w:type="dxa"/>
              <w:bottom w:w="80" w:type="dxa"/>
              <w:end w:w="120" w:type="dxa"/>
            </w:tcMar>
            <w:vAlign w:val="center"/>
            <w:shd w:fill="F7F9FB"/>
          </w:tcPr>
          <w:p>
            <w:pPr>
              <w:spacing w:after="0"/>
            </w:pPr>
            <w:r>
              <w:rPr>
                <w:rFonts w:ascii="Calibri" w:hAnsi="Calibri"/>
                <w:b w:val="0"/>
                <w:i w:val="0"/>
                <w:color w:val="222222"/>
                <w:sz w:val="18"/>
              </w:rPr>
              <w:t>global_market_risk</w:t>
            </w:r>
          </w:p>
        </w:tc>
        <w:tc>
          <w:tcPr>
            <w:tcW w:type="dxa" w:w="6048"/>
            <w:tcMar>
              <w:top w:w="80" w:type="dxa"/>
              <w:start w:w="120" w:type="dxa"/>
              <w:bottom w:w="80" w:type="dxa"/>
              <w:end w:w="120" w:type="dxa"/>
            </w:tcMar>
            <w:vAlign w:val="center"/>
            <w:shd w:fill="F7F9FB"/>
          </w:tcPr>
          <w:p>
            <w:pPr>
              <w:spacing w:after="0"/>
            </w:pPr>
            <w:r>
              <w:rPr>
                <w:rFonts w:ascii="Calibri" w:hAnsi="Calibri"/>
                <w:b w:val="0"/>
                <w:i w:val="0"/>
                <w:color w:val="222222"/>
                <w:sz w:val="18"/>
              </w:rPr>
              <w:t>Fed/ECB, küresel endeks şoku</w:t>
            </w:r>
          </w:p>
        </w:tc>
      </w:tr>
      <w:tr>
        <w:trPr>
          <w:cantSplit/>
        </w:trPr>
        <w:tc>
          <w:tcPr>
            <w:tcW w:type="dxa" w:w="3024"/>
            <w:tcMar>
              <w:top w:w="80" w:type="dxa"/>
              <w:start w:w="120" w:type="dxa"/>
              <w:bottom w:w="80" w:type="dxa"/>
              <w:end w:w="120" w:type="dxa"/>
            </w:tcMar>
            <w:vAlign w:val="center"/>
          </w:tcPr>
          <w:p>
            <w:pPr>
              <w:spacing w:after="0"/>
            </w:pPr>
            <w:r>
              <w:rPr>
                <w:rFonts w:ascii="Calibri" w:hAnsi="Calibri"/>
                <w:b w:val="0"/>
                <w:i w:val="0"/>
                <w:color w:val="222222"/>
                <w:sz w:val="18"/>
              </w:rPr>
              <w:t>fx_risk</w:t>
            </w:r>
          </w:p>
        </w:tc>
        <w:tc>
          <w:tcPr>
            <w:tcW w:type="dxa" w:w="6048"/>
            <w:tcMar>
              <w:top w:w="80" w:type="dxa"/>
              <w:start w:w="120" w:type="dxa"/>
              <w:bottom w:w="80" w:type="dxa"/>
              <w:end w:w="120" w:type="dxa"/>
            </w:tcMar>
            <w:vAlign w:val="center"/>
          </w:tcPr>
          <w:p>
            <w:pPr>
              <w:spacing w:after="0"/>
            </w:pPr>
            <w:r>
              <w:rPr>
                <w:rFonts w:ascii="Calibri" w:hAnsi="Calibri"/>
                <w:b w:val="0"/>
                <w:i w:val="0"/>
                <w:color w:val="222222"/>
                <w:sz w:val="18"/>
              </w:rPr>
              <w:t>USDTRY/EURTRY şoku</w:t>
            </w:r>
          </w:p>
        </w:tc>
      </w:tr>
      <w:tr>
        <w:trPr>
          <w:cantSplit/>
        </w:trPr>
        <w:tc>
          <w:tcPr>
            <w:tcW w:type="dxa" w:w="3024"/>
            <w:tcMar>
              <w:top w:w="80" w:type="dxa"/>
              <w:start w:w="120" w:type="dxa"/>
              <w:bottom w:w="80" w:type="dxa"/>
              <w:end w:w="120" w:type="dxa"/>
            </w:tcMar>
            <w:vAlign w:val="center"/>
            <w:shd w:fill="F7F9FB"/>
          </w:tcPr>
          <w:p>
            <w:pPr>
              <w:spacing w:after="0"/>
            </w:pPr>
            <w:r>
              <w:rPr>
                <w:rFonts w:ascii="Calibri" w:hAnsi="Calibri"/>
                <w:b w:val="0"/>
                <w:i w:val="0"/>
                <w:color w:val="222222"/>
                <w:sz w:val="18"/>
              </w:rPr>
              <w:t>commodity_risk</w:t>
            </w:r>
          </w:p>
        </w:tc>
        <w:tc>
          <w:tcPr>
            <w:tcW w:type="dxa" w:w="6048"/>
            <w:tcMar>
              <w:top w:w="80" w:type="dxa"/>
              <w:start w:w="120" w:type="dxa"/>
              <w:bottom w:w="80" w:type="dxa"/>
              <w:end w:w="120" w:type="dxa"/>
            </w:tcMar>
            <w:vAlign w:val="center"/>
            <w:shd w:fill="F7F9FB"/>
          </w:tcPr>
          <w:p>
            <w:pPr>
              <w:spacing w:after="0"/>
            </w:pPr>
            <w:r>
              <w:rPr>
                <w:rFonts w:ascii="Calibri" w:hAnsi="Calibri"/>
                <w:b w:val="0"/>
                <w:i w:val="0"/>
                <w:color w:val="222222"/>
                <w:sz w:val="18"/>
              </w:rPr>
              <w:t>Brent/altın şoku</w:t>
            </w:r>
          </w:p>
        </w:tc>
      </w:tr>
      <w:tr>
        <w:trPr>
          <w:cantSplit/>
        </w:trPr>
        <w:tc>
          <w:tcPr>
            <w:tcW w:type="dxa" w:w="3024"/>
            <w:tcMar>
              <w:top w:w="80" w:type="dxa"/>
              <w:start w:w="120" w:type="dxa"/>
              <w:bottom w:w="80" w:type="dxa"/>
              <w:end w:w="120" w:type="dxa"/>
            </w:tcMar>
            <w:vAlign w:val="center"/>
          </w:tcPr>
          <w:p>
            <w:pPr>
              <w:spacing w:after="0"/>
            </w:pPr>
            <w:r>
              <w:rPr>
                <w:rFonts w:ascii="Calibri" w:hAnsi="Calibri"/>
                <w:b w:val="0"/>
                <w:i w:val="0"/>
                <w:color w:val="222222"/>
                <w:sz w:val="18"/>
              </w:rPr>
              <w:t>systemic_event_risk</w:t>
            </w:r>
          </w:p>
        </w:tc>
        <w:tc>
          <w:tcPr>
            <w:tcW w:type="dxa" w:w="6048"/>
            <w:tcMar>
              <w:top w:w="80" w:type="dxa"/>
              <w:start w:w="120" w:type="dxa"/>
              <w:bottom w:w="80" w:type="dxa"/>
              <w:end w:w="120" w:type="dxa"/>
            </w:tcMar>
            <w:vAlign w:val="center"/>
          </w:tcPr>
          <w:p>
            <w:pPr>
              <w:spacing w:after="0"/>
            </w:pPr>
            <w:r>
              <w:rPr>
                <w:rFonts w:ascii="Calibri" w:hAnsi="Calibri"/>
                <w:b w:val="0"/>
                <w:i w:val="0"/>
                <w:color w:val="222222"/>
                <w:sz w:val="18"/>
              </w:rPr>
              <w:t>Deprem, bankacılık veya sistem olayı</w:t>
            </w:r>
          </w:p>
        </w:tc>
      </w:tr>
    </w:tbl>
    <w:p>
      <w:pPr>
        <w:spacing w:after="0"/>
      </w:pPr>
    </w:p>
    <w:p>
      <w:pPr>
        <w:pStyle w:val="Heading1"/>
      </w:pPr>
      <w:r>
        <w:t>Deterministik makro materyalite sınıfları</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672"/>
            <w:shd w:fill="1F4E78"/>
            <w:tcMar>
              <w:top w:w="80" w:type="dxa"/>
              <w:start w:w="120" w:type="dxa"/>
              <w:bottom w:w="80" w:type="dxa"/>
              <w:end w:w="120" w:type="dxa"/>
            </w:tcMar>
            <w:vAlign w:val="center"/>
          </w:tcPr>
          <w:p>
            <w:pPr>
              <w:spacing w:after="0"/>
            </w:pPr>
            <w:r>
              <w:rPr>
                <w:rFonts w:ascii="Calibri" w:hAnsi="Calibri"/>
                <w:b/>
                <w:i w:val="0"/>
                <w:color w:val="FFFFFF"/>
                <w:sz w:val="18"/>
              </w:rPr>
              <w:t>Event type</w:t>
            </w:r>
          </w:p>
        </w:tc>
        <w:tc>
          <w:tcPr>
            <w:tcW w:type="dxa" w:w="1656"/>
            <w:shd w:fill="1F4E78"/>
            <w:tcMar>
              <w:top w:w="80" w:type="dxa"/>
              <w:start w:w="120" w:type="dxa"/>
              <w:bottom w:w="80" w:type="dxa"/>
              <w:end w:w="120" w:type="dxa"/>
            </w:tcMar>
            <w:vAlign w:val="center"/>
          </w:tcPr>
          <w:p>
            <w:pPr>
              <w:spacing w:after="0"/>
            </w:pPr>
            <w:r>
              <w:rPr>
                <w:rFonts w:ascii="Calibri" w:hAnsi="Calibri"/>
                <w:b/>
                <w:i w:val="0"/>
                <w:color w:val="FFFFFF"/>
                <w:sz w:val="18"/>
              </w:rPr>
              <w:t>Ham materyalite</w:t>
            </w:r>
          </w:p>
        </w:tc>
        <w:tc>
          <w:tcPr>
            <w:tcW w:type="dxa" w:w="3744"/>
            <w:shd w:fill="1F4E78"/>
            <w:tcMar>
              <w:top w:w="80" w:type="dxa"/>
              <w:start w:w="120" w:type="dxa"/>
              <w:bottom w:w="80" w:type="dxa"/>
              <w:end w:w="120" w:type="dxa"/>
            </w:tcMar>
            <w:vAlign w:val="center"/>
          </w:tcPr>
          <w:p>
            <w:pPr>
              <w:spacing w:after="0"/>
            </w:pPr>
            <w:r>
              <w:rPr>
                <w:rFonts w:ascii="Calibri" w:hAnsi="Calibri"/>
                <w:b/>
                <w:i w:val="0"/>
                <w:color w:val="FFFFFF"/>
                <w:sz w:val="18"/>
              </w:rPr>
              <w:t>Örnek</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FX_CAPITAL_CONTROL_POLICY</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98</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Sermaye/döviz kontrolü</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CENTRAL_BANK_RATE_DECISION</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95</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TCMB faiz duyurusu, FOMC statement</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BANKING_SYSTEM_REGULATION</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88</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Bankacılık sistemi düzenlemesi</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MACROPRUDENTIAL_POLICY</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86</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Makroihtiyati çerçeve</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LIQUIDITY_POLICY</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82</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TL likidite yönetimi</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INFLATION_REPORT</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80</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Enflasyon raporu</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ECONOMIC_PROJECTIONS</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78</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Fed/merkez bankası projeksiyonları</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CENTRAL_BANK_MINUTES</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76</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PPK/FOMC tutanak veya özetleri</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SPEECH_INTERVIEW</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45</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Konuşma veya röportaj</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DIGITAL_CURRENCY_OPERATIONAL</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30</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Operasyonel dijital para haberi</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PAYMENT_SYSTEM_ADMIN</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22</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Ödeme sistemi idari duyurusu</w:t>
            </w:r>
          </w:p>
        </w:tc>
      </w:tr>
      <w:tr>
        <w:trPr>
          <w:cantSplit/>
        </w:trPr>
        <w:tc>
          <w:tcPr>
            <w:tcW w:type="dxa" w:w="3672"/>
            <w:tcMar>
              <w:top w:w="80" w:type="dxa"/>
              <w:start w:w="120" w:type="dxa"/>
              <w:bottom w:w="80" w:type="dxa"/>
              <w:end w:w="120" w:type="dxa"/>
            </w:tcMar>
            <w:vAlign w:val="center"/>
            <w:shd w:fill="F7F9FB"/>
          </w:tcPr>
          <w:p>
            <w:pPr>
              <w:spacing w:after="0"/>
            </w:pPr>
            <w:r>
              <w:rPr>
                <w:rFonts w:ascii="Calibri" w:hAnsi="Calibri"/>
                <w:b w:val="0"/>
                <w:i w:val="0"/>
                <w:color w:val="222222"/>
                <w:sz w:val="18"/>
              </w:rPr>
              <w:t>ACADEMIC_CEREMONIAL</w:t>
            </w:r>
          </w:p>
        </w:tc>
        <w:tc>
          <w:tcPr>
            <w:tcW w:type="dxa" w:w="1656"/>
            <w:tcMar>
              <w:top w:w="80" w:type="dxa"/>
              <w:start w:w="120" w:type="dxa"/>
              <w:bottom w:w="80" w:type="dxa"/>
              <w:end w:w="120" w:type="dxa"/>
            </w:tcMar>
            <w:vAlign w:val="center"/>
            <w:shd w:fill="F7F9FB"/>
          </w:tcPr>
          <w:p>
            <w:pPr>
              <w:spacing w:after="0"/>
            </w:pPr>
            <w:r>
              <w:rPr>
                <w:rFonts w:ascii="Calibri" w:hAnsi="Calibri"/>
                <w:b w:val="0"/>
                <w:i w:val="0"/>
                <w:color w:val="222222"/>
                <w:sz w:val="18"/>
              </w:rPr>
              <w:t>7</w:t>
            </w:r>
          </w:p>
        </w:tc>
        <w:tc>
          <w:tcPr>
            <w:tcW w:type="dxa" w:w="3744"/>
            <w:tcMar>
              <w:top w:w="80" w:type="dxa"/>
              <w:start w:w="120" w:type="dxa"/>
              <w:bottom w:w="80" w:type="dxa"/>
              <w:end w:w="120" w:type="dxa"/>
            </w:tcMar>
            <w:vAlign w:val="center"/>
            <w:shd w:fill="F7F9FB"/>
          </w:tcPr>
          <w:p>
            <w:pPr>
              <w:spacing w:after="0"/>
            </w:pPr>
            <w:r>
              <w:rPr>
                <w:rFonts w:ascii="Calibri" w:hAnsi="Calibri"/>
                <w:b w:val="0"/>
                <w:i w:val="0"/>
                <w:color w:val="222222"/>
                <w:sz w:val="18"/>
              </w:rPr>
              <w:t>Makale yarışması/tören</w:t>
            </w:r>
          </w:p>
        </w:tc>
      </w:tr>
      <w:tr>
        <w:trPr>
          <w:cantSplit/>
        </w:trPr>
        <w:tc>
          <w:tcPr>
            <w:tcW w:type="dxa" w:w="3672"/>
            <w:tcMar>
              <w:top w:w="80" w:type="dxa"/>
              <w:start w:w="120" w:type="dxa"/>
              <w:bottom w:w="80" w:type="dxa"/>
              <w:end w:w="120" w:type="dxa"/>
            </w:tcMar>
            <w:vAlign w:val="center"/>
          </w:tcPr>
          <w:p>
            <w:pPr>
              <w:spacing w:after="0"/>
            </w:pPr>
            <w:r>
              <w:rPr>
                <w:rFonts w:ascii="Calibri" w:hAnsi="Calibri"/>
                <w:b w:val="0"/>
                <w:i w:val="0"/>
                <w:color w:val="222222"/>
                <w:sz w:val="18"/>
              </w:rPr>
              <w:t>PUBLIC_EVENT</w:t>
            </w:r>
          </w:p>
        </w:tc>
        <w:tc>
          <w:tcPr>
            <w:tcW w:type="dxa" w:w="1656"/>
            <w:tcMar>
              <w:top w:w="80" w:type="dxa"/>
              <w:start w:w="120" w:type="dxa"/>
              <w:bottom w:w="80" w:type="dxa"/>
              <w:end w:w="120" w:type="dxa"/>
            </w:tcMar>
            <w:vAlign w:val="center"/>
          </w:tcPr>
          <w:p>
            <w:pPr>
              <w:spacing w:after="0"/>
            </w:pPr>
            <w:r>
              <w:rPr>
                <w:rFonts w:ascii="Calibri" w:hAnsi="Calibri"/>
                <w:b w:val="0"/>
                <w:i w:val="0"/>
                <w:color w:val="222222"/>
                <w:sz w:val="18"/>
              </w:rPr>
              <w:t>3</w:t>
            </w:r>
          </w:p>
        </w:tc>
        <w:tc>
          <w:tcPr>
            <w:tcW w:type="dxa" w:w="3744"/>
            <w:tcMar>
              <w:top w:w="80" w:type="dxa"/>
              <w:start w:w="120" w:type="dxa"/>
              <w:bottom w:w="80" w:type="dxa"/>
              <w:end w:w="120" w:type="dxa"/>
            </w:tcMar>
            <w:vAlign w:val="center"/>
          </w:tcPr>
          <w:p>
            <w:pPr>
              <w:spacing w:after="0"/>
            </w:pPr>
            <w:r>
              <w:rPr>
                <w:rFonts w:ascii="Calibri" w:hAnsi="Calibri"/>
                <w:b w:val="0"/>
                <w:i w:val="0"/>
                <w:color w:val="222222"/>
                <w:sz w:val="18"/>
              </w:rPr>
              <w:t>Konser veya halka açık etkinlik</w:t>
            </w:r>
          </w:p>
        </w:tc>
      </w:tr>
    </w:tbl>
    <w:p>
      <w:pPr>
        <w:spacing w:after="0"/>
      </w:pPr>
    </w:p>
    <w:p>
      <w:pPr>
        <w:spacing w:after="120" w:line="300" w:lineRule="auto"/>
      </w:pPr>
      <w:r>
        <w:rPr>
          <w:rFonts w:ascii="Calibri" w:hAnsi="Calibri"/>
          <w:b w:val="0"/>
          <w:i w:val="0"/>
          <w:color w:val="222222"/>
          <w:sz w:val="22"/>
        </w:rPr>
        <w:t>Kaynak güveni materyalitenin içine karıştırılmaz. Ham materyalite konunun piyasa önemini; source_reliability kaynağın güvenilirliğini; confirmation_score ise doğrulama gücünü temsil eder.</w:t>
      </w:r>
    </w:p>
    <w:p>
      <w:pPr>
        <w:pStyle w:val="Heading1"/>
      </w:pPr>
      <w:r>
        <w:t>Timestamp ve freshness kalitesi</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2232"/>
            <w:shd w:fill="1F4E78"/>
            <w:tcMar>
              <w:top w:w="80" w:type="dxa"/>
              <w:start w:w="120" w:type="dxa"/>
              <w:bottom w:w="80" w:type="dxa"/>
              <w:end w:w="120" w:type="dxa"/>
            </w:tcMar>
            <w:vAlign w:val="center"/>
          </w:tcPr>
          <w:p>
            <w:pPr>
              <w:spacing w:after="0"/>
            </w:pPr>
            <w:r>
              <w:rPr>
                <w:rFonts w:ascii="Calibri" w:hAnsi="Calibri"/>
                <w:b/>
                <w:i w:val="0"/>
                <w:color w:val="FFFFFF"/>
                <w:sz w:val="18"/>
              </w:rPr>
              <w:t>timestamp_source</w:t>
            </w:r>
          </w:p>
        </w:tc>
        <w:tc>
          <w:tcPr>
            <w:tcW w:type="dxa" w:w="3888"/>
            <w:shd w:fill="1F4E78"/>
            <w:tcMar>
              <w:top w:w="80" w:type="dxa"/>
              <w:start w:w="120" w:type="dxa"/>
              <w:bottom w:w="80" w:type="dxa"/>
              <w:end w:w="120" w:type="dxa"/>
            </w:tcMar>
            <w:vAlign w:val="center"/>
          </w:tcPr>
          <w:p>
            <w:pPr>
              <w:spacing w:after="0"/>
            </w:pPr>
            <w:r>
              <w:rPr>
                <w:rFonts w:ascii="Calibri" w:hAnsi="Calibri"/>
                <w:b/>
                <w:i w:val="0"/>
                <w:color w:val="FFFFFF"/>
                <w:sz w:val="18"/>
              </w:rPr>
              <w:t>Anlam</w:t>
            </w:r>
          </w:p>
        </w:tc>
        <w:tc>
          <w:tcPr>
            <w:tcW w:type="dxa" w:w="2952"/>
            <w:shd w:fill="1F4E78"/>
            <w:tcMar>
              <w:top w:w="80" w:type="dxa"/>
              <w:start w:w="120" w:type="dxa"/>
              <w:bottom w:w="80" w:type="dxa"/>
              <w:end w:w="120" w:type="dxa"/>
            </w:tcMar>
            <w:vAlign w:val="center"/>
          </w:tcPr>
          <w:p>
            <w:pPr>
              <w:spacing w:after="0"/>
            </w:pPr>
            <w:r>
              <w:rPr>
                <w:rFonts w:ascii="Calibri" w:hAnsi="Calibri"/>
                <w:b/>
                <w:i w:val="0"/>
                <w:color w:val="FFFFFF"/>
                <w:sz w:val="18"/>
              </w:rPr>
              <w:t>Rejim davranışı</w:t>
            </w:r>
          </w:p>
        </w:tc>
      </w:tr>
      <w:tr>
        <w:trPr>
          <w:cantSplit/>
        </w:trPr>
        <w:tc>
          <w:tcPr>
            <w:tcW w:type="dxa" w:w="2232"/>
            <w:tcMar>
              <w:top w:w="80" w:type="dxa"/>
              <w:start w:w="120" w:type="dxa"/>
              <w:bottom w:w="80" w:type="dxa"/>
              <w:end w:w="120" w:type="dxa"/>
            </w:tcMar>
            <w:vAlign w:val="center"/>
          </w:tcPr>
          <w:p>
            <w:pPr>
              <w:spacing w:after="0"/>
            </w:pPr>
            <w:r>
              <w:rPr>
                <w:rFonts w:ascii="Calibri" w:hAnsi="Calibri"/>
                <w:b w:val="0"/>
                <w:i w:val="0"/>
                <w:color w:val="222222"/>
                <w:sz w:val="18"/>
              </w:rPr>
              <w:t>SOURCE</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Kaynağın doğrudan yayın zamanı</w:t>
            </w:r>
          </w:p>
        </w:tc>
        <w:tc>
          <w:tcPr>
            <w:tcW w:type="dxa" w:w="2952"/>
            <w:tcMar>
              <w:top w:w="80" w:type="dxa"/>
              <w:start w:w="120" w:type="dxa"/>
              <w:bottom w:w="80" w:type="dxa"/>
              <w:end w:w="120" w:type="dxa"/>
            </w:tcMar>
            <w:vAlign w:val="center"/>
          </w:tcPr>
          <w:p>
            <w:pPr>
              <w:spacing w:after="0"/>
            </w:pPr>
            <w:r>
              <w:rPr>
                <w:rFonts w:ascii="Calibri" w:hAnsi="Calibri"/>
                <w:b w:val="0"/>
                <w:i w:val="0"/>
                <w:color w:val="222222"/>
                <w:sz w:val="18"/>
              </w:rPr>
              <w:t>Normal freshness hesabı</w:t>
            </w:r>
          </w:p>
        </w:tc>
      </w:tr>
      <w:tr>
        <w:trPr>
          <w:cantSplit/>
        </w:trPr>
        <w:tc>
          <w:tcPr>
            <w:tcW w:type="dxa" w:w="2232"/>
            <w:tcMar>
              <w:top w:w="80" w:type="dxa"/>
              <w:start w:w="120" w:type="dxa"/>
              <w:bottom w:w="80" w:type="dxa"/>
              <w:end w:w="120" w:type="dxa"/>
            </w:tcMar>
            <w:vAlign w:val="center"/>
            <w:shd w:fill="F7F9FB"/>
          </w:tcPr>
          <w:p>
            <w:pPr>
              <w:spacing w:after="0"/>
            </w:pPr>
            <w:r>
              <w:rPr>
                <w:rFonts w:ascii="Calibri" w:hAnsi="Calibri"/>
                <w:b w:val="0"/>
                <w:i w:val="0"/>
                <w:color w:val="222222"/>
                <w:sz w:val="18"/>
              </w:rPr>
              <w:t>PARSED_PAGE</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Kaynak sayfasından deterministik ayrıştırıldı</w:t>
            </w:r>
          </w:p>
        </w:tc>
        <w:tc>
          <w:tcPr>
            <w:tcW w:type="dxa" w:w="2952"/>
            <w:tcMar>
              <w:top w:w="80" w:type="dxa"/>
              <w:start w:w="120" w:type="dxa"/>
              <w:bottom w:w="80" w:type="dxa"/>
              <w:end w:w="120" w:type="dxa"/>
            </w:tcMar>
            <w:vAlign w:val="center"/>
            <w:shd w:fill="F7F9FB"/>
          </w:tcPr>
          <w:p>
            <w:pPr>
              <w:spacing w:after="0"/>
            </w:pPr>
            <w:r>
              <w:rPr>
                <w:rFonts w:ascii="Calibri" w:hAnsi="Calibri"/>
                <w:b w:val="0"/>
                <w:i w:val="0"/>
                <w:color w:val="222222"/>
                <w:sz w:val="18"/>
              </w:rPr>
              <w:t>Normal freshness hesabı</w:t>
            </w:r>
          </w:p>
        </w:tc>
      </w:tr>
      <w:tr>
        <w:trPr>
          <w:cantSplit/>
        </w:trPr>
        <w:tc>
          <w:tcPr>
            <w:tcW w:type="dxa" w:w="2232"/>
            <w:tcMar>
              <w:top w:w="80" w:type="dxa"/>
              <w:start w:w="120" w:type="dxa"/>
              <w:bottom w:w="80" w:type="dxa"/>
              <w:end w:w="120" w:type="dxa"/>
            </w:tcMar>
            <w:vAlign w:val="center"/>
          </w:tcPr>
          <w:p>
            <w:pPr>
              <w:spacing w:after="0"/>
            </w:pPr>
            <w:r>
              <w:rPr>
                <w:rFonts w:ascii="Calibri" w:hAnsi="Calibri"/>
                <w:b w:val="0"/>
                <w:i w:val="0"/>
                <w:color w:val="222222"/>
                <w:sz w:val="18"/>
              </w:rPr>
              <w:t>FETCH_FALLBACK</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Yayın zamanı bulunamadı; fetched_at kullanıldı</w:t>
            </w:r>
          </w:p>
        </w:tc>
        <w:tc>
          <w:tcPr>
            <w:tcW w:type="dxa" w:w="2952"/>
            <w:tcMar>
              <w:top w:w="80" w:type="dxa"/>
              <w:start w:w="120" w:type="dxa"/>
              <w:bottom w:w="80" w:type="dxa"/>
              <w:end w:w="120" w:type="dxa"/>
            </w:tcMar>
            <w:vAlign w:val="center"/>
          </w:tcPr>
          <w:p>
            <w:pPr>
              <w:spacing w:after="0"/>
            </w:pPr>
            <w:r>
              <w:rPr>
                <w:rFonts w:ascii="Calibri" w:hAnsi="Calibri"/>
                <w:b w:val="0"/>
                <w:i w:val="0"/>
                <w:color w:val="222222"/>
                <w:sz w:val="18"/>
              </w:rPr>
              <w:t>Freshness 0; breaking event sayılmaz</w:t>
            </w:r>
          </w:p>
        </w:tc>
      </w:tr>
    </w:tbl>
    <w:p>
      <w:pPr>
        <w:spacing w:after="0"/>
      </w:pP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6624"/>
            <w:shd w:fill="1F4E78"/>
            <w:tcMar>
              <w:top w:w="80" w:type="dxa"/>
              <w:start w:w="120" w:type="dxa"/>
              <w:bottom w:w="80" w:type="dxa"/>
              <w:end w:w="120" w:type="dxa"/>
            </w:tcMar>
            <w:vAlign w:val="center"/>
          </w:tcPr>
          <w:p>
            <w:pPr>
              <w:spacing w:after="0"/>
            </w:pPr>
            <w:r>
              <w:rPr>
                <w:rFonts w:ascii="Calibri" w:hAnsi="Calibri"/>
                <w:b/>
                <w:i w:val="0"/>
                <w:color w:val="FFFFFF"/>
                <w:sz w:val="18"/>
              </w:rPr>
              <w:t>Olay yaşı</w:t>
            </w:r>
          </w:p>
        </w:tc>
        <w:tc>
          <w:tcPr>
            <w:tcW w:type="dxa" w:w="2448"/>
            <w:shd w:fill="1F4E78"/>
            <w:tcMar>
              <w:top w:w="80" w:type="dxa"/>
              <w:start w:w="120" w:type="dxa"/>
              <w:bottom w:w="80" w:type="dxa"/>
              <w:end w:w="120" w:type="dxa"/>
            </w:tcMar>
            <w:vAlign w:val="center"/>
          </w:tcPr>
          <w:p>
            <w:pPr>
              <w:spacing w:after="0"/>
            </w:pPr>
            <w:r>
              <w:rPr>
                <w:rFonts w:ascii="Calibri" w:hAnsi="Calibri"/>
                <w:b/>
                <w:i w:val="0"/>
                <w:color w:val="FFFFFF"/>
                <w:sz w:val="18"/>
              </w:rPr>
              <w:t>Freshness weight</w:t>
            </w:r>
          </w:p>
        </w:tc>
      </w:tr>
      <w:tr>
        <w:trPr>
          <w:cantSplit/>
        </w:trPr>
        <w:tc>
          <w:tcPr>
            <w:tcW w:type="dxa" w:w="6624"/>
            <w:tcMar>
              <w:top w:w="80" w:type="dxa"/>
              <w:start w:w="120" w:type="dxa"/>
              <w:bottom w:w="80" w:type="dxa"/>
              <w:end w:w="120" w:type="dxa"/>
            </w:tcMar>
            <w:vAlign w:val="center"/>
          </w:tcPr>
          <w:p>
            <w:pPr>
              <w:spacing w:after="0"/>
            </w:pPr>
            <w:r>
              <w:rPr>
                <w:rFonts w:ascii="Calibri" w:hAnsi="Calibri"/>
                <w:b w:val="0"/>
                <w:i w:val="0"/>
                <w:color w:val="222222"/>
                <w:sz w:val="18"/>
              </w:rPr>
              <w:t>&lt;6 saat</w:t>
            </w:r>
          </w:p>
        </w:tc>
        <w:tc>
          <w:tcPr>
            <w:tcW w:type="dxa" w:w="2448"/>
            <w:tcMar>
              <w:top w:w="80" w:type="dxa"/>
              <w:start w:w="120" w:type="dxa"/>
              <w:bottom w:w="80" w:type="dxa"/>
              <w:end w:w="120" w:type="dxa"/>
            </w:tcMar>
            <w:vAlign w:val="center"/>
          </w:tcPr>
          <w:p>
            <w:pPr>
              <w:spacing w:after="0"/>
            </w:pPr>
            <w:r>
              <w:rPr>
                <w:rFonts w:ascii="Calibri" w:hAnsi="Calibri"/>
                <w:b w:val="0"/>
                <w:i w:val="0"/>
                <w:color w:val="222222"/>
                <w:sz w:val="18"/>
              </w:rPr>
              <w:t>1,00</w:t>
            </w:r>
          </w:p>
        </w:tc>
      </w:tr>
      <w:tr>
        <w:trPr>
          <w:cantSplit/>
        </w:trPr>
        <w:tc>
          <w:tcPr>
            <w:tcW w:type="dxa" w:w="6624"/>
            <w:tcMar>
              <w:top w:w="80" w:type="dxa"/>
              <w:start w:w="120" w:type="dxa"/>
              <w:bottom w:w="80" w:type="dxa"/>
              <w:end w:w="120" w:type="dxa"/>
            </w:tcMar>
            <w:vAlign w:val="center"/>
            <w:shd w:fill="F7F9FB"/>
          </w:tcPr>
          <w:p>
            <w:pPr>
              <w:spacing w:after="0"/>
            </w:pPr>
            <w:r>
              <w:rPr>
                <w:rFonts w:ascii="Calibri" w:hAnsi="Calibri"/>
                <w:b w:val="0"/>
                <w:i w:val="0"/>
                <w:color w:val="222222"/>
                <w:sz w:val="18"/>
              </w:rPr>
              <w:t>6–24 saat</w:t>
            </w:r>
          </w:p>
        </w:tc>
        <w:tc>
          <w:tcPr>
            <w:tcW w:type="dxa" w:w="2448"/>
            <w:tcMar>
              <w:top w:w="80" w:type="dxa"/>
              <w:start w:w="120" w:type="dxa"/>
              <w:bottom w:w="80" w:type="dxa"/>
              <w:end w:w="120" w:type="dxa"/>
            </w:tcMar>
            <w:vAlign w:val="center"/>
            <w:shd w:fill="F7F9FB"/>
          </w:tcPr>
          <w:p>
            <w:pPr>
              <w:spacing w:after="0"/>
            </w:pPr>
            <w:r>
              <w:rPr>
                <w:rFonts w:ascii="Calibri" w:hAnsi="Calibri"/>
                <w:b w:val="0"/>
                <w:i w:val="0"/>
                <w:color w:val="222222"/>
                <w:sz w:val="18"/>
              </w:rPr>
              <w:t>0,85</w:t>
            </w:r>
          </w:p>
        </w:tc>
      </w:tr>
      <w:tr>
        <w:trPr>
          <w:cantSplit/>
        </w:trPr>
        <w:tc>
          <w:tcPr>
            <w:tcW w:type="dxa" w:w="6624"/>
            <w:tcMar>
              <w:top w:w="80" w:type="dxa"/>
              <w:start w:w="120" w:type="dxa"/>
              <w:bottom w:w="80" w:type="dxa"/>
              <w:end w:w="120" w:type="dxa"/>
            </w:tcMar>
            <w:vAlign w:val="center"/>
          </w:tcPr>
          <w:p>
            <w:pPr>
              <w:spacing w:after="0"/>
            </w:pPr>
            <w:r>
              <w:rPr>
                <w:rFonts w:ascii="Calibri" w:hAnsi="Calibri"/>
                <w:b w:val="0"/>
                <w:i w:val="0"/>
                <w:color w:val="222222"/>
                <w:sz w:val="18"/>
              </w:rPr>
              <w:t>1–3 gün</w:t>
            </w:r>
          </w:p>
        </w:tc>
        <w:tc>
          <w:tcPr>
            <w:tcW w:type="dxa" w:w="2448"/>
            <w:tcMar>
              <w:top w:w="80" w:type="dxa"/>
              <w:start w:w="120" w:type="dxa"/>
              <w:bottom w:w="80" w:type="dxa"/>
              <w:end w:w="120" w:type="dxa"/>
            </w:tcMar>
            <w:vAlign w:val="center"/>
          </w:tcPr>
          <w:p>
            <w:pPr>
              <w:spacing w:after="0"/>
            </w:pPr>
            <w:r>
              <w:rPr>
                <w:rFonts w:ascii="Calibri" w:hAnsi="Calibri"/>
                <w:b w:val="0"/>
                <w:i w:val="0"/>
                <w:color w:val="222222"/>
                <w:sz w:val="18"/>
              </w:rPr>
              <w:t>0,60</w:t>
            </w:r>
          </w:p>
        </w:tc>
      </w:tr>
      <w:tr>
        <w:trPr>
          <w:cantSplit/>
        </w:trPr>
        <w:tc>
          <w:tcPr>
            <w:tcW w:type="dxa" w:w="6624"/>
            <w:tcMar>
              <w:top w:w="80" w:type="dxa"/>
              <w:start w:w="120" w:type="dxa"/>
              <w:bottom w:w="80" w:type="dxa"/>
              <w:end w:w="120" w:type="dxa"/>
            </w:tcMar>
            <w:vAlign w:val="center"/>
            <w:shd w:fill="F7F9FB"/>
          </w:tcPr>
          <w:p>
            <w:pPr>
              <w:spacing w:after="0"/>
            </w:pPr>
            <w:r>
              <w:rPr>
                <w:rFonts w:ascii="Calibri" w:hAnsi="Calibri"/>
                <w:b w:val="0"/>
                <w:i w:val="0"/>
                <w:color w:val="222222"/>
                <w:sz w:val="18"/>
              </w:rPr>
              <w:t>3–7 gün</w:t>
            </w:r>
          </w:p>
        </w:tc>
        <w:tc>
          <w:tcPr>
            <w:tcW w:type="dxa" w:w="2448"/>
            <w:tcMar>
              <w:top w:w="80" w:type="dxa"/>
              <w:start w:w="120" w:type="dxa"/>
              <w:bottom w:w="80" w:type="dxa"/>
              <w:end w:w="120" w:type="dxa"/>
            </w:tcMar>
            <w:vAlign w:val="center"/>
            <w:shd w:fill="F7F9FB"/>
          </w:tcPr>
          <w:p>
            <w:pPr>
              <w:spacing w:after="0"/>
            </w:pPr>
            <w:r>
              <w:rPr>
                <w:rFonts w:ascii="Calibri" w:hAnsi="Calibri"/>
                <w:b w:val="0"/>
                <w:i w:val="0"/>
                <w:color w:val="222222"/>
                <w:sz w:val="18"/>
              </w:rPr>
              <w:t>0,25</w:t>
            </w:r>
          </w:p>
        </w:tc>
      </w:tr>
      <w:tr>
        <w:trPr>
          <w:cantSplit/>
        </w:trPr>
        <w:tc>
          <w:tcPr>
            <w:tcW w:type="dxa" w:w="6624"/>
            <w:tcMar>
              <w:top w:w="80" w:type="dxa"/>
              <w:start w:w="120" w:type="dxa"/>
              <w:bottom w:w="80" w:type="dxa"/>
              <w:end w:w="120" w:type="dxa"/>
            </w:tcMar>
            <w:vAlign w:val="center"/>
          </w:tcPr>
          <w:p>
            <w:pPr>
              <w:spacing w:after="0"/>
            </w:pPr>
            <w:r>
              <w:rPr>
                <w:rFonts w:ascii="Calibri" w:hAnsi="Calibri"/>
                <w:b w:val="0"/>
                <w:i w:val="0"/>
                <w:color w:val="222222"/>
                <w:sz w:val="18"/>
              </w:rPr>
              <w:t>&gt;7 gün</w:t>
            </w:r>
          </w:p>
        </w:tc>
        <w:tc>
          <w:tcPr>
            <w:tcW w:type="dxa" w:w="2448"/>
            <w:tcMar>
              <w:top w:w="80" w:type="dxa"/>
              <w:start w:w="120" w:type="dxa"/>
              <w:bottom w:w="80" w:type="dxa"/>
              <w:end w:w="120" w:type="dxa"/>
            </w:tcMar>
            <w:vAlign w:val="center"/>
          </w:tcPr>
          <w:p>
            <w:pPr>
              <w:spacing w:after="0"/>
            </w:pPr>
            <w:r>
              <w:rPr>
                <w:rFonts w:ascii="Calibri" w:hAnsi="Calibri"/>
                <w:b w:val="0"/>
                <w:i w:val="0"/>
                <w:color w:val="222222"/>
                <w:sz w:val="18"/>
              </w:rPr>
              <w:t>0,05 / background</w:t>
            </w:r>
          </w:p>
        </w:tc>
      </w:tr>
    </w:tbl>
    <w:p>
      <w:pPr>
        <w:spacing w:after="0"/>
      </w:pPr>
    </w:p>
    <w:p>
      <w:pPr>
        <w:spacing w:after="120" w:line="300" w:lineRule="auto"/>
      </w:pPr>
      <w:r>
        <w:rPr>
          <w:rFonts w:ascii="Calibri" w:hAnsi="Calibri"/>
          <w:b w:val="0"/>
          <w:i w:val="0"/>
          <w:color w:val="222222"/>
          <w:sz w:val="22"/>
        </w:rPr>
        <w:t>effective_materiality = raw_materiality × freshness_weight × reliability_factor × confirmation_factor. Mixed yönlü politika olaylarının regime_contribution değeri efektif materyalitenin %75’i; açık negatif olayların %100’üdür. Ham materyalite ≥40 ve efektif materyalite ≥10 olmayan olaylar güncel rejime girmez.</w:t>
      </w:r>
    </w:p>
    <w:p>
      <w:pPr>
        <w:spacing w:after="120" w:line="300" w:lineRule="auto"/>
      </w:pPr>
      <w:r>
        <w:rPr>
          <w:rFonts w:ascii="Calibri" w:hAnsi="Calibri"/>
          <w:b w:val="0"/>
          <w:i w:val="0"/>
          <w:color w:val="222222"/>
          <w:sz w:val="22"/>
        </w:rPr>
        <w:t>Risk skoru, negatif/mixed kategorilerdeki en yüksek regime_contribution + ikinci en yüksek katkının %20’si olarak hesaplanır ve 100’de sınırlandırılır. Böylece eski FOMC/faiz kararları yüksek ham materyalite taşısa bile güncel rejimi süresiz yüksek tutamaz. Makro LLM kapısı config’te 70, refresh süresi 45 dakikadır.</w:t>
      </w:r>
    </w:p>
    <w:tbl>
      <w:tblPr>
        <w:tblW w:type="auto" w:w="0"/>
        <w:jc w:val="center"/>
        <w:tblLayout w:type="fixed"/>
        <w:tblLook w:firstColumn="1" w:firstRow="1" w:lastColumn="0" w:lastRow="0" w:noHBand="0" w:noVBand="1" w:val="04A0"/>
      </w:tblPr>
      <w:tblGrid>
        <w:gridCol w:w="1958"/>
        <w:gridCol w:w="1958"/>
        <w:gridCol w:w="1958"/>
        <w:gridCol w:w="1958"/>
        <w:gridCol w:w="1958"/>
      </w:tblGrid>
      <w:tr>
        <w:trPr>
          <w:cantSplit/>
          <w:tblHeader/>
        </w:trPr>
        <w:tc>
          <w:tcPr>
            <w:tcW w:type="dxa" w:w="1440"/>
            <w:shd w:fill="1F4E78"/>
            <w:tcMar>
              <w:top w:w="80" w:type="dxa"/>
              <w:start w:w="120" w:type="dxa"/>
              <w:bottom w:w="80" w:type="dxa"/>
              <w:end w:w="120" w:type="dxa"/>
            </w:tcMar>
            <w:vAlign w:val="center"/>
          </w:tcPr>
          <w:p>
            <w:pPr>
              <w:spacing w:after="0"/>
            </w:pPr>
            <w:r>
              <w:rPr>
                <w:rFonts w:ascii="Calibri" w:hAnsi="Calibri"/>
                <w:b/>
                <w:i w:val="0"/>
                <w:color w:val="FFFFFF"/>
                <w:sz w:val="18"/>
              </w:rPr>
              <w:t>Rejim</w:t>
            </w:r>
          </w:p>
        </w:tc>
        <w:tc>
          <w:tcPr>
            <w:tcW w:type="dxa" w:w="2232"/>
            <w:shd w:fill="1F4E78"/>
            <w:tcMar>
              <w:top w:w="80" w:type="dxa"/>
              <w:start w:w="120" w:type="dxa"/>
              <w:bottom w:w="80" w:type="dxa"/>
              <w:end w:w="120" w:type="dxa"/>
            </w:tcMar>
            <w:vAlign w:val="center"/>
          </w:tcPr>
          <w:p>
            <w:pPr>
              <w:spacing w:after="0"/>
            </w:pPr>
            <w:r>
              <w:rPr>
                <w:rFonts w:ascii="Calibri" w:hAnsi="Calibri"/>
                <w:b/>
                <w:i w:val="0"/>
                <w:color w:val="FFFFFF"/>
                <w:sz w:val="18"/>
              </w:rPr>
              <w:t>Risk/koşul</w:t>
            </w:r>
          </w:p>
        </w:tc>
        <w:tc>
          <w:tcPr>
            <w:tcW w:type="dxa" w:w="1440"/>
            <w:shd w:fill="1F4E78"/>
            <w:tcMar>
              <w:top w:w="80" w:type="dxa"/>
              <w:start w:w="120" w:type="dxa"/>
              <w:bottom w:w="80" w:type="dxa"/>
              <w:end w:w="120" w:type="dxa"/>
            </w:tcMar>
            <w:vAlign w:val="center"/>
          </w:tcPr>
          <w:p>
            <w:pPr>
              <w:spacing w:after="0"/>
            </w:pPr>
            <w:r>
              <w:rPr>
                <w:rFonts w:ascii="Calibri" w:hAnsi="Calibri"/>
                <w:b/>
                <w:i w:val="0"/>
                <w:color w:val="FFFFFF"/>
                <w:sz w:val="18"/>
              </w:rPr>
              <w:t>Skor ayarı</w:t>
            </w:r>
          </w:p>
        </w:tc>
        <w:tc>
          <w:tcPr>
            <w:tcW w:type="dxa" w:w="1440"/>
            <w:shd w:fill="1F4E78"/>
            <w:tcMar>
              <w:top w:w="80" w:type="dxa"/>
              <w:start w:w="120" w:type="dxa"/>
              <w:bottom w:w="80" w:type="dxa"/>
              <w:end w:w="120" w:type="dxa"/>
            </w:tcMar>
            <w:vAlign w:val="center"/>
          </w:tcPr>
          <w:p>
            <w:pPr>
              <w:spacing w:after="0"/>
            </w:pPr>
            <w:r>
              <w:rPr>
                <w:rFonts w:ascii="Calibri" w:hAnsi="Calibri"/>
                <w:b/>
                <w:i w:val="0"/>
                <w:color w:val="FFFFFF"/>
                <w:sz w:val="18"/>
              </w:rPr>
              <w:t>BUY eşiği</w:t>
            </w:r>
          </w:p>
        </w:tc>
        <w:tc>
          <w:tcPr>
            <w:tcW w:type="dxa" w:w="1440"/>
            <w:shd w:fill="1F4E78"/>
            <w:tcMar>
              <w:top w:w="80" w:type="dxa"/>
              <w:start w:w="120" w:type="dxa"/>
              <w:bottom w:w="80" w:type="dxa"/>
              <w:end w:w="120" w:type="dxa"/>
            </w:tcMar>
            <w:vAlign w:val="center"/>
          </w:tcPr>
          <w:p>
            <w:pPr>
              <w:spacing w:after="0"/>
            </w:pPr>
            <w:r>
              <w:rPr>
                <w:rFonts w:ascii="Calibri" w:hAnsi="Calibri"/>
                <w:b/>
                <w:i w:val="0"/>
                <w:color w:val="FFFFFF"/>
                <w:sz w:val="18"/>
              </w:rPr>
              <w:t>Pozisyon</w:t>
            </w:r>
          </w:p>
        </w:tc>
      </w:tr>
      <w:tr>
        <w:trPr>
          <w:cantSplit/>
        </w:trPr>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RISK_ON</w:t>
            </w:r>
          </w:p>
        </w:tc>
        <w:tc>
          <w:tcPr>
            <w:tcW w:type="dxa" w:w="2232"/>
            <w:tcMar>
              <w:top w:w="80" w:type="dxa"/>
              <w:start w:w="120" w:type="dxa"/>
              <w:bottom w:w="80" w:type="dxa"/>
              <w:end w:w="120" w:type="dxa"/>
            </w:tcMar>
            <w:vAlign w:val="center"/>
          </w:tcPr>
          <w:p>
            <w:pPr>
              <w:spacing w:after="0"/>
            </w:pPr>
            <w:r>
              <w:rPr>
                <w:rFonts w:ascii="Calibri" w:hAnsi="Calibri"/>
                <w:b w:val="0"/>
                <w:i w:val="0"/>
                <w:color w:val="222222"/>
                <w:sz w:val="18"/>
              </w:rPr>
              <w:t>Pozitif materyal sinyal, risk &lt;40</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+2</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+0</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1,00×</w:t>
            </w:r>
          </w:p>
        </w:tc>
      </w:tr>
      <w:tr>
        <w:trPr>
          <w:cantSplit/>
        </w:trPr>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NORMAL</w:t>
            </w:r>
          </w:p>
        </w:tc>
        <w:tc>
          <w:tcPr>
            <w:tcW w:type="dxa" w:w="2232"/>
            <w:tcMar>
              <w:top w:w="80" w:type="dxa"/>
              <w:start w:w="120" w:type="dxa"/>
              <w:bottom w:w="80" w:type="dxa"/>
              <w:end w:w="120" w:type="dxa"/>
            </w:tcMar>
            <w:vAlign w:val="center"/>
            <w:shd w:fill="F7F9FB"/>
          </w:tcPr>
          <w:p>
            <w:pPr>
              <w:spacing w:after="0"/>
            </w:pPr>
            <w:r>
              <w:rPr>
                <w:rFonts w:ascii="Calibri" w:hAnsi="Calibri"/>
                <w:b w:val="0"/>
                <w:i w:val="0"/>
                <w:color w:val="222222"/>
                <w:sz w:val="18"/>
              </w:rPr>
              <w:t>Risk &lt;40</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0</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+0</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1,00×</w:t>
            </w:r>
          </w:p>
        </w:tc>
      </w:tr>
      <w:tr>
        <w:trPr>
          <w:cantSplit/>
        </w:trPr>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CAUTION</w:t>
            </w:r>
          </w:p>
        </w:tc>
        <w:tc>
          <w:tcPr>
            <w:tcW w:type="dxa" w:w="2232"/>
            <w:tcMar>
              <w:top w:w="80" w:type="dxa"/>
              <w:start w:w="120" w:type="dxa"/>
              <w:bottom w:w="80" w:type="dxa"/>
              <w:end w:w="120" w:type="dxa"/>
            </w:tcMar>
            <w:vAlign w:val="center"/>
          </w:tcPr>
          <w:p>
            <w:pPr>
              <w:spacing w:after="0"/>
            </w:pPr>
            <w:r>
              <w:rPr>
                <w:rFonts w:ascii="Calibri" w:hAnsi="Calibri"/>
                <w:b w:val="0"/>
                <w:i w:val="0"/>
                <w:color w:val="222222"/>
                <w:sz w:val="18"/>
              </w:rPr>
              <w:t>Risk 40–69</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-4</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+3</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0,75×</w:t>
            </w:r>
          </w:p>
        </w:tc>
      </w:tr>
      <w:tr>
        <w:trPr>
          <w:cantSplit/>
        </w:trPr>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RISK_OFF</w:t>
            </w:r>
          </w:p>
        </w:tc>
        <w:tc>
          <w:tcPr>
            <w:tcW w:type="dxa" w:w="2232"/>
            <w:tcMar>
              <w:top w:w="80" w:type="dxa"/>
              <w:start w:w="120" w:type="dxa"/>
              <w:bottom w:w="80" w:type="dxa"/>
              <w:end w:w="120" w:type="dxa"/>
            </w:tcMar>
            <w:vAlign w:val="center"/>
            <w:shd w:fill="F7F9FB"/>
          </w:tcPr>
          <w:p>
            <w:pPr>
              <w:spacing w:after="0"/>
            </w:pPr>
            <w:r>
              <w:rPr>
                <w:rFonts w:ascii="Calibri" w:hAnsi="Calibri"/>
                <w:b w:val="0"/>
                <w:i w:val="0"/>
                <w:color w:val="222222"/>
                <w:sz w:val="18"/>
              </w:rPr>
              <w:t>Risk 70–89</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-10</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+8</w:t>
            </w:r>
          </w:p>
        </w:tc>
        <w:tc>
          <w:tcPr>
            <w:tcW w:type="dxa" w:w="1440"/>
            <w:tcMar>
              <w:top w:w="80" w:type="dxa"/>
              <w:start w:w="120" w:type="dxa"/>
              <w:bottom w:w="80" w:type="dxa"/>
              <w:end w:w="120" w:type="dxa"/>
            </w:tcMar>
            <w:vAlign w:val="center"/>
            <w:shd w:fill="F7F9FB"/>
          </w:tcPr>
          <w:p>
            <w:pPr>
              <w:spacing w:after="0"/>
            </w:pPr>
            <w:r>
              <w:rPr>
                <w:rFonts w:ascii="Calibri" w:hAnsi="Calibri"/>
                <w:b w:val="0"/>
                <w:i w:val="0"/>
                <w:color w:val="222222"/>
                <w:sz w:val="18"/>
              </w:rPr>
              <w:t>0,40×</w:t>
            </w:r>
          </w:p>
        </w:tc>
      </w:tr>
      <w:tr>
        <w:trPr>
          <w:cantSplit/>
        </w:trPr>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CRISIS</w:t>
            </w:r>
          </w:p>
        </w:tc>
        <w:tc>
          <w:tcPr>
            <w:tcW w:type="dxa" w:w="2232"/>
            <w:tcMar>
              <w:top w:w="80" w:type="dxa"/>
              <w:start w:w="120" w:type="dxa"/>
              <w:bottom w:w="80" w:type="dxa"/>
              <w:end w:w="120" w:type="dxa"/>
            </w:tcMar>
            <w:vAlign w:val="center"/>
          </w:tcPr>
          <w:p>
            <w:pPr>
              <w:spacing w:after="0"/>
            </w:pPr>
            <w:r>
              <w:rPr>
                <w:rFonts w:ascii="Calibri" w:hAnsi="Calibri"/>
                <w:b w:val="0"/>
                <w:i w:val="0"/>
                <w:color w:val="222222"/>
                <w:sz w:val="18"/>
              </w:rPr>
              <w:t>Risk ≥90</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0; giriş blok</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w:t>
            </w:r>
          </w:p>
        </w:tc>
        <w:tc>
          <w:tcPr>
            <w:tcW w:type="dxa" w:w="1440"/>
            <w:tcMar>
              <w:top w:w="80" w:type="dxa"/>
              <w:start w:w="120" w:type="dxa"/>
              <w:bottom w:w="80" w:type="dxa"/>
              <w:end w:w="120" w:type="dxa"/>
            </w:tcMar>
            <w:vAlign w:val="center"/>
          </w:tcPr>
          <w:p>
            <w:pPr>
              <w:spacing w:after="0"/>
            </w:pPr>
            <w:r>
              <w:rPr>
                <w:rFonts w:ascii="Calibri" w:hAnsi="Calibri"/>
                <w:b w:val="0"/>
                <w:i w:val="0"/>
                <w:color w:val="222222"/>
                <w:sz w:val="18"/>
              </w:rPr>
              <w:t>0×</w:t>
            </w:r>
          </w:p>
        </w:tc>
      </w:tr>
    </w:tbl>
    <w:p>
      <w:pPr>
        <w:spacing w:after="0"/>
      </w:pPr>
    </w:p>
    <w:p>
      <w:pPr>
        <w:spacing w:after="120" w:line="300" w:lineRule="auto"/>
      </w:pPr>
      <w:r>
        <w:rPr>
          <w:rFonts w:ascii="Calibri" w:hAnsi="Calibri"/>
          <w:b w:val="0"/>
          <w:i w:val="0"/>
          <w:color w:val="222222"/>
          <w:sz w:val="22"/>
        </w:rPr>
        <w:t>adjusted_final_score = clamp(base_stock_score + market_adjustment + sector_adjustment). adjusted_buy_threshold = 72 + buy_threshold_adjustment.</w:t>
      </w:r>
    </w:p>
    <w:p>
      <w:pPr>
        <w:pStyle w:val="Heading1"/>
      </w:pPr>
      <w:r>
        <w:t>Sektör etkisi</w:t>
      </w:r>
    </w:p>
    <w:p>
      <w:pPr>
        <w:spacing w:after="120" w:line="300" w:lineRule="auto"/>
      </w:pPr>
      <w:r>
        <w:rPr>
          <w:rFonts w:ascii="Calibri" w:hAnsi="Calibri"/>
          <w:b w:val="0"/>
          <w:i w:val="0"/>
          <w:color w:val="222222"/>
          <w:sz w:val="22"/>
        </w:rPr>
        <w:t>Sembol deterministik sektör eşlemesinde yer alıyorsa ve olay o sektörü pozitif/negatif işaretliyorsa ±2 puan uygulanır. Örnek eşlemeler: THYAO/PGSUS airlines; TUPRS/AYGAZ/PETKM energy; ASELS/OTKAR defense; büyük bankalar banks. Eşlenmemiş şirkete sektör etkisi uygulanmaz ve şirket özel maruziyeti kanıtsız çıkarılmaz.</w:t>
      </w:r>
    </w:p>
    <w:p>
      <w:pPr>
        <w:pStyle w:val="Title"/>
      </w:pPr>
      <w:r>
        <w:t>11. BUY, HOLD ve SELL kararı</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1584"/>
            <w:shd w:fill="1F4E78"/>
            <w:tcMar>
              <w:top w:w="80" w:type="dxa"/>
              <w:start w:w="120" w:type="dxa"/>
              <w:bottom w:w="80" w:type="dxa"/>
              <w:end w:w="120" w:type="dxa"/>
            </w:tcMar>
            <w:vAlign w:val="center"/>
          </w:tcPr>
          <w:p>
            <w:pPr>
              <w:spacing w:after="0"/>
            </w:pPr>
            <w:r>
              <w:rPr>
                <w:rFonts w:ascii="Calibri" w:hAnsi="Calibri"/>
                <w:b/>
                <w:i w:val="0"/>
                <w:color w:val="FFFFFF"/>
                <w:sz w:val="18"/>
              </w:rPr>
              <w:t>Karar</w:t>
            </w:r>
          </w:p>
        </w:tc>
        <w:tc>
          <w:tcPr>
            <w:tcW w:type="dxa" w:w="7488"/>
            <w:shd w:fill="1F4E78"/>
            <w:tcMar>
              <w:top w:w="80" w:type="dxa"/>
              <w:start w:w="120" w:type="dxa"/>
              <w:bottom w:w="80" w:type="dxa"/>
              <w:end w:w="120" w:type="dxa"/>
            </w:tcMar>
            <w:vAlign w:val="center"/>
          </w:tcPr>
          <w:p>
            <w:pPr>
              <w:spacing w:after="0"/>
            </w:pPr>
            <w:r>
              <w:rPr>
                <w:rFonts w:ascii="Calibri" w:hAnsi="Calibri"/>
                <w:b/>
                <w:i w:val="0"/>
                <w:color w:val="FFFFFF"/>
                <w:sz w:val="18"/>
              </w:rPr>
              <w:t>Ana koşul</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BUY</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LLM HOLD ile bloklamıyorsa ve overlay sonrası skor, ayarlanmış BUY eşiğine eşit/üzerindeyse</w:t>
            </w:r>
          </w:p>
        </w:tc>
      </w:tr>
      <w:tr>
        <w:trPr>
          <w:cantSplit/>
        </w:trPr>
        <w:tc>
          <w:tcPr>
            <w:tcW w:type="dxa" w:w="1584"/>
            <w:tcMar>
              <w:top w:w="80" w:type="dxa"/>
              <w:start w:w="120" w:type="dxa"/>
              <w:bottom w:w="80" w:type="dxa"/>
              <w:end w:w="120" w:type="dxa"/>
            </w:tcMar>
            <w:vAlign w:val="center"/>
            <w:shd w:fill="F7F9FB"/>
          </w:tcPr>
          <w:p>
            <w:pPr>
              <w:spacing w:after="0"/>
            </w:pPr>
            <w:r>
              <w:rPr>
                <w:rFonts w:ascii="Calibri" w:hAnsi="Calibri"/>
                <w:b w:val="0"/>
                <w:i w:val="0"/>
                <w:color w:val="222222"/>
                <w:sz w:val="18"/>
              </w:rPr>
              <w:t>HOLD</w:t>
            </w:r>
          </w:p>
        </w:tc>
        <w:tc>
          <w:tcPr>
            <w:tcW w:type="dxa" w:w="7488"/>
            <w:tcMar>
              <w:top w:w="80" w:type="dxa"/>
              <w:start w:w="120" w:type="dxa"/>
              <w:bottom w:w="80" w:type="dxa"/>
              <w:end w:w="120" w:type="dxa"/>
            </w:tcMar>
            <w:vAlign w:val="center"/>
            <w:shd w:fill="F7F9FB"/>
          </w:tcPr>
          <w:p>
            <w:pPr>
              <w:spacing w:after="0"/>
            </w:pPr>
            <w:r>
              <w:rPr>
                <w:rFonts w:ascii="Calibri" w:hAnsi="Calibri"/>
                <w:b w:val="0"/>
                <w:i w:val="0"/>
                <w:color w:val="222222"/>
                <w:sz w:val="18"/>
              </w:rPr>
              <w:t>Skor eşik altında; LLM HOLD; rejim giriş bloklu; pozisyon zaten açık; açık pozisyon verisi bayat; Risk reddi</w:t>
            </w:r>
          </w:p>
        </w:tc>
      </w:tr>
      <w:tr>
        <w:trPr>
          <w:cantSplit/>
        </w:trPr>
        <w:tc>
          <w:tcPr>
            <w:tcW w:type="dxa" w:w="1584"/>
            <w:tcMar>
              <w:top w:w="80" w:type="dxa"/>
              <w:start w:w="120" w:type="dxa"/>
              <w:bottom w:w="80" w:type="dxa"/>
              <w:end w:w="120" w:type="dxa"/>
            </w:tcMar>
            <w:vAlign w:val="center"/>
          </w:tcPr>
          <w:p>
            <w:pPr>
              <w:spacing w:after="0"/>
            </w:pPr>
            <w:r>
              <w:rPr>
                <w:rFonts w:ascii="Calibri" w:hAnsi="Calibri"/>
                <w:b w:val="0"/>
                <w:i w:val="0"/>
                <w:color w:val="222222"/>
                <w:sz w:val="18"/>
              </w:rPr>
              <w:t>SELL</w:t>
            </w:r>
          </w:p>
        </w:tc>
        <w:tc>
          <w:tcPr>
            <w:tcW w:type="dxa" w:w="7488"/>
            <w:tcMar>
              <w:top w:w="80" w:type="dxa"/>
              <w:start w:w="120" w:type="dxa"/>
              <w:bottom w:w="80" w:type="dxa"/>
              <w:end w:w="120" w:type="dxa"/>
            </w:tcMar>
            <w:vAlign w:val="center"/>
          </w:tcPr>
          <w:p>
            <w:pPr>
              <w:spacing w:after="0"/>
            </w:pPr>
            <w:r>
              <w:rPr>
                <w:rFonts w:ascii="Calibri" w:hAnsi="Calibri"/>
                <w:b w:val="0"/>
                <w:i w:val="0"/>
                <w:color w:val="222222"/>
                <w:sz w:val="18"/>
              </w:rPr>
              <w:t>Açık pozisyon çıkış kuralı veya bearish strateji değerlendirmesi Risk Engine tarafından onaylanırsa</w:t>
            </w:r>
          </w:p>
        </w:tc>
      </w:tr>
    </w:tbl>
    <w:p>
      <w:pPr>
        <w:spacing w:after="0"/>
      </w:pPr>
    </w:p>
    <w:p>
      <w:pPr>
        <w:spacing w:after="120" w:line="300" w:lineRule="auto"/>
      </w:pPr>
      <w:r>
        <w:rPr>
          <w:rFonts w:ascii="Calibri" w:hAnsi="Calibri"/>
          <w:b w:val="0"/>
          <w:i w:val="0"/>
          <w:color w:val="222222"/>
          <w:sz w:val="22"/>
        </w:rPr>
        <w:t>Aynı sembolde açık PAPER pozisyonu varsa pyramiding kapalıdır. Yeni BUY yerine MANAGE_EXISTING_POSITION/HOLD açıklaması gösterilir.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2E6B4F"/>
                <w:sz w:val="22"/>
              </w:rPr>
              <w:t>Karar açıklaması sözleşmesi</w:t>
              <w:br/>
            </w:r>
            <w:r>
              <w:rPr>
                <w:rFonts w:ascii="Calibri" w:hAnsi="Calibri"/>
                <w:b w:val="0"/>
                <w:i w:val="0"/>
                <w:color w:val="222222"/>
                <w:sz w:val="21"/>
              </w:rPr>
              <w:t>Her adayda base_stock_score, market_regime, market_adjustment, sector_adjustment, adjusted_final_score, adjusted_buy_threshold ve position_multiplier gösterilir. Böylece nihai kararın nereden geldiği izlenebilir.</w:t>
            </w:r>
          </w:p>
        </w:tc>
      </w:tr>
    </w:tbl>
    <w:p>
      <w:pPr>
        <w:spacing w:after="0"/>
      </w:pPr>
    </w:p>
    <w:p>
      <w:pPr>
        <w:pStyle w:val="Title"/>
      </w:pPr>
      <w:r>
        <w:t>12. Risk Engine: son otorite</w:t>
      </w:r>
    </w:p>
    <w:p>
      <w:pPr>
        <w:spacing w:after="120" w:line="300" w:lineRule="auto"/>
      </w:pPr>
      <w:r>
        <w:rPr>
          <w:rFonts w:ascii="Calibri" w:hAnsi="Calibri"/>
          <w:b w:val="0"/>
          <w:i w:val="0"/>
          <w:color w:val="222222"/>
          <w:sz w:val="22"/>
        </w:rPr>
        <w:t>Strateji BUY dese bile emir kesin değildir. Risk Engine aşağıdaki kontrollerden sonra APPROVE, REJECT, REDUCE_SIZE veya HALT_TRADING üretir.</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4608"/>
            <w:shd w:fill="1F4E78"/>
            <w:tcMar>
              <w:top w:w="80" w:type="dxa"/>
              <w:start w:w="120" w:type="dxa"/>
              <w:bottom w:w="80" w:type="dxa"/>
              <w:end w:w="120" w:type="dxa"/>
            </w:tcMar>
            <w:vAlign w:val="center"/>
          </w:tcPr>
          <w:p>
            <w:pPr>
              <w:spacing w:after="0"/>
            </w:pPr>
            <w:r>
              <w:rPr>
                <w:rFonts w:ascii="Calibri" w:hAnsi="Calibri"/>
                <w:b/>
                <w:i w:val="0"/>
                <w:color w:val="FFFFFF"/>
                <w:sz w:val="18"/>
              </w:rPr>
              <w:t>Kontrol</w:t>
            </w:r>
          </w:p>
        </w:tc>
        <w:tc>
          <w:tcPr>
            <w:tcW w:type="dxa" w:w="4464"/>
            <w:shd w:fill="1F4E78"/>
            <w:tcMar>
              <w:top w:w="80" w:type="dxa"/>
              <w:start w:w="120" w:type="dxa"/>
              <w:bottom w:w="80" w:type="dxa"/>
              <w:end w:w="120" w:type="dxa"/>
            </w:tcMar>
            <w:vAlign w:val="center"/>
          </w:tcPr>
          <w:p>
            <w:pPr>
              <w:spacing w:after="0"/>
            </w:pPr>
            <w:r>
              <w:rPr>
                <w:rFonts w:ascii="Calibri" w:hAnsi="Calibri"/>
                <w:b/>
                <w:i w:val="0"/>
                <w:color w:val="FFFFFF"/>
                <w:sz w:val="18"/>
              </w:rPr>
              <w:t>Aktif sınır</w:t>
            </w:r>
          </w:p>
        </w:tc>
      </w:tr>
      <w:tr>
        <w:trPr>
          <w:cantSplit/>
        </w:trPr>
        <w:tc>
          <w:tcPr>
            <w:tcW w:type="dxa" w:w="4608"/>
            <w:tcMar>
              <w:top w:w="80" w:type="dxa"/>
              <w:start w:w="120" w:type="dxa"/>
              <w:bottom w:w="80" w:type="dxa"/>
              <w:end w:w="120" w:type="dxa"/>
            </w:tcMar>
            <w:vAlign w:val="center"/>
          </w:tcPr>
          <w:p>
            <w:pPr>
              <w:spacing w:after="0"/>
            </w:pPr>
            <w:r>
              <w:rPr>
                <w:rFonts w:ascii="Calibri" w:hAnsi="Calibri"/>
                <w:b w:val="0"/>
                <w:i w:val="0"/>
                <w:color w:val="222222"/>
                <w:sz w:val="18"/>
              </w:rPr>
              <w:t>Global kill switch</w:t>
            </w:r>
          </w:p>
        </w:tc>
        <w:tc>
          <w:tcPr>
            <w:tcW w:type="dxa" w:w="4464"/>
            <w:tcMar>
              <w:top w:w="80" w:type="dxa"/>
              <w:start w:w="120" w:type="dxa"/>
              <w:bottom w:w="80" w:type="dxa"/>
              <w:end w:w="120" w:type="dxa"/>
            </w:tcMar>
            <w:vAlign w:val="center"/>
          </w:tcPr>
          <w:p>
            <w:pPr>
              <w:spacing w:after="0"/>
            </w:pPr>
            <w:r>
              <w:rPr>
                <w:rFonts w:ascii="Calibri" w:hAnsi="Calibri"/>
                <w:b w:val="0"/>
                <w:i w:val="0"/>
                <w:color w:val="222222"/>
                <w:sz w:val="18"/>
              </w:rPr>
              <w:t>Aktifse BUY durur</w:t>
            </w:r>
          </w:p>
        </w:tc>
      </w:tr>
      <w:tr>
        <w:trPr>
          <w:cantSplit/>
        </w:trPr>
        <w:tc>
          <w:tcPr>
            <w:tcW w:type="dxa" w:w="4608"/>
            <w:tcMar>
              <w:top w:w="80" w:type="dxa"/>
              <w:start w:w="120" w:type="dxa"/>
              <w:bottom w:w="80" w:type="dxa"/>
              <w:end w:w="120" w:type="dxa"/>
            </w:tcMar>
            <w:vAlign w:val="center"/>
            <w:shd w:fill="F7F9FB"/>
          </w:tcPr>
          <w:p>
            <w:pPr>
              <w:spacing w:after="0"/>
            </w:pPr>
            <w:r>
              <w:rPr>
                <w:rFonts w:ascii="Calibri" w:hAnsi="Calibri"/>
                <w:b w:val="0"/>
                <w:i w:val="0"/>
                <w:color w:val="222222"/>
                <w:sz w:val="18"/>
              </w:rPr>
              <w:t>Maksimum açık pozisyon</w:t>
            </w:r>
          </w:p>
        </w:tc>
        <w:tc>
          <w:tcPr>
            <w:tcW w:type="dxa" w:w="4464"/>
            <w:tcMar>
              <w:top w:w="80" w:type="dxa"/>
              <w:start w:w="120" w:type="dxa"/>
              <w:bottom w:w="80" w:type="dxa"/>
              <w:end w:w="120" w:type="dxa"/>
            </w:tcMar>
            <w:vAlign w:val="center"/>
            <w:shd w:fill="F7F9FB"/>
          </w:tcPr>
          <w:p>
            <w:pPr>
              <w:spacing w:after="0"/>
            </w:pPr>
            <w:r>
              <w:rPr>
                <w:rFonts w:ascii="Calibri" w:hAnsi="Calibri"/>
                <w:b w:val="0"/>
                <w:i w:val="0"/>
                <w:color w:val="222222"/>
                <w:sz w:val="18"/>
              </w:rPr>
              <w:t>7</w:t>
            </w:r>
          </w:p>
        </w:tc>
      </w:tr>
      <w:tr>
        <w:trPr>
          <w:cantSplit/>
        </w:trPr>
        <w:tc>
          <w:tcPr>
            <w:tcW w:type="dxa" w:w="4608"/>
            <w:tcMar>
              <w:top w:w="80" w:type="dxa"/>
              <w:start w:w="120" w:type="dxa"/>
              <w:bottom w:w="80" w:type="dxa"/>
              <w:end w:w="120" w:type="dxa"/>
            </w:tcMar>
            <w:vAlign w:val="center"/>
          </w:tcPr>
          <w:p>
            <w:pPr>
              <w:spacing w:after="0"/>
            </w:pPr>
            <w:r>
              <w:rPr>
                <w:rFonts w:ascii="Calibri" w:hAnsi="Calibri"/>
                <w:b w:val="0"/>
                <w:i w:val="0"/>
                <w:color w:val="222222"/>
                <w:sz w:val="18"/>
              </w:rPr>
              <w:t>Maksimum tek pozisyon</w:t>
            </w:r>
          </w:p>
        </w:tc>
        <w:tc>
          <w:tcPr>
            <w:tcW w:type="dxa" w:w="4464"/>
            <w:tcMar>
              <w:top w:w="80" w:type="dxa"/>
              <w:start w:w="120" w:type="dxa"/>
              <w:bottom w:w="80" w:type="dxa"/>
              <w:end w:w="120" w:type="dxa"/>
            </w:tcMar>
            <w:vAlign w:val="center"/>
          </w:tcPr>
          <w:p>
            <w:pPr>
              <w:spacing w:after="0"/>
            </w:pPr>
            <w:r>
              <w:rPr>
                <w:rFonts w:ascii="Calibri" w:hAnsi="Calibri"/>
                <w:b w:val="0"/>
                <w:i w:val="0"/>
                <w:color w:val="222222"/>
                <w:sz w:val="18"/>
              </w:rPr>
              <w:t>Özkaynağın %22’si</w:t>
            </w:r>
          </w:p>
        </w:tc>
      </w:tr>
      <w:tr>
        <w:trPr>
          <w:cantSplit/>
        </w:trPr>
        <w:tc>
          <w:tcPr>
            <w:tcW w:type="dxa" w:w="4608"/>
            <w:tcMar>
              <w:top w:w="80" w:type="dxa"/>
              <w:start w:w="120" w:type="dxa"/>
              <w:bottom w:w="80" w:type="dxa"/>
              <w:end w:w="120" w:type="dxa"/>
            </w:tcMar>
            <w:vAlign w:val="center"/>
            <w:shd w:fill="F7F9FB"/>
          </w:tcPr>
          <w:p>
            <w:pPr>
              <w:spacing w:after="0"/>
            </w:pPr>
            <w:r>
              <w:rPr>
                <w:rFonts w:ascii="Calibri" w:hAnsi="Calibri"/>
                <w:b w:val="0"/>
                <w:i w:val="0"/>
                <w:color w:val="222222"/>
                <w:sz w:val="18"/>
              </w:rPr>
              <w:t>Minimum nakit rezervi</w:t>
            </w:r>
          </w:p>
        </w:tc>
        <w:tc>
          <w:tcPr>
            <w:tcW w:type="dxa" w:w="4464"/>
            <w:tcMar>
              <w:top w:w="80" w:type="dxa"/>
              <w:start w:w="120" w:type="dxa"/>
              <w:bottom w:w="80" w:type="dxa"/>
              <w:end w:w="120" w:type="dxa"/>
            </w:tcMar>
            <w:vAlign w:val="center"/>
            <w:shd w:fill="F7F9FB"/>
          </w:tcPr>
          <w:p>
            <w:pPr>
              <w:spacing w:after="0"/>
            </w:pPr>
            <w:r>
              <w:rPr>
                <w:rFonts w:ascii="Calibri" w:hAnsi="Calibri"/>
                <w:b w:val="0"/>
                <w:i w:val="0"/>
                <w:color w:val="222222"/>
                <w:sz w:val="18"/>
              </w:rPr>
              <w:t>Özkaynağın %5’i</w:t>
            </w:r>
          </w:p>
        </w:tc>
      </w:tr>
      <w:tr>
        <w:trPr>
          <w:cantSplit/>
        </w:trPr>
        <w:tc>
          <w:tcPr>
            <w:tcW w:type="dxa" w:w="4608"/>
            <w:tcMar>
              <w:top w:w="80" w:type="dxa"/>
              <w:start w:w="120" w:type="dxa"/>
              <w:bottom w:w="80" w:type="dxa"/>
              <w:end w:w="120" w:type="dxa"/>
            </w:tcMar>
            <w:vAlign w:val="center"/>
          </w:tcPr>
          <w:p>
            <w:pPr>
              <w:spacing w:after="0"/>
            </w:pPr>
            <w:r>
              <w:rPr>
                <w:rFonts w:ascii="Calibri" w:hAnsi="Calibri"/>
                <w:b w:val="0"/>
                <w:i w:val="0"/>
                <w:color w:val="222222"/>
                <w:sz w:val="18"/>
              </w:rPr>
              <w:t>İşlem başına maksimum risk</w:t>
            </w:r>
          </w:p>
        </w:tc>
        <w:tc>
          <w:tcPr>
            <w:tcW w:type="dxa" w:w="4464"/>
            <w:tcMar>
              <w:top w:w="80" w:type="dxa"/>
              <w:start w:w="120" w:type="dxa"/>
              <w:bottom w:w="80" w:type="dxa"/>
              <w:end w:w="120" w:type="dxa"/>
            </w:tcMar>
            <w:vAlign w:val="center"/>
          </w:tcPr>
          <w:p>
            <w:pPr>
              <w:spacing w:after="0"/>
            </w:pPr>
            <w:r>
              <w:rPr>
                <w:rFonts w:ascii="Calibri" w:hAnsi="Calibri"/>
                <w:b w:val="0"/>
                <w:i w:val="0"/>
                <w:color w:val="222222"/>
                <w:sz w:val="18"/>
              </w:rPr>
              <w:t>Özkaynağın %1,25’i</w:t>
            </w:r>
          </w:p>
        </w:tc>
      </w:tr>
      <w:tr>
        <w:trPr>
          <w:cantSplit/>
        </w:trPr>
        <w:tc>
          <w:tcPr>
            <w:tcW w:type="dxa" w:w="4608"/>
            <w:tcMar>
              <w:top w:w="80" w:type="dxa"/>
              <w:start w:w="120" w:type="dxa"/>
              <w:bottom w:w="80" w:type="dxa"/>
              <w:end w:w="120" w:type="dxa"/>
            </w:tcMar>
            <w:vAlign w:val="center"/>
            <w:shd w:fill="F7F9FB"/>
          </w:tcPr>
          <w:p>
            <w:pPr>
              <w:spacing w:after="0"/>
            </w:pPr>
            <w:r>
              <w:rPr>
                <w:rFonts w:ascii="Calibri" w:hAnsi="Calibri"/>
                <w:b w:val="0"/>
                <w:i w:val="0"/>
                <w:color w:val="222222"/>
                <w:sz w:val="18"/>
              </w:rPr>
              <w:t>Günlük zarar</w:t>
            </w:r>
          </w:p>
        </w:tc>
        <w:tc>
          <w:tcPr>
            <w:tcW w:type="dxa" w:w="4464"/>
            <w:tcMar>
              <w:top w:w="80" w:type="dxa"/>
              <w:start w:w="120" w:type="dxa"/>
              <w:bottom w:w="80" w:type="dxa"/>
              <w:end w:w="120" w:type="dxa"/>
            </w:tcMar>
            <w:vAlign w:val="center"/>
            <w:shd w:fill="F7F9FB"/>
          </w:tcPr>
          <w:p>
            <w:pPr>
              <w:spacing w:after="0"/>
            </w:pPr>
            <w:r>
              <w:rPr>
                <w:rFonts w:ascii="Calibri" w:hAnsi="Calibri"/>
                <w:b w:val="0"/>
                <w:i w:val="0"/>
                <w:color w:val="222222"/>
                <w:sz w:val="18"/>
              </w:rPr>
              <w:t>Başlangıç sermayesinin %4’ü</w:t>
            </w:r>
          </w:p>
        </w:tc>
      </w:tr>
      <w:tr>
        <w:trPr>
          <w:cantSplit/>
        </w:trPr>
        <w:tc>
          <w:tcPr>
            <w:tcW w:type="dxa" w:w="4608"/>
            <w:tcMar>
              <w:top w:w="80" w:type="dxa"/>
              <w:start w:w="120" w:type="dxa"/>
              <w:bottom w:w="80" w:type="dxa"/>
              <w:end w:w="120" w:type="dxa"/>
            </w:tcMar>
            <w:vAlign w:val="center"/>
          </w:tcPr>
          <w:p>
            <w:pPr>
              <w:spacing w:after="0"/>
            </w:pPr>
            <w:r>
              <w:rPr>
                <w:rFonts w:ascii="Calibri" w:hAnsi="Calibri"/>
                <w:b w:val="0"/>
                <w:i w:val="0"/>
                <w:color w:val="222222"/>
                <w:sz w:val="18"/>
              </w:rPr>
              <w:t>Haftalık zarar</w:t>
            </w:r>
          </w:p>
        </w:tc>
        <w:tc>
          <w:tcPr>
            <w:tcW w:type="dxa" w:w="4464"/>
            <w:tcMar>
              <w:top w:w="80" w:type="dxa"/>
              <w:start w:w="120" w:type="dxa"/>
              <w:bottom w:w="80" w:type="dxa"/>
              <w:end w:w="120" w:type="dxa"/>
            </w:tcMar>
            <w:vAlign w:val="center"/>
          </w:tcPr>
          <w:p>
            <w:pPr>
              <w:spacing w:after="0"/>
            </w:pPr>
            <w:r>
              <w:rPr>
                <w:rFonts w:ascii="Calibri" w:hAnsi="Calibri"/>
                <w:b w:val="0"/>
                <w:i w:val="0"/>
                <w:color w:val="222222"/>
                <w:sz w:val="18"/>
              </w:rPr>
              <w:t>Başlangıç sermayesinin %8’i</w:t>
            </w:r>
          </w:p>
        </w:tc>
      </w:tr>
      <w:tr>
        <w:trPr>
          <w:cantSplit/>
        </w:trPr>
        <w:tc>
          <w:tcPr>
            <w:tcW w:type="dxa" w:w="4608"/>
            <w:tcMar>
              <w:top w:w="80" w:type="dxa"/>
              <w:start w:w="120" w:type="dxa"/>
              <w:bottom w:w="80" w:type="dxa"/>
              <w:end w:w="120" w:type="dxa"/>
            </w:tcMar>
            <w:vAlign w:val="center"/>
            <w:shd w:fill="F7F9FB"/>
          </w:tcPr>
          <w:p>
            <w:pPr>
              <w:spacing w:after="0"/>
            </w:pPr>
            <w:r>
              <w:rPr>
                <w:rFonts w:ascii="Calibri" w:hAnsi="Calibri"/>
                <w:b w:val="0"/>
                <w:i w:val="0"/>
                <w:color w:val="222222"/>
                <w:sz w:val="18"/>
              </w:rPr>
              <w:t>Toplam drawdown</w:t>
            </w:r>
          </w:p>
        </w:tc>
        <w:tc>
          <w:tcPr>
            <w:tcW w:type="dxa" w:w="4464"/>
            <w:tcMar>
              <w:top w:w="80" w:type="dxa"/>
              <w:start w:w="120" w:type="dxa"/>
              <w:bottom w:w="80" w:type="dxa"/>
              <w:end w:w="120" w:type="dxa"/>
            </w:tcMar>
            <w:vAlign w:val="center"/>
            <w:shd w:fill="F7F9FB"/>
          </w:tcPr>
          <w:p>
            <w:pPr>
              <w:spacing w:after="0"/>
            </w:pPr>
            <w:r>
              <w:rPr>
                <w:rFonts w:ascii="Calibri" w:hAnsi="Calibri"/>
                <w:b w:val="0"/>
                <w:i w:val="0"/>
                <w:color w:val="222222"/>
                <w:sz w:val="18"/>
              </w:rPr>
              <w:t>%15</w:t>
            </w:r>
          </w:p>
        </w:tc>
      </w:tr>
      <w:tr>
        <w:trPr>
          <w:cantSplit/>
        </w:trPr>
        <w:tc>
          <w:tcPr>
            <w:tcW w:type="dxa" w:w="4608"/>
            <w:tcMar>
              <w:top w:w="80" w:type="dxa"/>
              <w:start w:w="120" w:type="dxa"/>
              <w:bottom w:w="80" w:type="dxa"/>
              <w:end w:w="120" w:type="dxa"/>
            </w:tcMar>
            <w:vAlign w:val="center"/>
          </w:tcPr>
          <w:p>
            <w:pPr>
              <w:spacing w:after="0"/>
            </w:pPr>
            <w:r>
              <w:rPr>
                <w:rFonts w:ascii="Calibri" w:hAnsi="Calibri"/>
                <w:b w:val="0"/>
                <w:i w:val="0"/>
                <w:color w:val="222222"/>
                <w:sz w:val="18"/>
              </w:rPr>
              <w:t>Fiyat yaşı</w:t>
            </w:r>
          </w:p>
        </w:tc>
        <w:tc>
          <w:tcPr>
            <w:tcW w:type="dxa" w:w="4464"/>
            <w:tcMar>
              <w:top w:w="80" w:type="dxa"/>
              <w:start w:w="120" w:type="dxa"/>
              <w:bottom w:w="80" w:type="dxa"/>
              <w:end w:w="120" w:type="dxa"/>
            </w:tcMar>
            <w:vAlign w:val="center"/>
          </w:tcPr>
          <w:p>
            <w:pPr>
              <w:spacing w:after="0"/>
            </w:pPr>
            <w:r>
              <w:rPr>
                <w:rFonts w:ascii="Calibri" w:hAnsi="Calibri"/>
                <w:b w:val="0"/>
                <w:i w:val="0"/>
                <w:color w:val="222222"/>
                <w:sz w:val="18"/>
              </w:rPr>
              <w:t>En fazla 5 dakika</w:t>
            </w:r>
          </w:p>
        </w:tc>
      </w:tr>
      <w:tr>
        <w:trPr>
          <w:cantSplit/>
        </w:trPr>
        <w:tc>
          <w:tcPr>
            <w:tcW w:type="dxa" w:w="4608"/>
            <w:tcMar>
              <w:top w:w="80" w:type="dxa"/>
              <w:start w:w="120" w:type="dxa"/>
              <w:bottom w:w="80" w:type="dxa"/>
              <w:end w:w="120" w:type="dxa"/>
            </w:tcMar>
            <w:vAlign w:val="center"/>
            <w:shd w:fill="F7F9FB"/>
          </w:tcPr>
          <w:p>
            <w:pPr>
              <w:spacing w:after="0"/>
            </w:pPr>
            <w:r>
              <w:rPr>
                <w:rFonts w:ascii="Calibri" w:hAnsi="Calibri"/>
                <w:b w:val="0"/>
                <w:i w:val="0"/>
                <w:color w:val="222222"/>
                <w:sz w:val="18"/>
              </w:rPr>
              <w:t>Stop doğrulama</w:t>
            </w:r>
          </w:p>
        </w:tc>
        <w:tc>
          <w:tcPr>
            <w:tcW w:type="dxa" w:w="4464"/>
            <w:tcMar>
              <w:top w:w="80" w:type="dxa"/>
              <w:start w:w="120" w:type="dxa"/>
              <w:bottom w:w="80" w:type="dxa"/>
              <w:end w:w="120" w:type="dxa"/>
            </w:tcMar>
            <w:vAlign w:val="center"/>
            <w:shd w:fill="F7F9FB"/>
          </w:tcPr>
          <w:p>
            <w:pPr>
              <w:spacing w:after="0"/>
            </w:pPr>
            <w:r>
              <w:rPr>
                <w:rFonts w:ascii="Calibri" w:hAnsi="Calibri"/>
                <w:b w:val="0"/>
                <w:i w:val="0"/>
                <w:color w:val="222222"/>
                <w:sz w:val="18"/>
              </w:rPr>
              <w:t>0 &lt; stop &lt; giriş</w:t>
            </w:r>
          </w:p>
        </w:tc>
      </w:tr>
    </w:tbl>
    <w:p>
      <w:pPr>
        <w:spacing w:after="0"/>
      </w:pPr>
    </w:p>
    <w:p>
      <w:pPr>
        <w:pStyle w:val="Title"/>
      </w:pPr>
      <w:r>
        <w:t>13. Pozisyon büyüklüğü</w:t>
      </w:r>
    </w:p>
    <w:p>
      <w:pPr>
        <w:spacing w:after="120" w:line="300" w:lineRule="auto"/>
      </w:pPr>
      <w:r>
        <w:rPr>
          <w:rFonts w:ascii="Calibri" w:hAnsi="Calibri"/>
          <w:b w:val="0"/>
          <w:i w:val="0"/>
          <w:color w:val="222222"/>
          <w:sz w:val="22"/>
        </w:rPr>
        <w:t>Risk Engine üç ayrı üst sınır hesaplar ve en küçüğünü kullanır:</w:t>
      </w:r>
    </w:p>
    <w:p>
      <w:pPr>
        <w:pStyle w:val="IntenseQuote"/>
        <w:spacing w:after="120" w:line="300" w:lineRule="auto"/>
      </w:pPr>
      <w:r>
        <w:rPr>
          <w:rFonts w:ascii="Calibri" w:hAnsi="Calibri"/>
          <w:b w:val="0"/>
          <w:i w:val="0"/>
          <w:color w:val="222222"/>
          <w:sz w:val="22"/>
        </w:rPr>
        <w:t>by_position = floor((equity × max_position_pct − mevcut_pozisyon_değeri) / giriş_fiyatı)</w:t>
      </w:r>
    </w:p>
    <w:p>
      <w:pPr>
        <w:pStyle w:val="IntenseQuote"/>
        <w:spacing w:after="120" w:line="300" w:lineRule="auto"/>
      </w:pPr>
      <w:r>
        <w:rPr>
          <w:rFonts w:ascii="Calibri" w:hAnsi="Calibri"/>
          <w:b w:val="0"/>
          <w:i w:val="0"/>
          <w:color w:val="222222"/>
          <w:sz w:val="22"/>
        </w:rPr>
        <w:t>by_risk = floor((equity × max_trade_risk_pct) / (giriş_fiyatı − stop_fiyatı))</w:t>
      </w:r>
    </w:p>
    <w:p>
      <w:pPr>
        <w:pStyle w:val="IntenseQuote"/>
        <w:spacing w:after="120" w:line="300" w:lineRule="auto"/>
      </w:pPr>
      <w:r>
        <w:rPr>
          <w:rFonts w:ascii="Calibri" w:hAnsi="Calibri"/>
          <w:b w:val="0"/>
          <w:i w:val="0"/>
          <w:color w:val="222222"/>
          <w:sz w:val="22"/>
        </w:rPr>
        <w:t>by_cash = floor((cash − equity × min_cash_pct) / giriş_fiyatı)</w:t>
      </w:r>
    </w:p>
    <w:p>
      <w:pPr>
        <w:pStyle w:val="IntenseQuote"/>
        <w:spacing w:after="120" w:line="300" w:lineRule="auto"/>
      </w:pPr>
      <w:r>
        <w:rPr>
          <w:rFonts w:ascii="Calibri" w:hAnsi="Calibri"/>
          <w:b w:val="0"/>
          <w:i w:val="0"/>
          <w:color w:val="222222"/>
          <w:sz w:val="22"/>
        </w:rPr>
        <w:t>quantity = min(by_position, by_risk, by_cash)</w:t>
      </w:r>
    </w:p>
    <w:p>
      <w:pPr>
        <w:spacing w:after="120" w:line="300" w:lineRule="auto"/>
      </w:pPr>
      <w:r>
        <w:rPr>
          <w:rFonts w:ascii="Calibri" w:hAnsi="Calibri"/>
          <w:b w:val="0"/>
          <w:i w:val="0"/>
          <w:color w:val="222222"/>
          <w:sz w:val="22"/>
        </w:rPr>
        <w:t>RISK_OFF gibi rejimlerde Risk Engine’in güvenli bulduğu BUY miktarı ayrıca yalnızca aşağı yönde position_multiplier ile azaltılır. Örneğin Risk Engine 100 adet onaylar ve çarpan 0,40 ise PAPER talebi 40 adede indirilir. CRISIS’te strateji Risk Engine’e yeni BUY göndermeden HOLD olur.</w:t>
      </w:r>
    </w:p>
    <w:p>
      <w:r>
        <w:br w:type="page"/>
      </w:r>
    </w:p>
    <w:p>
      <w:pPr>
        <w:pStyle w:val="Title"/>
      </w:pPr>
      <w:r>
        <w:t>14. BIST işlem takvimi ve seans güvenliği</w:t>
      </w:r>
    </w:p>
    <w:p>
      <w:pPr>
        <w:spacing w:after="120" w:line="300" w:lineRule="auto"/>
      </w:pPr>
      <w:r>
        <w:rPr>
          <w:rFonts w:ascii="Calibri" w:hAnsi="Calibri"/>
          <w:b w:val="0"/>
          <w:i w:val="0"/>
          <w:color w:val="222222"/>
          <w:sz w:val="22"/>
        </w:rPr>
        <w:t>BistTradingCalendar, Europe/Istanbul saat diliminde Pay Piyasası işlem gününü ve seansını belirleyen tek otoritedir. Strateji veya Risk Engine BUY/SELL üretse bile PaperBroker, seans uygun değilse fill öncesinde emri bağımsız olarak reddeder; nakit, pozisyon, order ve fill kayıtları değişmez.</w:t>
      </w:r>
    </w:p>
    <w:tbl>
      <w:tblPr>
        <w:tblW w:type="auto" w:w="0"/>
        <w:jc w:val="center"/>
        <w:tblLayout w:type="fixed"/>
        <w:tblLook w:firstColumn="1" w:firstRow="1" w:lastColumn="0" w:lastRow="0" w:noHBand="0" w:noVBand="1" w:val="04A0"/>
      </w:tblPr>
      <w:tblGrid>
        <w:gridCol w:w="3264"/>
        <w:gridCol w:w="3264"/>
        <w:gridCol w:w="3264"/>
      </w:tblGrid>
      <w:tr>
        <w:trPr>
          <w:cantSplit/>
          <w:tblHeader/>
        </w:trPr>
        <w:tc>
          <w:tcPr>
            <w:tcW w:type="dxa" w:w="3168"/>
            <w:shd w:fill="1F4E78"/>
            <w:tcMar>
              <w:top w:w="80" w:type="dxa"/>
              <w:start w:w="120" w:type="dxa"/>
              <w:bottom w:w="80" w:type="dxa"/>
              <w:end w:w="120" w:type="dxa"/>
            </w:tcMar>
            <w:vAlign w:val="center"/>
          </w:tcPr>
          <w:p>
            <w:pPr>
              <w:spacing w:after="0"/>
            </w:pPr>
            <w:r>
              <w:rPr>
                <w:rFonts w:ascii="Calibri" w:hAnsi="Calibri"/>
                <w:b/>
                <w:i w:val="0"/>
                <w:color w:val="FFFFFF"/>
                <w:sz w:val="18"/>
              </w:rPr>
              <w:t>Seans</w:t>
            </w:r>
          </w:p>
        </w:tc>
        <w:tc>
          <w:tcPr>
            <w:tcW w:type="dxa" w:w="2304"/>
            <w:shd w:fill="1F4E78"/>
            <w:tcMar>
              <w:top w:w="80" w:type="dxa"/>
              <w:start w:w="120" w:type="dxa"/>
              <w:bottom w:w="80" w:type="dxa"/>
              <w:end w:w="120" w:type="dxa"/>
            </w:tcMar>
            <w:vAlign w:val="center"/>
          </w:tcPr>
          <w:p>
            <w:pPr>
              <w:spacing w:after="0"/>
            </w:pPr>
            <w:r>
              <w:rPr>
                <w:rFonts w:ascii="Calibri" w:hAnsi="Calibri"/>
                <w:b/>
                <w:i w:val="0"/>
                <w:color w:val="FFFFFF"/>
                <w:sz w:val="18"/>
              </w:rPr>
              <w:t>V1 PAPER emri?</w:t>
            </w:r>
          </w:p>
        </w:tc>
        <w:tc>
          <w:tcPr>
            <w:tcW w:type="dxa" w:w="3600"/>
            <w:shd w:fill="1F4E78"/>
            <w:tcMar>
              <w:top w:w="80" w:type="dxa"/>
              <w:start w:w="120" w:type="dxa"/>
              <w:bottom w:w="80" w:type="dxa"/>
              <w:end w:w="120" w:type="dxa"/>
            </w:tcMar>
            <w:vAlign w:val="center"/>
          </w:tcPr>
          <w:p>
            <w:pPr>
              <w:spacing w:after="0"/>
            </w:pPr>
            <w:r>
              <w:rPr>
                <w:rFonts w:ascii="Calibri" w:hAnsi="Calibri"/>
                <w:b/>
                <w:i w:val="0"/>
                <w:color w:val="FFFFFF"/>
                <w:sz w:val="18"/>
              </w:rPr>
              <w:t>Yaklaşık normal gün aralığı</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CLOSED / POST_CLOSE</w:t>
            </w:r>
          </w:p>
        </w:tc>
        <w:tc>
          <w:tcPr>
            <w:tcW w:type="dxa" w:w="2304"/>
            <w:tcMar>
              <w:top w:w="80" w:type="dxa"/>
              <w:start w:w="120" w:type="dxa"/>
              <w:bottom w:w="80" w:type="dxa"/>
              <w:end w:w="120" w:type="dxa"/>
            </w:tcMar>
            <w:vAlign w:val="center"/>
          </w:tcPr>
          <w:p>
            <w:pPr>
              <w:spacing w:after="0"/>
            </w:pPr>
            <w:r>
              <w:rPr>
                <w:rFonts w:ascii="Calibri" w:hAnsi="Calibri"/>
                <w:b w:val="0"/>
                <w:i w:val="0"/>
                <w:color w:val="222222"/>
                <w:sz w:val="18"/>
              </w:rPr>
              <w:t>Hayır</w:t>
            </w:r>
          </w:p>
        </w:tc>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09:40 öncesi / 18:10 sonrası</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PRE_OPEN</w:t>
            </w:r>
          </w:p>
        </w:tc>
        <w:tc>
          <w:tcPr>
            <w:tcW w:type="dxa" w:w="2304"/>
            <w:tcMar>
              <w:top w:w="80" w:type="dxa"/>
              <w:start w:w="120" w:type="dxa"/>
              <w:bottom w:w="80" w:type="dxa"/>
              <w:end w:w="120" w:type="dxa"/>
            </w:tcMar>
            <w:vAlign w:val="center"/>
            <w:shd w:fill="F7F9FB"/>
          </w:tcPr>
          <w:p>
            <w:pPr>
              <w:spacing w:after="0"/>
            </w:pPr>
            <w:r>
              <w:rPr>
                <w:rFonts w:ascii="Calibri" w:hAnsi="Calibri"/>
                <w:b w:val="0"/>
                <w:i w:val="0"/>
                <w:color w:val="222222"/>
                <w:sz w:val="18"/>
              </w:rPr>
              <w:t>Hayır</w:t>
            </w:r>
          </w:p>
        </w:tc>
        <w:tc>
          <w:tcPr>
            <w:tcW w:type="dxa" w:w="3600"/>
            <w:tcMar>
              <w:top w:w="80" w:type="dxa"/>
              <w:start w:w="120" w:type="dxa"/>
              <w:bottom w:w="80" w:type="dxa"/>
              <w:end w:w="120" w:type="dxa"/>
            </w:tcMar>
            <w:vAlign w:val="center"/>
            <w:shd w:fill="F7F9FB"/>
          </w:tcPr>
          <w:p>
            <w:pPr>
              <w:spacing w:after="0"/>
            </w:pPr>
            <w:r>
              <w:rPr>
                <w:rFonts w:ascii="Calibri" w:hAnsi="Calibri"/>
                <w:b w:val="0"/>
                <w:i w:val="0"/>
                <w:color w:val="222222"/>
                <w:sz w:val="18"/>
              </w:rPr>
              <w:t>09:40–09:55</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OPENING_AUCTION</w:t>
            </w:r>
          </w:p>
        </w:tc>
        <w:tc>
          <w:tcPr>
            <w:tcW w:type="dxa" w:w="2304"/>
            <w:tcMar>
              <w:top w:w="80" w:type="dxa"/>
              <w:start w:w="120" w:type="dxa"/>
              <w:bottom w:w="80" w:type="dxa"/>
              <w:end w:w="120" w:type="dxa"/>
            </w:tcMar>
            <w:vAlign w:val="center"/>
          </w:tcPr>
          <w:p>
            <w:pPr>
              <w:spacing w:after="0"/>
            </w:pPr>
            <w:r>
              <w:rPr>
                <w:rFonts w:ascii="Calibri" w:hAnsi="Calibri"/>
                <w:b w:val="0"/>
                <w:i w:val="0"/>
                <w:color w:val="222222"/>
                <w:sz w:val="18"/>
              </w:rPr>
              <w:t>Hayır</w:t>
            </w:r>
          </w:p>
        </w:tc>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09:55–10:00</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CONTINUOUS_TRADING</w:t>
            </w:r>
          </w:p>
        </w:tc>
        <w:tc>
          <w:tcPr>
            <w:tcW w:type="dxa" w:w="2304"/>
            <w:tcMar>
              <w:top w:w="80" w:type="dxa"/>
              <w:start w:w="120" w:type="dxa"/>
              <w:bottom w:w="80" w:type="dxa"/>
              <w:end w:w="120" w:type="dxa"/>
            </w:tcMar>
            <w:vAlign w:val="center"/>
            <w:shd w:fill="F7F9FB"/>
          </w:tcPr>
          <w:p>
            <w:pPr>
              <w:spacing w:after="0"/>
            </w:pPr>
            <w:r>
              <w:rPr>
                <w:rFonts w:ascii="Calibri" w:hAnsi="Calibri"/>
                <w:b w:val="0"/>
                <w:i w:val="0"/>
                <w:color w:val="222222"/>
                <w:sz w:val="18"/>
              </w:rPr>
              <w:t>Evet</w:t>
            </w:r>
          </w:p>
        </w:tc>
        <w:tc>
          <w:tcPr>
            <w:tcW w:type="dxa" w:w="3600"/>
            <w:tcMar>
              <w:top w:w="80" w:type="dxa"/>
              <w:start w:w="120" w:type="dxa"/>
              <w:bottom w:w="80" w:type="dxa"/>
              <w:end w:w="120" w:type="dxa"/>
            </w:tcMar>
            <w:vAlign w:val="center"/>
            <w:shd w:fill="F7F9FB"/>
          </w:tcPr>
          <w:p>
            <w:pPr>
              <w:spacing w:after="0"/>
            </w:pPr>
            <w:r>
              <w:rPr>
                <w:rFonts w:ascii="Calibri" w:hAnsi="Calibri"/>
                <w:b w:val="0"/>
                <w:i w:val="0"/>
                <w:color w:val="222222"/>
                <w:sz w:val="18"/>
              </w:rPr>
              <w:t>10:00–18:00</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CLOSING_AUCTION</w:t>
            </w:r>
          </w:p>
        </w:tc>
        <w:tc>
          <w:tcPr>
            <w:tcW w:type="dxa" w:w="2304"/>
            <w:tcMar>
              <w:top w:w="80" w:type="dxa"/>
              <w:start w:w="120" w:type="dxa"/>
              <w:bottom w:w="80" w:type="dxa"/>
              <w:end w:w="120" w:type="dxa"/>
            </w:tcMar>
            <w:vAlign w:val="center"/>
          </w:tcPr>
          <w:p>
            <w:pPr>
              <w:spacing w:after="0"/>
            </w:pPr>
            <w:r>
              <w:rPr>
                <w:rFonts w:ascii="Calibri" w:hAnsi="Calibri"/>
                <w:b w:val="0"/>
                <w:i w:val="0"/>
                <w:color w:val="222222"/>
                <w:sz w:val="18"/>
              </w:rPr>
              <w:t>Hayır</w:t>
            </w:r>
          </w:p>
        </w:tc>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18:00–18:10</w:t>
            </w:r>
          </w:p>
        </w:tc>
      </w:tr>
    </w:tbl>
    <w:p>
      <w:pPr>
        <w:spacing w:after="0"/>
      </w:pPr>
    </w:p>
    <w:p>
      <w:pPr>
        <w:spacing w:after="120" w:line="300" w:lineRule="auto"/>
      </w:pPr>
      <w:r>
        <w:rPr>
          <w:rFonts w:ascii="Calibri" w:hAnsi="Calibri"/>
          <w:b w:val="0"/>
          <w:i w:val="0"/>
          <w:color w:val="222222"/>
          <w:sz w:val="22"/>
        </w:rPr>
        <w:t>2026 tam ve yarım gün tatilleri Borsa İstanbul’un resmî Pay Piyasası tablosundan açık tarih listesi olarak tutulur. Yarım günlerde sürekli işlem 12:30’da, kapanış süreci 12:40’ta biter. Desteklenmeyen takvim yılı MARKET_CALENDAR_UNAVAILABLE ile güvenli biçimde kapalı kabul edilir; hafta sonu MARKET_CLOSED_WEEKEND, tam tatil MARKET_CLOSED_HOLIDAY üretir.</w:t>
      </w:r>
    </w:p>
    <w:p>
      <w:pPr>
        <w:pStyle w:val="ListBullet"/>
        <w:spacing w:after="80" w:line="288" w:lineRule="auto"/>
      </w:pPr>
      <w:r>
        <w:rPr>
          <w:rFonts w:ascii="Calibri" w:hAnsi="Calibri"/>
          <w:b w:val="0"/>
          <w:i w:val="0"/>
          <w:color w:val="222222"/>
          <w:sz w:val="22"/>
        </w:rPr>
        <w:t>Kapalı piyasada haber/KAP/makro toplama, rejim yenileme, teşhis, isteğe bağlı scanner ve son kapanışla değerleme devam edebilir.</w:t>
      </w:r>
    </w:p>
    <w:p>
      <w:pPr>
        <w:pStyle w:val="ListBullet"/>
        <w:spacing w:after="80" w:line="288" w:lineRule="auto"/>
      </w:pPr>
      <w:r>
        <w:rPr>
          <w:rFonts w:ascii="Calibri" w:hAnsi="Calibri"/>
          <w:b w:val="0"/>
          <w:i w:val="0"/>
          <w:color w:val="222222"/>
          <w:sz w:val="22"/>
        </w:rPr>
        <w:t>BUY/SELL, stop-loss, take-profit, trailing-stop, strategy-exit ve time-stop fill’i yapılamaz.</w:t>
      </w:r>
    </w:p>
    <w:p>
      <w:pPr>
        <w:pStyle w:val="ListBullet"/>
        <w:spacing w:after="80" w:line="288" w:lineRule="auto"/>
      </w:pPr>
      <w:r>
        <w:rPr>
          <w:rFonts w:ascii="Calibri" w:hAnsi="Calibri"/>
          <w:b w:val="0"/>
          <w:i w:val="0"/>
          <w:color w:val="222222"/>
          <w:sz w:val="22"/>
        </w:rPr>
        <w:t>Cuma kapanışı hafta sonu LIVE fiyat değildir; LAST_CLOSE / MARKET_CLOSED etiketiyle yalnızca gösterim/değerleme içindir.</w:t>
      </w:r>
    </w:p>
    <w:p>
      <w:pPr>
        <w:pStyle w:val="ListBullet"/>
        <w:spacing w:after="80" w:line="288" w:lineRule="auto"/>
      </w:pPr>
      <w:r>
        <w:rPr>
          <w:rFonts w:ascii="Calibri" w:hAnsi="Calibri"/>
          <w:b w:val="0"/>
          <w:i w:val="0"/>
          <w:color w:val="222222"/>
          <w:sz w:val="22"/>
        </w:rPr>
        <w:t>Kapalı piyasada üretilen sinyal kuyruğa alınmaz. Sonraki açık seansta taze veriyle scanner, intelligence, rejim, strateji ve risk yeniden hesaplanır.</w:t>
      </w: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9B1C1C"/>
                <w:sz w:val="22"/>
              </w:rPr>
              <w:t>Broker sınırı</w:t>
              <w:br/>
            </w:r>
            <w:r>
              <w:rPr>
                <w:rFonts w:ascii="Calibri" w:hAnsi="Calibri"/>
                <w:b w:val="0"/>
                <w:i w:val="0"/>
                <w:color w:val="222222"/>
                <w:sz w:val="21"/>
              </w:rPr>
              <w:t>Strategy → BUY ve Risk → APPROVED olsa bile PaperBroker → BLOCKED / MARKET_CLOSED sonucunu verebilir. Bu kontrol broker seviyesinde atlanamaz.</w:t>
            </w:r>
          </w:p>
        </w:tc>
      </w:tr>
    </w:tbl>
    <w:p>
      <w:pPr>
        <w:spacing w:after="0"/>
      </w:pPr>
    </w:p>
    <w:p>
      <w:pPr>
        <w:pStyle w:val="Heading1"/>
      </w:pPr>
      <w:r>
        <w:t>Kapalı piyasa LLM politikası</w:t>
      </w:r>
    </w:p>
    <w:p>
      <w:pPr>
        <w:spacing w:after="120" w:line="300" w:lineRule="auto"/>
      </w:pPr>
      <w:r>
        <w:rPr>
          <w:rFonts w:ascii="Calibri" w:hAnsi="Calibri"/>
          <w:b w:val="0"/>
          <w:i w:val="0"/>
          <w:color w:val="222222"/>
          <w:sz w:val="22"/>
        </w:rPr>
        <w:t>Piyasa kapalıyken haber ve makro kaynakları yenilenebilir; OpenAI kullanımı scheduler’a değil yeni olaya bağlıdır. Şirket LLM’i yalnız daha önce kalıcı cache’de görülmemiş materyal event hash’i için çağrılır. Teknik skor değişse bile aynı event yeniden istek üretmez. Makro LLM yalnız yeni canonical event, eşik üstü deterministik materyalite ve yeterli freshness varsa çalışır; değişmeyen olaylar kalıcı cache’den okunur.</w:t>
      </w:r>
    </w:p>
    <w:p>
      <w:pPr>
        <w:spacing w:after="120" w:line="300" w:lineRule="auto"/>
      </w:pPr>
      <w:r>
        <w:rPr>
          <w:rFonts w:ascii="Calibri" w:hAnsi="Calibri"/>
          <w:b w:val="0"/>
          <w:i w:val="0"/>
          <w:color w:val="222222"/>
          <w:sz w:val="22"/>
        </w:rPr>
        <w:t>Her döngü market_closed, company_llm_calls, macro_llm_calls ve llm_calls_avoided_by_cache sayaçlarını raporlar. Rutin hafta sonu polling’i yeni olay yoksa sıfır OpenAI çağrısıyla tamamlanır.</w:t>
      </w:r>
    </w:p>
    <w:p>
      <w:pPr>
        <w:pStyle w:val="Heading1"/>
      </w:pPr>
      <w:r>
        <w:t>Piyasa açılış geçişi ve fiyat güvenliği</w:t>
      </w:r>
    </w:p>
    <w:p>
      <w:pPr>
        <w:spacing w:after="120" w:line="300" w:lineRule="auto"/>
      </w:pPr>
      <w:r>
        <w:rPr>
          <w:rFonts w:ascii="Calibri" w:hAnsi="Calibri"/>
          <w:b w:val="0"/>
          <w:i w:val="0"/>
          <w:color w:val="222222"/>
          <w:sz w:val="22"/>
        </w:rPr>
        <w:t>Hafif session heartbeat her 60 saniyede yalnız takvimi kontrol eder ve OpenAI çağırmaz. CLOSED/PRE_OPEN/OPENING_AUCTION durumundan CONTINUOUS_TRADING’e geçiş algılanırsa normal 600 saniyelik aralık beklenmeden tam piyasa döngüsü başlatılır.</w:t>
      </w:r>
    </w:p>
    <w:p>
      <w:pPr>
        <w:pStyle w:val="ListBullet"/>
        <w:spacing w:after="80" w:line="288" w:lineRule="auto"/>
      </w:pPr>
      <w:r>
        <w:rPr>
          <w:rFonts w:ascii="Calibri" w:hAnsi="Calibri"/>
          <w:b w:val="0"/>
          <w:i w:val="0"/>
          <w:color w:val="222222"/>
          <w:sz w:val="22"/>
        </w:rPr>
        <w:t>Taze piyasa verisi çekilir ve timestamp doğrulanır.</w:t>
      </w:r>
    </w:p>
    <w:p>
      <w:pPr>
        <w:pStyle w:val="ListBullet"/>
        <w:spacing w:after="80" w:line="288" w:lineRule="auto"/>
      </w:pPr>
      <w:r>
        <w:rPr>
          <w:rFonts w:ascii="Calibri" w:hAnsi="Calibri"/>
          <w:b w:val="0"/>
          <w:i w:val="0"/>
          <w:color w:val="222222"/>
          <w:sz w:val="22"/>
        </w:rPr>
        <w:t>Açık pozisyonlar yenilenir; stop/TP/trailing yeniden değerlendirilir.</w:t>
      </w:r>
    </w:p>
    <w:p>
      <w:pPr>
        <w:pStyle w:val="ListBullet"/>
        <w:spacing w:after="80" w:line="288" w:lineRule="auto"/>
      </w:pPr>
      <w:r>
        <w:rPr>
          <w:rFonts w:ascii="Calibri" w:hAnsi="Calibri"/>
          <w:b w:val="0"/>
          <w:i w:val="0"/>
          <w:color w:val="222222"/>
          <w:sz w:val="22"/>
        </w:rPr>
        <w:t>Scanner, intelligence, rejim, Strategy ve Risk güncel verilerle yeniden çalışır.</w:t>
      </w:r>
    </w:p>
    <w:p>
      <w:pPr>
        <w:pStyle w:val="ListBullet"/>
        <w:spacing w:after="80" w:line="288" w:lineRule="auto"/>
      </w:pPr>
      <w:r>
        <w:rPr>
          <w:rFonts w:ascii="Calibri" w:hAnsi="Calibri"/>
          <w:b w:val="0"/>
          <w:i w:val="0"/>
          <w:color w:val="222222"/>
          <w:sz w:val="22"/>
        </w:rPr>
        <w:t>Yalnız aynı işlem gününde 10:00 sonrasında oluşmuş ve en fazla 5 dakikalık fiyat PAPER fill için kullanılabilir.</w:t>
      </w:r>
    </w:p>
    <w:p>
      <w:pPr>
        <w:pStyle w:val="ListBullet"/>
        <w:spacing w:after="80" w:line="288" w:lineRule="auto"/>
      </w:pPr>
      <w:r>
        <w:rPr>
          <w:rFonts w:ascii="Calibri" w:hAnsi="Calibri"/>
          <w:b w:val="0"/>
          <w:i w:val="0"/>
          <w:color w:val="222222"/>
          <w:sz w:val="22"/>
        </w:rPr>
        <w:t>Cuma kapanışı veya pre-open bayat veri NO_FRESH_SESSION_PRICE ile engellenir; sonraki döngüde tekrar taze veri aranır.</w:t>
      </w:r>
    </w:p>
    <w:p>
      <w:pPr>
        <w:pStyle w:val="Title"/>
      </w:pPr>
      <w:r>
        <w:t>15. PAPER broker ve maliyetler</w:t>
      </w:r>
    </w:p>
    <w:p>
      <w:pPr>
        <w:spacing w:after="120" w:line="300" w:lineRule="auto"/>
      </w:pPr>
      <w:r>
        <w:rPr>
          <w:rFonts w:ascii="Calibri" w:hAnsi="Calibri"/>
          <w:b w:val="0"/>
          <w:i w:val="0"/>
          <w:color w:val="222222"/>
          <w:sz w:val="22"/>
        </w:rPr>
        <w:t>PaperBroker tek execution adapter’ıdır. Gerçek broker API’si yoktur. BUY’da slippage fiyatı yukarı, SELL’de aşağı taşır; komisyon nakitten düşülür. Mevcut aktif değerler komisyon %0,10, slippage %0,15’tir.</w:t>
      </w:r>
    </w:p>
    <w:p>
      <w:pPr>
        <w:pStyle w:val="ListBullet"/>
        <w:spacing w:after="80" w:line="288" w:lineRule="auto"/>
      </w:pPr>
      <w:r>
        <w:rPr>
          <w:rFonts w:ascii="Calibri" w:hAnsi="Calibri"/>
          <w:b w:val="0"/>
          <w:i w:val="0"/>
          <w:color w:val="222222"/>
          <w:sz w:val="22"/>
        </w:rPr>
        <w:t>Sanal BUY fill: piyasa fiyatı × (1 + slippage)</w:t>
      </w:r>
    </w:p>
    <w:p>
      <w:pPr>
        <w:pStyle w:val="ListBullet"/>
        <w:spacing w:after="80" w:line="288" w:lineRule="auto"/>
      </w:pPr>
      <w:r>
        <w:rPr>
          <w:rFonts w:ascii="Calibri" w:hAnsi="Calibri"/>
          <w:b w:val="0"/>
          <w:i w:val="0"/>
          <w:color w:val="222222"/>
          <w:sz w:val="22"/>
        </w:rPr>
        <w:t>Sanal SELL fill: piyasa fiyatı × (1 − slippage)</w:t>
      </w:r>
    </w:p>
    <w:p>
      <w:pPr>
        <w:pStyle w:val="ListBullet"/>
        <w:spacing w:after="80" w:line="288" w:lineRule="auto"/>
      </w:pPr>
      <w:r>
        <w:rPr>
          <w:rFonts w:ascii="Calibri" w:hAnsi="Calibri"/>
          <w:b w:val="0"/>
          <w:i w:val="0"/>
          <w:color w:val="222222"/>
          <w:sz w:val="22"/>
        </w:rPr>
        <w:t>Fill, order, komisyon, realized P&amp;L ve pozisyon SQLite’a kaydedilir</w:t>
      </w:r>
    </w:p>
    <w:p>
      <w:pPr>
        <w:pStyle w:val="ListBullet"/>
        <w:spacing w:after="80" w:line="288" w:lineRule="auto"/>
      </w:pPr>
      <w:r>
        <w:rPr>
          <w:rFonts w:ascii="Calibri" w:hAnsi="Calibri"/>
          <w:b w:val="0"/>
          <w:i w:val="0"/>
          <w:color w:val="222222"/>
          <w:sz w:val="22"/>
        </w:rPr>
        <w:t>Yetersiz nakit veya geçersiz RiskDecision ile fill oluşturulmaz</w:t>
      </w:r>
    </w:p>
    <w:p>
      <w:pPr>
        <w:pStyle w:val="Title"/>
      </w:pPr>
      <w:r>
        <w:t>16. Açık pozisyon çıkışları</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2880"/>
            <w:shd w:fill="1F4E78"/>
            <w:tcMar>
              <w:top w:w="80" w:type="dxa"/>
              <w:start w:w="120" w:type="dxa"/>
              <w:bottom w:w="80" w:type="dxa"/>
              <w:end w:w="120" w:type="dxa"/>
            </w:tcMar>
            <w:vAlign w:val="center"/>
          </w:tcPr>
          <w:p>
            <w:pPr>
              <w:spacing w:after="0"/>
            </w:pPr>
            <w:r>
              <w:rPr>
                <w:rFonts w:ascii="Calibri" w:hAnsi="Calibri"/>
                <w:b/>
                <w:i w:val="0"/>
                <w:color w:val="FFFFFF"/>
                <w:sz w:val="18"/>
              </w:rPr>
              <w:t>Çıkış</w:t>
            </w:r>
          </w:p>
        </w:tc>
        <w:tc>
          <w:tcPr>
            <w:tcW w:type="dxa" w:w="6192"/>
            <w:shd w:fill="1F4E78"/>
            <w:tcMar>
              <w:top w:w="80" w:type="dxa"/>
              <w:start w:w="120" w:type="dxa"/>
              <w:bottom w:w="80" w:type="dxa"/>
              <w:end w:w="120" w:type="dxa"/>
            </w:tcMar>
            <w:vAlign w:val="center"/>
          </w:tcPr>
          <w:p>
            <w:pPr>
              <w:spacing w:after="0"/>
            </w:pPr>
            <w:r>
              <w:rPr>
                <w:rFonts w:ascii="Calibri" w:hAnsi="Calibri"/>
                <w:b/>
                <w:i w:val="0"/>
                <w:color w:val="FFFFFF"/>
                <w:sz w:val="18"/>
              </w:rPr>
              <w:t>Aktif kural</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Hard stop</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Giriş fiyatının %5 altı</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Take profit</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Giriş fiyatının %10 üstü</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Trailing stop</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Görülen en yüksek fiyatın %4,5 altı</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Strategy exit</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Teknik skor SELL eşiği 38 veya altı</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Time stop</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Ayar varsa maksimum holding günü</w:t>
            </w:r>
          </w:p>
        </w:tc>
      </w:tr>
    </w:tbl>
    <w:p>
      <w:pPr>
        <w:spacing w:after="0"/>
      </w:pPr>
    </w:p>
    <w:p>
      <w:pPr>
        <w:spacing w:after="120" w:line="300" w:lineRule="auto"/>
      </w:pPr>
      <w:r>
        <w:rPr>
          <w:rFonts w:ascii="Calibri" w:hAnsi="Calibri"/>
          <w:b w:val="0"/>
          <w:i w:val="0"/>
          <w:color w:val="222222"/>
          <w:sz w:val="22"/>
        </w:rPr>
        <w:t>Döngünün ilk adımında her açık pozisyonun fiyatı ve yüksek seviyesi yenilenir. Bayat fiyatla çıkış varsayımı yapılmaz; durum STALE_MARKET_DATA olarak gösterilir. Yeni girişler de açık pozisyonlardan biri bayatsa engellenir.</w:t>
      </w:r>
    </w:p>
    <w:p>
      <w:pPr>
        <w:pStyle w:val="Title"/>
      </w:pPr>
      <w:r>
        <w:t>17. Veritabanı ve dashboard</w:t>
      </w:r>
    </w:p>
    <w:p>
      <w:pPr>
        <w:spacing w:after="120" w:line="300" w:lineRule="auto"/>
      </w:pPr>
      <w:r>
        <w:rPr>
          <w:rFonts w:ascii="Calibri" w:hAnsi="Calibri"/>
          <w:b w:val="0"/>
          <w:i w:val="0"/>
          <w:color w:val="222222"/>
          <w:sz w:val="22"/>
        </w:rPr>
        <w:t>SQLite; teknik sinyalleri, event’leri, LLM cache’ini, makro event/cache ve rejim durumlarını, risk kararlarını, PAPER order/fill/pozisyonları, portföy snapshot’larını ve sistem olaylarını saklar. Uygulama açılışında eksik şema alanları güvenli migration ile eklenir; normal çalışma geçmişi silmez.</w:t>
      </w:r>
    </w:p>
    <w:p>
      <w:pPr>
        <w:pStyle w:val="Heading1"/>
      </w:pPr>
      <w:r>
        <w:t>Dashboard bölümleri</w:t>
      </w:r>
    </w:p>
    <w:p>
      <w:pPr>
        <w:pStyle w:val="ListBullet"/>
        <w:spacing w:after="80" w:line="288" w:lineRule="auto"/>
      </w:pPr>
      <w:r>
        <w:rPr>
          <w:rFonts w:ascii="Calibri" w:hAnsi="Calibri"/>
          <w:b w:val="0"/>
          <w:i w:val="0"/>
          <w:color w:val="222222"/>
          <w:sz w:val="22"/>
        </w:rPr>
        <w:t>BIST Market: OPEN/CLOSED, seans, gerekçe, İstanbul saati ve emir izni</w:t>
      </w:r>
    </w:p>
    <w:p>
      <w:pPr>
        <w:pStyle w:val="ListBullet"/>
        <w:spacing w:after="80" w:line="288" w:lineRule="auto"/>
      </w:pPr>
      <w:r>
        <w:rPr>
          <w:rFonts w:ascii="Calibri" w:hAnsi="Calibri"/>
          <w:b w:val="0"/>
          <w:i w:val="0"/>
          <w:color w:val="222222"/>
          <w:sz w:val="22"/>
        </w:rPr>
        <w:t>Canlı özet: equity, nakit, realized/unrealized P&amp;L</w:t>
      </w:r>
    </w:p>
    <w:p>
      <w:pPr>
        <w:pStyle w:val="ListBullet"/>
        <w:spacing w:after="80" w:line="288" w:lineRule="auto"/>
      </w:pPr>
      <w:r>
        <w:rPr>
          <w:rFonts w:ascii="Calibri" w:hAnsi="Calibri"/>
          <w:b w:val="0"/>
          <w:i w:val="0"/>
          <w:color w:val="222222"/>
          <w:sz w:val="22"/>
        </w:rPr>
        <w:t>Market Regime: provider, rejim, risk, güven, yedi kategori, materyal olaylar</w:t>
      </w:r>
    </w:p>
    <w:p>
      <w:pPr>
        <w:pStyle w:val="ListBullet"/>
        <w:spacing w:after="80" w:line="288" w:lineRule="auto"/>
      </w:pPr>
      <w:r>
        <w:rPr>
          <w:rFonts w:ascii="Calibri" w:hAnsi="Calibri"/>
          <w:b w:val="0"/>
          <w:i w:val="0"/>
          <w:color w:val="222222"/>
          <w:sz w:val="22"/>
        </w:rPr>
        <w:t>Açık pozisyonlar: LIVE veya LAST_CLOSE / MARKET_CLOSED fiyat etiketi, skorlar ve çıkış seviyeleri</w:t>
      </w:r>
    </w:p>
    <w:p>
      <w:pPr>
        <w:pStyle w:val="ListBullet"/>
        <w:spacing w:after="80" w:line="288" w:lineRule="auto"/>
      </w:pPr>
      <w:r>
        <w:rPr>
          <w:rFonts w:ascii="Calibri" w:hAnsi="Calibri"/>
          <w:b w:val="0"/>
          <w:i w:val="0"/>
          <w:color w:val="222222"/>
          <w:sz w:val="22"/>
        </w:rPr>
        <w:t>Trade history ve kapanmış pozisyonlar</w:t>
      </w:r>
    </w:p>
    <w:p>
      <w:pPr>
        <w:pStyle w:val="ListBullet"/>
        <w:spacing w:after="80" w:line="288" w:lineRule="auto"/>
      </w:pPr>
      <w:r>
        <w:rPr>
          <w:rFonts w:ascii="Calibri" w:hAnsi="Calibri"/>
          <w:b w:val="0"/>
          <w:i w:val="0"/>
          <w:color w:val="222222"/>
          <w:sz w:val="22"/>
        </w:rPr>
        <w:t>Bot activity: son cycle özeti ve kararlar</w:t>
      </w:r>
    </w:p>
    <w:p>
      <w:pPr>
        <w:pStyle w:val="ListBullet"/>
        <w:spacing w:after="80" w:line="288" w:lineRule="auto"/>
      </w:pPr>
      <w:r>
        <w:rPr>
          <w:rFonts w:ascii="Calibri" w:hAnsi="Calibri"/>
          <w:b w:val="0"/>
          <w:i w:val="0"/>
          <w:color w:val="222222"/>
          <w:sz w:val="22"/>
        </w:rPr>
        <w:t>Risk oranları ve limitler</w:t>
      </w:r>
    </w:p>
    <w:p>
      <w:pPr>
        <w:spacing w:after="120" w:line="300" w:lineRule="auto"/>
      </w:pPr>
      <w:r>
        <w:rPr>
          <w:rFonts w:ascii="Calibri" w:hAnsi="Calibri"/>
          <w:b w:val="0"/>
          <w:i w:val="0"/>
          <w:color w:val="222222"/>
          <w:sz w:val="22"/>
        </w:rPr>
        <w:t>Dashboard salt-okunur projeksiyondur; kullanıcıya emir butonu sunmaz. Açık pozisyon fiyatları display-only yenilenebilir; bu işlem bot döngüsü veya OpenAI çağrısı başlatmaz.</w:t>
      </w:r>
    </w:p>
    <w:p>
      <w:pPr>
        <w:pStyle w:val="Title"/>
      </w:pPr>
      <w:r>
        <w:t>18. Uçtan uca örnek BUY/HOLD</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3600"/>
            <w:shd w:fill="1F4E78"/>
            <w:tcMar>
              <w:top w:w="80" w:type="dxa"/>
              <w:start w:w="120" w:type="dxa"/>
              <w:bottom w:w="80" w:type="dxa"/>
              <w:end w:w="120" w:type="dxa"/>
            </w:tcMar>
            <w:vAlign w:val="center"/>
          </w:tcPr>
          <w:p>
            <w:pPr>
              <w:spacing w:after="0"/>
            </w:pPr>
            <w:r>
              <w:rPr>
                <w:rFonts w:ascii="Calibri" w:hAnsi="Calibri"/>
                <w:b/>
                <w:i w:val="0"/>
                <w:color w:val="FFFFFF"/>
                <w:sz w:val="18"/>
              </w:rPr>
              <w:t>Adım</w:t>
            </w:r>
          </w:p>
        </w:tc>
        <w:tc>
          <w:tcPr>
            <w:tcW w:type="dxa" w:w="5472"/>
            <w:shd w:fill="1F4E78"/>
            <w:tcMar>
              <w:top w:w="80" w:type="dxa"/>
              <w:start w:w="120" w:type="dxa"/>
              <w:bottom w:w="80" w:type="dxa"/>
              <w:end w:w="120" w:type="dxa"/>
            </w:tcMar>
            <w:vAlign w:val="center"/>
          </w:tcPr>
          <w:p>
            <w:pPr>
              <w:spacing w:after="0"/>
            </w:pPr>
            <w:r>
              <w:rPr>
                <w:rFonts w:ascii="Calibri" w:hAnsi="Calibri"/>
                <w:b/>
                <w:i w:val="0"/>
                <w:color w:val="FFFFFF"/>
                <w:sz w:val="18"/>
              </w:rPr>
              <w:t>Örnek</w:t>
            </w:r>
          </w:p>
        </w:tc>
      </w:tr>
      <w:tr>
        <w:trPr>
          <w:cantSplit/>
        </w:trPr>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Temel hisse puanı</w:t>
            </w:r>
          </w:p>
        </w:tc>
        <w:tc>
          <w:tcPr>
            <w:tcW w:type="dxa" w:w="5472"/>
            <w:tcMar>
              <w:top w:w="80" w:type="dxa"/>
              <w:start w:w="120" w:type="dxa"/>
              <w:bottom w:w="80" w:type="dxa"/>
              <w:end w:w="120" w:type="dxa"/>
            </w:tcMar>
            <w:vAlign w:val="center"/>
          </w:tcPr>
          <w:p>
            <w:pPr>
              <w:spacing w:after="0"/>
            </w:pPr>
            <w:r>
              <w:rPr>
                <w:rFonts w:ascii="Calibri" w:hAnsi="Calibri"/>
                <w:b w:val="0"/>
                <w:i w:val="0"/>
                <w:color w:val="222222"/>
                <w:sz w:val="18"/>
              </w:rPr>
              <w:t>78</w:t>
            </w:r>
          </w:p>
        </w:tc>
      </w:tr>
      <w:tr>
        <w:trPr>
          <w:cantSplit/>
        </w:trPr>
        <w:tc>
          <w:tcPr>
            <w:tcW w:type="dxa" w:w="3600"/>
            <w:tcMar>
              <w:top w:w="80" w:type="dxa"/>
              <w:start w:w="120" w:type="dxa"/>
              <w:bottom w:w="80" w:type="dxa"/>
              <w:end w:w="120" w:type="dxa"/>
            </w:tcMar>
            <w:vAlign w:val="center"/>
            <w:shd w:fill="F7F9FB"/>
          </w:tcPr>
          <w:p>
            <w:pPr>
              <w:spacing w:after="0"/>
            </w:pPr>
            <w:r>
              <w:rPr>
                <w:rFonts w:ascii="Calibri" w:hAnsi="Calibri"/>
                <w:b w:val="0"/>
                <w:i w:val="0"/>
                <w:color w:val="222222"/>
                <w:sz w:val="18"/>
              </w:rPr>
              <w:t>Rejim</w:t>
            </w:r>
          </w:p>
        </w:tc>
        <w:tc>
          <w:tcPr>
            <w:tcW w:type="dxa" w:w="5472"/>
            <w:tcMar>
              <w:top w:w="80" w:type="dxa"/>
              <w:start w:w="120" w:type="dxa"/>
              <w:bottom w:w="80" w:type="dxa"/>
              <w:end w:w="120" w:type="dxa"/>
            </w:tcMar>
            <w:vAlign w:val="center"/>
            <w:shd w:fill="F7F9FB"/>
          </w:tcPr>
          <w:p>
            <w:pPr>
              <w:spacing w:after="0"/>
            </w:pPr>
            <w:r>
              <w:rPr>
                <w:rFonts w:ascii="Calibri" w:hAnsi="Calibri"/>
                <w:b w:val="0"/>
                <w:i w:val="0"/>
                <w:color w:val="222222"/>
                <w:sz w:val="18"/>
              </w:rPr>
              <w:t>CAUTION</w:t>
            </w:r>
          </w:p>
        </w:tc>
      </w:tr>
      <w:tr>
        <w:trPr>
          <w:cantSplit/>
        </w:trPr>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Market adjustment</w:t>
            </w:r>
          </w:p>
        </w:tc>
        <w:tc>
          <w:tcPr>
            <w:tcW w:type="dxa" w:w="5472"/>
            <w:tcMar>
              <w:top w:w="80" w:type="dxa"/>
              <w:start w:w="120" w:type="dxa"/>
              <w:bottom w:w="80" w:type="dxa"/>
              <w:end w:w="120" w:type="dxa"/>
            </w:tcMar>
            <w:vAlign w:val="center"/>
          </w:tcPr>
          <w:p>
            <w:pPr>
              <w:spacing w:after="0"/>
            </w:pPr>
            <w:r>
              <w:rPr>
                <w:rFonts w:ascii="Calibri" w:hAnsi="Calibri"/>
                <w:b w:val="0"/>
                <w:i w:val="0"/>
                <w:color w:val="222222"/>
                <w:sz w:val="18"/>
              </w:rPr>
              <w:t>−4</w:t>
            </w:r>
          </w:p>
        </w:tc>
      </w:tr>
      <w:tr>
        <w:trPr>
          <w:cantSplit/>
        </w:trPr>
        <w:tc>
          <w:tcPr>
            <w:tcW w:type="dxa" w:w="3600"/>
            <w:tcMar>
              <w:top w:w="80" w:type="dxa"/>
              <w:start w:w="120" w:type="dxa"/>
              <w:bottom w:w="80" w:type="dxa"/>
              <w:end w:w="120" w:type="dxa"/>
            </w:tcMar>
            <w:vAlign w:val="center"/>
            <w:shd w:fill="F7F9FB"/>
          </w:tcPr>
          <w:p>
            <w:pPr>
              <w:spacing w:after="0"/>
            </w:pPr>
            <w:r>
              <w:rPr>
                <w:rFonts w:ascii="Calibri" w:hAnsi="Calibri"/>
                <w:b w:val="0"/>
                <w:i w:val="0"/>
                <w:color w:val="222222"/>
                <w:sz w:val="18"/>
              </w:rPr>
              <w:t>Sektör adjustment</w:t>
            </w:r>
          </w:p>
        </w:tc>
        <w:tc>
          <w:tcPr>
            <w:tcW w:type="dxa" w:w="5472"/>
            <w:tcMar>
              <w:top w:w="80" w:type="dxa"/>
              <w:start w:w="120" w:type="dxa"/>
              <w:bottom w:w="80" w:type="dxa"/>
              <w:end w:w="120" w:type="dxa"/>
            </w:tcMar>
            <w:vAlign w:val="center"/>
            <w:shd w:fill="F7F9FB"/>
          </w:tcPr>
          <w:p>
            <w:pPr>
              <w:spacing w:after="0"/>
            </w:pPr>
            <w:r>
              <w:rPr>
                <w:rFonts w:ascii="Calibri" w:hAnsi="Calibri"/>
                <w:b w:val="0"/>
                <w:i w:val="0"/>
                <w:color w:val="222222"/>
                <w:sz w:val="18"/>
              </w:rPr>
              <w:t>−2</w:t>
            </w:r>
          </w:p>
        </w:tc>
      </w:tr>
      <w:tr>
        <w:trPr>
          <w:cantSplit/>
        </w:trPr>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Ayarlanmış skor</w:t>
            </w:r>
          </w:p>
        </w:tc>
        <w:tc>
          <w:tcPr>
            <w:tcW w:type="dxa" w:w="5472"/>
            <w:tcMar>
              <w:top w:w="80" w:type="dxa"/>
              <w:start w:w="120" w:type="dxa"/>
              <w:bottom w:w="80" w:type="dxa"/>
              <w:end w:w="120" w:type="dxa"/>
            </w:tcMar>
            <w:vAlign w:val="center"/>
          </w:tcPr>
          <w:p>
            <w:pPr>
              <w:spacing w:after="0"/>
            </w:pPr>
            <w:r>
              <w:rPr>
                <w:rFonts w:ascii="Calibri" w:hAnsi="Calibri"/>
                <w:b w:val="0"/>
                <w:i w:val="0"/>
                <w:color w:val="222222"/>
                <w:sz w:val="18"/>
              </w:rPr>
              <w:t>72</w:t>
            </w:r>
          </w:p>
        </w:tc>
      </w:tr>
      <w:tr>
        <w:trPr>
          <w:cantSplit/>
        </w:trPr>
        <w:tc>
          <w:tcPr>
            <w:tcW w:type="dxa" w:w="3600"/>
            <w:tcMar>
              <w:top w:w="80" w:type="dxa"/>
              <w:start w:w="120" w:type="dxa"/>
              <w:bottom w:w="80" w:type="dxa"/>
              <w:end w:w="120" w:type="dxa"/>
            </w:tcMar>
            <w:vAlign w:val="center"/>
            <w:shd w:fill="F7F9FB"/>
          </w:tcPr>
          <w:p>
            <w:pPr>
              <w:spacing w:after="0"/>
            </w:pPr>
            <w:r>
              <w:rPr>
                <w:rFonts w:ascii="Calibri" w:hAnsi="Calibri"/>
                <w:b w:val="0"/>
                <w:i w:val="0"/>
                <w:color w:val="222222"/>
                <w:sz w:val="18"/>
              </w:rPr>
              <w:t>Ayarlanmış BUY eşiği</w:t>
            </w:r>
          </w:p>
        </w:tc>
        <w:tc>
          <w:tcPr>
            <w:tcW w:type="dxa" w:w="5472"/>
            <w:tcMar>
              <w:top w:w="80" w:type="dxa"/>
              <w:start w:w="120" w:type="dxa"/>
              <w:bottom w:w="80" w:type="dxa"/>
              <w:end w:w="120" w:type="dxa"/>
            </w:tcMar>
            <w:vAlign w:val="center"/>
            <w:shd w:fill="F7F9FB"/>
          </w:tcPr>
          <w:p>
            <w:pPr>
              <w:spacing w:after="0"/>
            </w:pPr>
            <w:r>
              <w:rPr>
                <w:rFonts w:ascii="Calibri" w:hAnsi="Calibri"/>
                <w:b w:val="0"/>
                <w:i w:val="0"/>
                <w:color w:val="222222"/>
                <w:sz w:val="18"/>
              </w:rPr>
              <w:t>72 + 3 = 75</w:t>
            </w:r>
          </w:p>
        </w:tc>
      </w:tr>
      <w:tr>
        <w:trPr>
          <w:cantSplit/>
        </w:trPr>
        <w:tc>
          <w:tcPr>
            <w:tcW w:type="dxa" w:w="3600"/>
            <w:tcMar>
              <w:top w:w="80" w:type="dxa"/>
              <w:start w:w="120" w:type="dxa"/>
              <w:bottom w:w="80" w:type="dxa"/>
              <w:end w:w="120" w:type="dxa"/>
            </w:tcMar>
            <w:vAlign w:val="center"/>
          </w:tcPr>
          <w:p>
            <w:pPr>
              <w:spacing w:after="0"/>
            </w:pPr>
            <w:r>
              <w:rPr>
                <w:rFonts w:ascii="Calibri" w:hAnsi="Calibri"/>
                <w:b w:val="0"/>
                <w:i w:val="0"/>
                <w:color w:val="222222"/>
                <w:sz w:val="18"/>
              </w:rPr>
              <w:t>Strateji kararı</w:t>
            </w:r>
          </w:p>
        </w:tc>
        <w:tc>
          <w:tcPr>
            <w:tcW w:type="dxa" w:w="5472"/>
            <w:tcMar>
              <w:top w:w="80" w:type="dxa"/>
              <w:start w:w="120" w:type="dxa"/>
              <w:bottom w:w="80" w:type="dxa"/>
              <w:end w:w="120" w:type="dxa"/>
            </w:tcMar>
            <w:vAlign w:val="center"/>
          </w:tcPr>
          <w:p>
            <w:pPr>
              <w:spacing w:after="0"/>
            </w:pPr>
            <w:r>
              <w:rPr>
                <w:rFonts w:ascii="Calibri" w:hAnsi="Calibri"/>
                <w:b w:val="0"/>
                <w:i w:val="0"/>
                <w:color w:val="222222"/>
                <w:sz w:val="18"/>
              </w:rPr>
              <w:t>HOLD</w:t>
            </w:r>
          </w:p>
        </w:tc>
      </w:tr>
    </w:tbl>
    <w:p>
      <w:pPr>
        <w:spacing w:after="0"/>
      </w:pPr>
    </w:p>
    <w:p>
      <w:pPr>
        <w:spacing w:after="120" w:line="300" w:lineRule="auto"/>
      </w:pPr>
      <w:r>
        <w:rPr>
          <w:rFonts w:ascii="Calibri" w:hAnsi="Calibri"/>
          <w:b w:val="0"/>
          <w:i w:val="0"/>
          <w:color w:val="222222"/>
          <w:sz w:val="22"/>
        </w:rPr>
        <w:t>Aynı temel skor NORMAL rejimde, sektör etkisi yoksa 78 kalır ve 72 eşiğini geçtiği için strateji BUY önerebilir. Ancak gerçek PAPER fill için Risk Engine’in stop, fiyat tazeliği, nakit, kayıp ve pozisyon kontrollerini de geçmesi gerekir.</w:t>
      </w:r>
    </w:p>
    <w:p>
      <w:pPr>
        <w:pStyle w:val="Title"/>
      </w:pPr>
      <w:r>
        <w:t>19. Teşhis ve sorun giderme</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2880"/>
            <w:shd w:fill="1F4E78"/>
            <w:tcMar>
              <w:top w:w="80" w:type="dxa"/>
              <w:start w:w="120" w:type="dxa"/>
              <w:bottom w:w="80" w:type="dxa"/>
              <w:end w:w="120" w:type="dxa"/>
            </w:tcMar>
            <w:vAlign w:val="center"/>
          </w:tcPr>
          <w:p>
            <w:pPr>
              <w:spacing w:after="0"/>
            </w:pPr>
            <w:r>
              <w:rPr>
                <w:rFonts w:ascii="Calibri" w:hAnsi="Calibri"/>
                <w:b/>
                <w:i w:val="0"/>
                <w:color w:val="FFFFFF"/>
                <w:sz w:val="18"/>
              </w:rPr>
              <w:t>Belirti</w:t>
            </w:r>
          </w:p>
        </w:tc>
        <w:tc>
          <w:tcPr>
            <w:tcW w:type="dxa" w:w="6192"/>
            <w:shd w:fill="1F4E78"/>
            <w:tcMar>
              <w:top w:w="80" w:type="dxa"/>
              <w:start w:w="120" w:type="dxa"/>
              <w:bottom w:w="80" w:type="dxa"/>
              <w:end w:w="120" w:type="dxa"/>
            </w:tcMar>
            <w:vAlign w:val="center"/>
          </w:tcPr>
          <w:p>
            <w:pPr>
              <w:spacing w:after="0"/>
            </w:pPr>
            <w:r>
              <w:rPr>
                <w:rFonts w:ascii="Calibri" w:hAnsi="Calibri"/>
                <w:b/>
                <w:i w:val="0"/>
                <w:color w:val="FFFFFF"/>
                <w:sz w:val="18"/>
              </w:rPr>
              <w:t>Kontrol</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Macro provider PARTIAL</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--diagnose-regime içinde sources alanında hangi endpoint’in erişilemediğine bak</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NORMAL / risk 0</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events_material=0 ise normaldir; veri yokmuş gibi uydurma risk üretilmez</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LLM calls 0</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Materyal olay yoktur, cache vardır veya API/provider kapalıdır</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Hep HOLD</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Adjusted score/eşik, LLM HOLD, stale position, mevcut pozisyon veya Risk reddini incele</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Market data eksik</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Sembol normalize, KAP evreni, Yahoo endpoint ve stale timestamp kontrolü</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missing news_kap/llm</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O döngüde geçerli kanıt yoksa beklenen davranıştır; trend/liquidity missing olmamalı</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MARKET_CLOSED_WEEKEND</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Sinyal hesaplanabilir ancak PaperBroker fill üretmez; pazartesi otomatik tekrar oynatılmaz</w:t>
            </w:r>
          </w:p>
        </w:tc>
      </w:tr>
      <w:tr>
        <w:trPr>
          <w:cantSplit/>
        </w:trPr>
        <w:tc>
          <w:tcPr>
            <w:tcW w:type="dxa" w:w="2880"/>
            <w:tcMar>
              <w:top w:w="80" w:type="dxa"/>
              <w:start w:w="120" w:type="dxa"/>
              <w:bottom w:w="80" w:type="dxa"/>
              <w:end w:w="120" w:type="dxa"/>
            </w:tcMar>
            <w:vAlign w:val="center"/>
            <w:shd w:fill="F7F9FB"/>
          </w:tcPr>
          <w:p>
            <w:pPr>
              <w:spacing w:after="0"/>
            </w:pPr>
            <w:r>
              <w:rPr>
                <w:rFonts w:ascii="Calibri" w:hAnsi="Calibri"/>
                <w:b w:val="0"/>
                <w:i w:val="0"/>
                <w:color w:val="222222"/>
                <w:sz w:val="18"/>
              </w:rPr>
              <w:t>MARKET_CALENDAR_UNAVAILABLE</w:t>
            </w:r>
          </w:p>
        </w:tc>
        <w:tc>
          <w:tcPr>
            <w:tcW w:type="dxa" w:w="6192"/>
            <w:tcMar>
              <w:top w:w="80" w:type="dxa"/>
              <w:start w:w="120" w:type="dxa"/>
              <w:bottom w:w="80" w:type="dxa"/>
              <w:end w:w="120" w:type="dxa"/>
            </w:tcMar>
            <w:vAlign w:val="center"/>
            <w:shd w:fill="F7F9FB"/>
          </w:tcPr>
          <w:p>
            <w:pPr>
              <w:spacing w:after="0"/>
            </w:pPr>
            <w:r>
              <w:rPr>
                <w:rFonts w:ascii="Calibri" w:hAnsi="Calibri"/>
                <w:b w:val="0"/>
                <w:i w:val="0"/>
                <w:color w:val="222222"/>
                <w:sz w:val="18"/>
              </w:rPr>
              <w:t>Takvim yılı doğrulanmamıştır; execution güvenli şekilde kapalıdır</w:t>
            </w:r>
          </w:p>
        </w:tc>
      </w:tr>
      <w:tr>
        <w:trPr>
          <w:cantSplit/>
        </w:trPr>
        <w:tc>
          <w:tcPr>
            <w:tcW w:type="dxa" w:w="2880"/>
            <w:tcMar>
              <w:top w:w="80" w:type="dxa"/>
              <w:start w:w="120" w:type="dxa"/>
              <w:bottom w:w="80" w:type="dxa"/>
              <w:end w:w="120" w:type="dxa"/>
            </w:tcMar>
            <w:vAlign w:val="center"/>
          </w:tcPr>
          <w:p>
            <w:pPr>
              <w:spacing w:after="0"/>
            </w:pPr>
            <w:r>
              <w:rPr>
                <w:rFonts w:ascii="Calibri" w:hAnsi="Calibri"/>
                <w:b w:val="0"/>
                <w:i w:val="0"/>
                <w:color w:val="222222"/>
                <w:sz w:val="18"/>
              </w:rPr>
              <w:t>Yeni giriş yok</w:t>
            </w:r>
          </w:p>
        </w:tc>
        <w:tc>
          <w:tcPr>
            <w:tcW w:type="dxa" w:w="6192"/>
            <w:tcMar>
              <w:top w:w="80" w:type="dxa"/>
              <w:start w:w="120" w:type="dxa"/>
              <w:bottom w:w="80" w:type="dxa"/>
              <w:end w:w="120" w:type="dxa"/>
            </w:tcMar>
            <w:vAlign w:val="center"/>
          </w:tcPr>
          <w:p>
            <w:pPr>
              <w:spacing w:after="0"/>
            </w:pPr>
            <w:r>
              <w:rPr>
                <w:rFonts w:ascii="Calibri" w:hAnsi="Calibri"/>
                <w:b w:val="0"/>
                <w:i w:val="0"/>
                <w:color w:val="222222"/>
                <w:sz w:val="18"/>
              </w:rPr>
              <w:t>Açık pozisyon stale, maksimum pozisyon, nakit rezervi veya kayıp limitleri olabilir</w:t>
            </w:r>
          </w:p>
        </w:tc>
      </w:tr>
    </w:tbl>
    <w:p>
      <w:pPr>
        <w:spacing w:after="0"/>
      </w:pPr>
    </w:p>
    <w:p>
      <w:pPr>
        <w:spacing w:after="120" w:line="300" w:lineRule="auto"/>
      </w:pPr>
      <w:r>
        <w:rPr>
          <w:rFonts w:ascii="Calibri" w:hAnsi="Calibri"/>
          <w:b w:val="0"/>
          <w:i w:val="0"/>
          <w:color w:val="222222"/>
          <w:sz w:val="22"/>
        </w:rPr>
        <w:t>--diagnose-regime her olay için event_type, published_at, fetched_at, timestamp_source, age_hours, source_reliability, confirmation_score, materiality, freshness_weight, effective_materiality, llm_analyzed ve regime_contribution alanlarını gösterir.</w:t>
      </w:r>
    </w:p>
    <w:p>
      <w:pPr>
        <w:pStyle w:val="Title"/>
      </w:pPr>
      <w:r>
        <w:t>20. Aktif ayar özeti</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5184"/>
            <w:shd w:fill="1F4E78"/>
            <w:tcMar>
              <w:top w:w="80" w:type="dxa"/>
              <w:start w:w="120" w:type="dxa"/>
              <w:bottom w:w="80" w:type="dxa"/>
              <w:end w:w="120" w:type="dxa"/>
            </w:tcMar>
            <w:vAlign w:val="center"/>
          </w:tcPr>
          <w:p>
            <w:pPr>
              <w:spacing w:after="0"/>
            </w:pPr>
            <w:r>
              <w:rPr>
                <w:rFonts w:ascii="Calibri" w:hAnsi="Calibri"/>
                <w:b/>
                <w:i w:val="0"/>
                <w:color w:val="FFFFFF"/>
                <w:sz w:val="18"/>
              </w:rPr>
              <w:t>Alan</w:t>
            </w:r>
          </w:p>
        </w:tc>
        <w:tc>
          <w:tcPr>
            <w:tcW w:type="dxa" w:w="3888"/>
            <w:shd w:fill="1F4E78"/>
            <w:tcMar>
              <w:top w:w="80" w:type="dxa"/>
              <w:start w:w="120" w:type="dxa"/>
              <w:bottom w:w="80" w:type="dxa"/>
              <w:end w:w="120" w:type="dxa"/>
            </w:tcMar>
            <w:vAlign w:val="center"/>
          </w:tcPr>
          <w:p>
            <w:pPr>
              <w:spacing w:after="0"/>
            </w:pPr>
            <w:r>
              <w:rPr>
                <w:rFonts w:ascii="Calibri" w:hAnsi="Calibri"/>
                <w:b/>
                <w:i w:val="0"/>
                <w:color w:val="FFFFFF"/>
                <w:sz w:val="18"/>
              </w:rPr>
              <w:t>Değer</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Başlangıç sermayesi</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200.000 TL</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Scheduler</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600 saniye</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Scanner aday limiti</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50</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LLM aday limiti</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15</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BUY / SELL eşiği</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72 / 38</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Makro refresh</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45 dakika</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macro_llm_materiality_threshold</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70</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Sektör adjustment</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±2</w:t>
            </w:r>
          </w:p>
        </w:tc>
      </w:tr>
      <w:tr>
        <w:trPr>
          <w:cantSplit/>
        </w:trPr>
        <w:tc>
          <w:tcPr>
            <w:tcW w:type="dxa" w:w="5184"/>
            <w:tcMar>
              <w:top w:w="80" w:type="dxa"/>
              <w:start w:w="120" w:type="dxa"/>
              <w:bottom w:w="80" w:type="dxa"/>
              <w:end w:w="120" w:type="dxa"/>
            </w:tcMar>
            <w:vAlign w:val="center"/>
          </w:tcPr>
          <w:p>
            <w:pPr>
              <w:spacing w:after="0"/>
            </w:pPr>
            <w:r>
              <w:rPr>
                <w:rFonts w:ascii="Calibri" w:hAnsi="Calibri"/>
                <w:b w:val="0"/>
                <w:i w:val="0"/>
                <w:color w:val="222222"/>
                <w:sz w:val="18"/>
              </w:rPr>
              <w:t>Komisyon / slippage</w:t>
            </w:r>
          </w:p>
        </w:tc>
        <w:tc>
          <w:tcPr>
            <w:tcW w:type="dxa" w:w="3888"/>
            <w:tcMar>
              <w:top w:w="80" w:type="dxa"/>
              <w:start w:w="120" w:type="dxa"/>
              <w:bottom w:w="80" w:type="dxa"/>
              <w:end w:w="120" w:type="dxa"/>
            </w:tcMar>
            <w:vAlign w:val="center"/>
          </w:tcPr>
          <w:p>
            <w:pPr>
              <w:spacing w:after="0"/>
            </w:pPr>
            <w:r>
              <w:rPr>
                <w:rFonts w:ascii="Calibri" w:hAnsi="Calibri"/>
                <w:b w:val="0"/>
                <w:i w:val="0"/>
                <w:color w:val="222222"/>
                <w:sz w:val="18"/>
              </w:rPr>
              <w:t>%0,10 / %0,15</w:t>
            </w:r>
          </w:p>
        </w:tc>
      </w:tr>
      <w:tr>
        <w:trPr>
          <w:cantSplit/>
        </w:trPr>
        <w:tc>
          <w:tcPr>
            <w:tcW w:type="dxa" w:w="5184"/>
            <w:tcMar>
              <w:top w:w="80" w:type="dxa"/>
              <w:start w:w="120" w:type="dxa"/>
              <w:bottom w:w="80" w:type="dxa"/>
              <w:end w:w="120" w:type="dxa"/>
            </w:tcMar>
            <w:vAlign w:val="center"/>
            <w:shd w:fill="F7F9FB"/>
          </w:tcPr>
          <w:p>
            <w:pPr>
              <w:spacing w:after="0"/>
            </w:pPr>
            <w:r>
              <w:rPr>
                <w:rFonts w:ascii="Calibri" w:hAnsi="Calibri"/>
                <w:b w:val="0"/>
                <w:i w:val="0"/>
                <w:color w:val="222222"/>
                <w:sz w:val="18"/>
              </w:rPr>
              <w:t>Mod</w:t>
            </w:r>
          </w:p>
        </w:tc>
        <w:tc>
          <w:tcPr>
            <w:tcW w:type="dxa" w:w="3888"/>
            <w:tcMar>
              <w:top w:w="80" w:type="dxa"/>
              <w:start w:w="120" w:type="dxa"/>
              <w:bottom w:w="80" w:type="dxa"/>
              <w:end w:w="120" w:type="dxa"/>
            </w:tcMar>
            <w:vAlign w:val="center"/>
            <w:shd w:fill="F7F9FB"/>
          </w:tcPr>
          <w:p>
            <w:pPr>
              <w:spacing w:after="0"/>
            </w:pPr>
            <w:r>
              <w:rPr>
                <w:rFonts w:ascii="Calibri" w:hAnsi="Calibri"/>
                <w:b w:val="0"/>
                <w:i w:val="0"/>
                <w:color w:val="222222"/>
                <w:sz w:val="18"/>
              </w:rPr>
              <w:t>PAPER</w:t>
            </w:r>
          </w:p>
        </w:tc>
      </w:tr>
    </w:tbl>
    <w:p>
      <w:pPr>
        <w:spacing w:after="0"/>
      </w:pPr>
    </w:p>
    <w:tbl>
      <w:tblPr>
        <w:tblW w:type="auto" w:w="0"/>
        <w:jc w:val="center"/>
        <w:tblLayout w:type="fixed"/>
        <w:tblLook w:firstColumn="1" w:firstRow="1" w:lastColumn="0" w:lastRow="0" w:noHBand="0" w:noVBand="1" w:val="04A0"/>
      </w:tblPr>
      <w:tblGrid>
        <w:gridCol w:w="9792"/>
      </w:tblGrid>
      <w:tr>
        <w:trPr>
          <w:cantSplit/>
        </w:trPr>
        <w:tc>
          <w:tcPr>
            <w:tcW w:type="dxa" w:w="9072"/>
            <w:shd w:fill="F4F6F9"/>
            <w:tcMar>
              <w:top w:w="140" w:type="dxa"/>
              <w:start w:w="180" w:type="dxa"/>
              <w:bottom w:w="140" w:type="dxa"/>
              <w:end w:w="180" w:type="dxa"/>
            </w:tcMar>
          </w:tcPr>
          <w:p>
            <w:pPr>
              <w:spacing w:after="60"/>
            </w:pPr>
            <w:r>
              <w:rPr>
                <w:rFonts w:ascii="Calibri" w:hAnsi="Calibri"/>
                <w:b/>
                <w:i w:val="0"/>
                <w:color w:val="7A5A00"/>
                <w:sz w:val="22"/>
              </w:rPr>
              <w:t>Ayar değişikliği</w:t>
              <w:br/>
            </w:r>
            <w:r>
              <w:rPr>
                <w:rFonts w:ascii="Calibri" w:hAnsi="Calibri"/>
                <w:b w:val="0"/>
                <w:i w:val="0"/>
                <w:color w:val="222222"/>
                <w:sz w:val="21"/>
              </w:rPr>
              <w:t>config.yaml değiştirildiğinde puanlar ve güvenlik sınırları değişebilir. Risk sınırlarını yükseltmek gerçek riski artırır; değişiklik sonrası test paketi ve --dry-run çalıştırılmalıdır.</w:t>
            </w:r>
          </w:p>
        </w:tc>
      </w:tr>
    </w:tbl>
    <w:p>
      <w:pPr>
        <w:spacing w:after="0"/>
      </w:pPr>
    </w:p>
    <w:p>
      <w:pPr>
        <w:pStyle w:val="Title"/>
      </w:pPr>
      <w:r>
        <w:t>21. Operasyon kontrol listesi</w:t>
      </w:r>
    </w:p>
    <w:p>
      <w:pPr>
        <w:pStyle w:val="ListBullet"/>
        <w:spacing w:after="80" w:line="288" w:lineRule="auto"/>
      </w:pPr>
      <w:r>
        <w:rPr>
          <w:rFonts w:ascii="Calibri" w:hAnsi="Calibri"/>
          <w:b w:val="0"/>
          <w:i w:val="0"/>
          <w:color w:val="222222"/>
          <w:sz w:val="22"/>
        </w:rPr>
        <w:t>Başlangıçtaki BIST MARKET STATUS alanında İstanbul saati, seans ve emir iznini kontrol et.</w:t>
      </w:r>
    </w:p>
    <w:p>
      <w:pPr>
        <w:pStyle w:val="ListBullet"/>
        <w:spacing w:after="80" w:line="288" w:lineRule="auto"/>
      </w:pPr>
      <w:r>
        <w:rPr>
          <w:rFonts w:ascii="Calibri" w:hAnsi="Calibri"/>
          <w:b w:val="0"/>
          <w:i w:val="0"/>
          <w:color w:val="222222"/>
          <w:sz w:val="22"/>
        </w:rPr>
        <w:t>.env ve OPENAI_API_KEY durumunu kontrol et.</w:t>
      </w:r>
    </w:p>
    <w:p>
      <w:pPr>
        <w:pStyle w:val="ListBullet"/>
        <w:spacing w:after="80" w:line="288" w:lineRule="auto"/>
      </w:pPr>
      <w:r>
        <w:rPr>
          <w:rFonts w:ascii="Calibri" w:hAnsi="Calibri"/>
          <w:b w:val="0"/>
          <w:i w:val="0"/>
          <w:color w:val="222222"/>
          <w:sz w:val="22"/>
        </w:rPr>
        <w:t>python main.py --diagnose-intelligence çalıştır.</w:t>
      </w:r>
    </w:p>
    <w:p>
      <w:pPr>
        <w:pStyle w:val="ListBullet"/>
        <w:spacing w:after="80" w:line="288" w:lineRule="auto"/>
      </w:pPr>
      <w:r>
        <w:rPr>
          <w:rFonts w:ascii="Calibri" w:hAnsi="Calibri"/>
          <w:b w:val="0"/>
          <w:i w:val="0"/>
          <w:color w:val="222222"/>
          <w:sz w:val="22"/>
        </w:rPr>
        <w:t>python main.py --diagnose-regime ile kaynak ve materyaliteyi kontrol et.</w:t>
      </w:r>
    </w:p>
    <w:p>
      <w:pPr>
        <w:pStyle w:val="ListBullet"/>
        <w:spacing w:after="80" w:line="288" w:lineRule="auto"/>
      </w:pPr>
      <w:r>
        <w:rPr>
          <w:rFonts w:ascii="Calibri" w:hAnsi="Calibri"/>
          <w:b w:val="0"/>
          <w:i w:val="0"/>
          <w:color w:val="222222"/>
          <w:sz w:val="22"/>
        </w:rPr>
        <w:t>python main.py --dry-run ile veri/karar akışını emirsiz doğrula.</w:t>
      </w:r>
    </w:p>
    <w:p>
      <w:pPr>
        <w:pStyle w:val="ListBullet"/>
        <w:spacing w:after="80" w:line="288" w:lineRule="auto"/>
      </w:pPr>
      <w:r>
        <w:rPr>
          <w:rFonts w:ascii="Calibri" w:hAnsi="Calibri"/>
          <w:b w:val="0"/>
          <w:i w:val="0"/>
          <w:color w:val="222222"/>
          <w:sz w:val="22"/>
        </w:rPr>
        <w:t>--status ile açık pozisyonlarda STALE_MARKET_DATA olup olmadığını kontrol et.</w:t>
      </w:r>
    </w:p>
    <w:p>
      <w:pPr>
        <w:pStyle w:val="ListBullet"/>
        <w:spacing w:after="80" w:line="288" w:lineRule="auto"/>
      </w:pPr>
      <w:r>
        <w:rPr>
          <w:rFonts w:ascii="Calibri" w:hAnsi="Calibri"/>
          <w:b w:val="0"/>
          <w:i w:val="0"/>
          <w:color w:val="222222"/>
          <w:sz w:val="22"/>
        </w:rPr>
        <w:t>İlk PAPER döngüsünü python main.py --once --verbose ile çalıştır.</w:t>
      </w:r>
    </w:p>
    <w:p>
      <w:pPr>
        <w:pStyle w:val="ListBullet"/>
        <w:spacing w:after="80" w:line="288" w:lineRule="auto"/>
      </w:pPr>
      <w:r>
        <w:rPr>
          <w:rFonts w:ascii="Calibri" w:hAnsi="Calibri"/>
          <w:b w:val="0"/>
          <w:i w:val="0"/>
          <w:color w:val="222222"/>
          <w:sz w:val="22"/>
        </w:rPr>
        <w:t>Dashboard’da BIST Market, rejim, karar açıklaması, RiskDecision ve PAPER fill kayıtlarını karşılaştır.</w:t>
      </w:r>
    </w:p>
    <w:p>
      <w:pPr>
        <w:pStyle w:val="ListBullet"/>
        <w:spacing w:after="80" w:line="288" w:lineRule="auto"/>
      </w:pPr>
      <w:r>
        <w:rPr>
          <w:rFonts w:ascii="Calibri" w:hAnsi="Calibri"/>
          <w:b w:val="0"/>
          <w:i w:val="0"/>
          <w:color w:val="222222"/>
          <w:sz w:val="22"/>
        </w:rPr>
        <w:t>Üretim benzeri PAPER çalışmada --reset komutunu kullanma.</w:t>
      </w:r>
    </w:p>
    <w:p>
      <w:pPr>
        <w:pStyle w:val="Title"/>
      </w:pPr>
      <w:r>
        <w:t>Ek A — Karar alanları sözlüğü</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3168"/>
            <w:shd w:fill="1F4E78"/>
            <w:tcMar>
              <w:top w:w="80" w:type="dxa"/>
              <w:start w:w="120" w:type="dxa"/>
              <w:bottom w:w="80" w:type="dxa"/>
              <w:end w:w="120" w:type="dxa"/>
            </w:tcMar>
            <w:vAlign w:val="center"/>
          </w:tcPr>
          <w:p>
            <w:pPr>
              <w:spacing w:after="0"/>
            </w:pPr>
            <w:r>
              <w:rPr>
                <w:rFonts w:ascii="Calibri" w:hAnsi="Calibri"/>
                <w:b/>
                <w:i w:val="0"/>
                <w:color w:val="FFFFFF"/>
                <w:sz w:val="18"/>
              </w:rPr>
              <w:t>Alan</w:t>
            </w:r>
          </w:p>
        </w:tc>
        <w:tc>
          <w:tcPr>
            <w:tcW w:type="dxa" w:w="5904"/>
            <w:shd w:fill="1F4E78"/>
            <w:tcMar>
              <w:top w:w="80" w:type="dxa"/>
              <w:start w:w="120" w:type="dxa"/>
              <w:bottom w:w="80" w:type="dxa"/>
              <w:end w:w="120" w:type="dxa"/>
            </w:tcMar>
            <w:vAlign w:val="center"/>
          </w:tcPr>
          <w:p>
            <w:pPr>
              <w:spacing w:after="0"/>
            </w:pPr>
            <w:r>
              <w:rPr>
                <w:rFonts w:ascii="Calibri" w:hAnsi="Calibri"/>
                <w:b/>
                <w:i w:val="0"/>
                <w:color w:val="FFFFFF"/>
                <w:sz w:val="18"/>
              </w:rPr>
              <w:t>Anlam</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scanner_score</w:t>
            </w:r>
          </w:p>
        </w:tc>
        <w:tc>
          <w:tcPr>
            <w:tcW w:type="dxa" w:w="5904"/>
            <w:tcMar>
              <w:top w:w="80" w:type="dxa"/>
              <w:start w:w="120" w:type="dxa"/>
              <w:bottom w:w="80" w:type="dxa"/>
              <w:end w:w="120" w:type="dxa"/>
            </w:tcMar>
            <w:vAlign w:val="center"/>
          </w:tcPr>
          <w:p>
            <w:pPr>
              <w:spacing w:after="0"/>
            </w:pPr>
            <w:r>
              <w:rPr>
                <w:rFonts w:ascii="Calibri" w:hAnsi="Calibri"/>
                <w:b w:val="0"/>
                <w:i w:val="0"/>
                <w:color w:val="222222"/>
                <w:sz w:val="18"/>
              </w:rPr>
              <w:t>İlk OHLCV sıralama puanı</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base_stock_score</w:t>
            </w:r>
          </w:p>
        </w:tc>
        <w:tc>
          <w:tcPr>
            <w:tcW w:type="dxa" w:w="5904"/>
            <w:tcMar>
              <w:top w:w="80" w:type="dxa"/>
              <w:start w:w="120" w:type="dxa"/>
              <w:bottom w:w="80" w:type="dxa"/>
              <w:end w:w="120" w:type="dxa"/>
            </w:tcMar>
            <w:vAlign w:val="center"/>
            <w:shd w:fill="F7F9FB"/>
          </w:tcPr>
          <w:p>
            <w:pPr>
              <w:spacing w:after="0"/>
            </w:pPr>
            <w:r>
              <w:rPr>
                <w:rFonts w:ascii="Calibri" w:hAnsi="Calibri"/>
                <w:b w:val="0"/>
                <w:i w:val="0"/>
                <w:color w:val="222222"/>
                <w:sz w:val="18"/>
              </w:rPr>
              <w:t>Makro overlay öncesi nihai hisse puanı</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market_adjustment</w:t>
            </w:r>
          </w:p>
        </w:tc>
        <w:tc>
          <w:tcPr>
            <w:tcW w:type="dxa" w:w="5904"/>
            <w:tcMar>
              <w:top w:w="80" w:type="dxa"/>
              <w:start w:w="120" w:type="dxa"/>
              <w:bottom w:w="80" w:type="dxa"/>
              <w:end w:w="120" w:type="dxa"/>
            </w:tcMar>
            <w:vAlign w:val="center"/>
          </w:tcPr>
          <w:p>
            <w:pPr>
              <w:spacing w:after="0"/>
            </w:pPr>
            <w:r>
              <w:rPr>
                <w:rFonts w:ascii="Calibri" w:hAnsi="Calibri"/>
                <w:b w:val="0"/>
                <w:i w:val="0"/>
                <w:color w:val="222222"/>
                <w:sz w:val="18"/>
              </w:rPr>
              <w:t>Rejim kaynaklı genel puan değişimi</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sector_adjustment</w:t>
            </w:r>
          </w:p>
        </w:tc>
        <w:tc>
          <w:tcPr>
            <w:tcW w:type="dxa" w:w="5904"/>
            <w:tcMar>
              <w:top w:w="80" w:type="dxa"/>
              <w:start w:w="120" w:type="dxa"/>
              <w:bottom w:w="80" w:type="dxa"/>
              <w:end w:w="120" w:type="dxa"/>
            </w:tcMar>
            <w:vAlign w:val="center"/>
            <w:shd w:fill="F7F9FB"/>
          </w:tcPr>
          <w:p>
            <w:pPr>
              <w:spacing w:after="0"/>
            </w:pPr>
            <w:r>
              <w:rPr>
                <w:rFonts w:ascii="Calibri" w:hAnsi="Calibri"/>
                <w:b w:val="0"/>
                <w:i w:val="0"/>
                <w:color w:val="222222"/>
                <w:sz w:val="18"/>
              </w:rPr>
              <w:t>Deterministik sektör eşleşmesi etkisi</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adjusted_final_score</w:t>
            </w:r>
          </w:p>
        </w:tc>
        <w:tc>
          <w:tcPr>
            <w:tcW w:type="dxa" w:w="5904"/>
            <w:tcMar>
              <w:top w:w="80" w:type="dxa"/>
              <w:start w:w="120" w:type="dxa"/>
              <w:bottom w:w="80" w:type="dxa"/>
              <w:end w:w="120" w:type="dxa"/>
            </w:tcMar>
            <w:vAlign w:val="center"/>
          </w:tcPr>
          <w:p>
            <w:pPr>
              <w:spacing w:after="0"/>
            </w:pPr>
            <w:r>
              <w:rPr>
                <w:rFonts w:ascii="Calibri" w:hAnsi="Calibri"/>
                <w:b w:val="0"/>
                <w:i w:val="0"/>
                <w:color w:val="222222"/>
                <w:sz w:val="18"/>
              </w:rPr>
              <w:t>Overlay sonrası puan</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adjusted_buy_threshold</w:t>
            </w:r>
          </w:p>
        </w:tc>
        <w:tc>
          <w:tcPr>
            <w:tcW w:type="dxa" w:w="5904"/>
            <w:tcMar>
              <w:top w:w="80" w:type="dxa"/>
              <w:start w:w="120" w:type="dxa"/>
              <w:bottom w:w="80" w:type="dxa"/>
              <w:end w:w="120" w:type="dxa"/>
            </w:tcMar>
            <w:vAlign w:val="center"/>
            <w:shd w:fill="F7F9FB"/>
          </w:tcPr>
          <w:p>
            <w:pPr>
              <w:spacing w:after="0"/>
            </w:pPr>
            <w:r>
              <w:rPr>
                <w:rFonts w:ascii="Calibri" w:hAnsi="Calibri"/>
                <w:b w:val="0"/>
                <w:i w:val="0"/>
                <w:color w:val="222222"/>
                <w:sz w:val="18"/>
              </w:rPr>
              <w:t>Rejime göre yükseltilmiş BUY eşiği</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position_multiplier</w:t>
            </w:r>
          </w:p>
        </w:tc>
        <w:tc>
          <w:tcPr>
            <w:tcW w:type="dxa" w:w="5904"/>
            <w:tcMar>
              <w:top w:w="80" w:type="dxa"/>
              <w:start w:w="120" w:type="dxa"/>
              <w:bottom w:w="80" w:type="dxa"/>
              <w:end w:w="120" w:type="dxa"/>
            </w:tcMar>
            <w:vAlign w:val="center"/>
          </w:tcPr>
          <w:p>
            <w:pPr>
              <w:spacing w:after="0"/>
            </w:pPr>
            <w:r>
              <w:rPr>
                <w:rFonts w:ascii="Calibri" w:hAnsi="Calibri"/>
                <w:b w:val="0"/>
                <w:i w:val="0"/>
                <w:color w:val="222222"/>
                <w:sz w:val="18"/>
              </w:rPr>
              <w:t>Risk-onaylı BUY miktarını azaltan rejim çarpanı</w:t>
            </w:r>
          </w:p>
        </w:tc>
      </w:tr>
      <w:tr>
        <w:trPr>
          <w:cantSplit/>
        </w:trPr>
        <w:tc>
          <w:tcPr>
            <w:tcW w:type="dxa" w:w="3168"/>
            <w:tcMar>
              <w:top w:w="80" w:type="dxa"/>
              <w:start w:w="120" w:type="dxa"/>
              <w:bottom w:w="80" w:type="dxa"/>
              <w:end w:w="120" w:type="dxa"/>
            </w:tcMar>
            <w:vAlign w:val="center"/>
            <w:shd w:fill="F7F9FB"/>
          </w:tcPr>
          <w:p>
            <w:pPr>
              <w:spacing w:after="0"/>
            </w:pPr>
            <w:r>
              <w:rPr>
                <w:rFonts w:ascii="Calibri" w:hAnsi="Calibri"/>
                <w:b w:val="0"/>
                <w:i w:val="0"/>
                <w:color w:val="222222"/>
                <w:sz w:val="18"/>
              </w:rPr>
              <w:t>confidence</w:t>
            </w:r>
          </w:p>
        </w:tc>
        <w:tc>
          <w:tcPr>
            <w:tcW w:type="dxa" w:w="5904"/>
            <w:tcMar>
              <w:top w:w="80" w:type="dxa"/>
              <w:start w:w="120" w:type="dxa"/>
              <w:bottom w:w="80" w:type="dxa"/>
              <w:end w:w="120" w:type="dxa"/>
            </w:tcMar>
            <w:vAlign w:val="center"/>
            <w:shd w:fill="F7F9FB"/>
          </w:tcPr>
          <w:p>
            <w:pPr>
              <w:spacing w:after="0"/>
            </w:pPr>
            <w:r>
              <w:rPr>
                <w:rFonts w:ascii="Calibri" w:hAnsi="Calibri"/>
                <w:b w:val="0"/>
                <w:i w:val="0"/>
                <w:color w:val="222222"/>
                <w:sz w:val="18"/>
              </w:rPr>
              <w:t>Rejim/LLM değerlendirmesinin kanıt güveni</w:t>
            </w:r>
          </w:p>
        </w:tc>
      </w:tr>
      <w:tr>
        <w:trPr>
          <w:cantSplit/>
        </w:trPr>
        <w:tc>
          <w:tcPr>
            <w:tcW w:type="dxa" w:w="3168"/>
            <w:tcMar>
              <w:top w:w="80" w:type="dxa"/>
              <w:start w:w="120" w:type="dxa"/>
              <w:bottom w:w="80" w:type="dxa"/>
              <w:end w:w="120" w:type="dxa"/>
            </w:tcMar>
            <w:vAlign w:val="center"/>
          </w:tcPr>
          <w:p>
            <w:pPr>
              <w:spacing w:after="0"/>
            </w:pPr>
            <w:r>
              <w:rPr>
                <w:rFonts w:ascii="Calibri" w:hAnsi="Calibri"/>
                <w:b w:val="0"/>
                <w:i w:val="0"/>
                <w:color w:val="222222"/>
                <w:sz w:val="18"/>
              </w:rPr>
              <w:t>reason_code</w:t>
            </w:r>
          </w:p>
        </w:tc>
        <w:tc>
          <w:tcPr>
            <w:tcW w:type="dxa" w:w="5904"/>
            <w:tcMar>
              <w:top w:w="80" w:type="dxa"/>
              <w:start w:w="120" w:type="dxa"/>
              <w:bottom w:w="80" w:type="dxa"/>
              <w:end w:w="120" w:type="dxa"/>
            </w:tcMar>
            <w:vAlign w:val="center"/>
          </w:tcPr>
          <w:p>
            <w:pPr>
              <w:spacing w:after="0"/>
            </w:pPr>
            <w:r>
              <w:rPr>
                <w:rFonts w:ascii="Calibri" w:hAnsi="Calibri"/>
                <w:b w:val="0"/>
                <w:i w:val="0"/>
                <w:color w:val="222222"/>
                <w:sz w:val="18"/>
              </w:rPr>
              <w:t>Risk Engine’in makine-okunur karar gerekçesi</w:t>
            </w:r>
          </w:p>
        </w:tc>
      </w:tr>
    </w:tbl>
    <w:p>
      <w:pPr>
        <w:spacing w:after="0"/>
      </w:pPr>
    </w:p>
    <w:p>
      <w:pPr>
        <w:pStyle w:val="Title"/>
      </w:pPr>
      <w:r>
        <w:t>Ek B — Kaynak dosya haritası</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3384"/>
            <w:shd w:fill="1F4E78"/>
            <w:tcMar>
              <w:top w:w="80" w:type="dxa"/>
              <w:start w:w="120" w:type="dxa"/>
              <w:bottom w:w="80" w:type="dxa"/>
              <w:end w:w="120" w:type="dxa"/>
            </w:tcMar>
            <w:vAlign w:val="center"/>
          </w:tcPr>
          <w:p>
            <w:pPr>
              <w:spacing w:after="0"/>
            </w:pPr>
            <w:r>
              <w:rPr>
                <w:rFonts w:ascii="Calibri" w:hAnsi="Calibri"/>
                <w:b/>
                <w:i w:val="0"/>
                <w:color w:val="FFFFFF"/>
                <w:sz w:val="18"/>
              </w:rPr>
              <w:t>Dosya/klasör</w:t>
            </w:r>
          </w:p>
        </w:tc>
        <w:tc>
          <w:tcPr>
            <w:tcW w:type="dxa" w:w="5688"/>
            <w:shd w:fill="1F4E78"/>
            <w:tcMar>
              <w:top w:w="80" w:type="dxa"/>
              <w:start w:w="120" w:type="dxa"/>
              <w:bottom w:w="80" w:type="dxa"/>
              <w:end w:w="120" w:type="dxa"/>
            </w:tcMar>
            <w:vAlign w:val="center"/>
          </w:tcPr>
          <w:p>
            <w:pPr>
              <w:spacing w:after="0"/>
            </w:pPr>
            <w:r>
              <w:rPr>
                <w:rFonts w:ascii="Calibri" w:hAnsi="Calibri"/>
                <w:b/>
                <w:i w:val="0"/>
                <w:color w:val="FFFFFF"/>
                <w:sz w:val="18"/>
              </w:rPr>
              <w:t>Sorumluluk</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bistbot/app/runtime.py</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Ana döngü ve bileşen orkestrasyonu</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bistbot/market/calendar.py</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BIST takvimi, tatil ve seans otoritesi</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bistbot/market/scanner.py</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Teknik OHLCV scanner</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bistbot/intelligence/</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KAP, haber, materyalite ve hisse LLM</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bistbot/strategy/engine.py</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Nihai hisse puanı ve BUY/HOLD/SELL</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bistbot/market_regime/</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Gerçek makro kaynak, materyalite, LLM, rejim ve sektör overlay</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bistbot/risk/</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Risk kontrolleri ve pozisyon büyüklüğü</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bistbot/broker/paper.py</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Seans korumalı sanal execution ve PAPER muhasebe</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bistbot/storage/</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SQLite şema ve repository’ler</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dashboard.py / dashboard_data.py</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Salt-okunur dashboard</w:t>
            </w:r>
          </w:p>
        </w:tc>
      </w:tr>
      <w:tr>
        <w:trPr>
          <w:cantSplit/>
        </w:trPr>
        <w:tc>
          <w:tcPr>
            <w:tcW w:type="dxa" w:w="3384"/>
            <w:tcMar>
              <w:top w:w="80" w:type="dxa"/>
              <w:start w:w="120" w:type="dxa"/>
              <w:bottom w:w="80" w:type="dxa"/>
              <w:end w:w="120" w:type="dxa"/>
            </w:tcMar>
            <w:vAlign w:val="center"/>
          </w:tcPr>
          <w:p>
            <w:pPr>
              <w:spacing w:after="0"/>
            </w:pPr>
            <w:r>
              <w:rPr>
                <w:rFonts w:ascii="Calibri" w:hAnsi="Calibri"/>
                <w:b w:val="0"/>
                <w:i w:val="0"/>
                <w:color w:val="222222"/>
                <w:sz w:val="18"/>
              </w:rPr>
              <w:t>config.yaml</w:t>
            </w:r>
          </w:p>
        </w:tc>
        <w:tc>
          <w:tcPr>
            <w:tcW w:type="dxa" w:w="5688"/>
            <w:tcMar>
              <w:top w:w="80" w:type="dxa"/>
              <w:start w:w="120" w:type="dxa"/>
              <w:bottom w:w="80" w:type="dxa"/>
              <w:end w:w="120" w:type="dxa"/>
            </w:tcMar>
            <w:vAlign w:val="center"/>
          </w:tcPr>
          <w:p>
            <w:pPr>
              <w:spacing w:after="0"/>
            </w:pPr>
            <w:r>
              <w:rPr>
                <w:rFonts w:ascii="Calibri" w:hAnsi="Calibri"/>
                <w:b w:val="0"/>
                <w:i w:val="0"/>
                <w:color w:val="222222"/>
                <w:sz w:val="18"/>
              </w:rPr>
              <w:t>Aktif çalışma parametreleri</w:t>
            </w:r>
          </w:p>
        </w:tc>
      </w:tr>
      <w:tr>
        <w:trPr>
          <w:cantSplit/>
        </w:trPr>
        <w:tc>
          <w:tcPr>
            <w:tcW w:type="dxa" w:w="3384"/>
            <w:tcMar>
              <w:top w:w="80" w:type="dxa"/>
              <w:start w:w="120" w:type="dxa"/>
              <w:bottom w:w="80" w:type="dxa"/>
              <w:end w:w="120" w:type="dxa"/>
            </w:tcMar>
            <w:vAlign w:val="center"/>
            <w:shd w:fill="F7F9FB"/>
          </w:tcPr>
          <w:p>
            <w:pPr>
              <w:spacing w:after="0"/>
            </w:pPr>
            <w:r>
              <w:rPr>
                <w:rFonts w:ascii="Calibri" w:hAnsi="Calibri"/>
                <w:b w:val="0"/>
                <w:i w:val="0"/>
                <w:color w:val="222222"/>
                <w:sz w:val="18"/>
              </w:rPr>
              <w:t>tests/</w:t>
            </w:r>
          </w:p>
        </w:tc>
        <w:tc>
          <w:tcPr>
            <w:tcW w:type="dxa" w:w="5688"/>
            <w:tcMar>
              <w:top w:w="80" w:type="dxa"/>
              <w:start w:w="120" w:type="dxa"/>
              <w:bottom w:w="80" w:type="dxa"/>
              <w:end w:w="120" w:type="dxa"/>
            </w:tcMar>
            <w:vAlign w:val="center"/>
            <w:shd w:fill="F7F9FB"/>
          </w:tcPr>
          <w:p>
            <w:pPr>
              <w:spacing w:after="0"/>
            </w:pPr>
            <w:r>
              <w:rPr>
                <w:rFonts w:ascii="Calibri" w:hAnsi="Calibri"/>
                <w:b w:val="0"/>
                <w:i w:val="0"/>
                <w:color w:val="222222"/>
                <w:sz w:val="18"/>
              </w:rPr>
              <w:t>Davranış ve güvenlik testleri</w:t>
            </w:r>
          </w:p>
        </w:tc>
      </w:tr>
    </w:tbl>
    <w:sectPr w:rsidR="00FC693F" w:rsidRPr="0006063C" w:rsidSect="00034616">
      <w:headerReference w:type="default" r:id="rId9"/>
      <w:footerReference w:type="default" r:id="rId10"/>
      <w:pgSz w:w="12240" w:h="15840"/>
      <w:pgMar w:top="1123" w:right="1224" w:bottom="1123" w:left="1224"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9636E"/>
        <w:sz w:val="16"/>
      </w:rPr>
      <w:t xml:space="preserve">Yalnızca PAPER kullanım • Yatırım tavsiyesi değildir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9636E"/>
        <w:sz w:val="17"/>
      </w:rPr>
      <w:t>BISTBOT • PAPER TRADING TEKNİK REHBERİ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963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BISTBOT Proje Kullanım ve Karar Motoru Rehberi</dc:title>
  <dc:subject>PAPER trading mimarisi, puanlama, rejim ve risk açıklaması</dc:subject>
  <dc:creator>BISTBOT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