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23C29" w:rsidRDefault="00E23C29" w:rsidP="00A57F72">
      <w:pPr>
        <w:jc w:val="left"/>
      </w:pPr>
    </w:p>
    <w:p w:rsidR="00E23C29" w:rsidRDefault="00E23C29" w:rsidP="00E23C29">
      <w:pPr>
        <w:jc w:val="center"/>
      </w:pPr>
    </w:p>
    <w:p w:rsidR="00E23C29" w:rsidRDefault="00E23C29" w:rsidP="00E23C29">
      <w:pPr>
        <w:jc w:val="center"/>
      </w:pPr>
    </w:p>
    <w:p w:rsidR="00E23C29" w:rsidRDefault="00E23C29" w:rsidP="00E23C29">
      <w:pPr>
        <w:jc w:val="center"/>
      </w:pPr>
    </w:p>
    <w:p w:rsidR="00E23C29" w:rsidRPr="00A57F72" w:rsidRDefault="00E23C29" w:rsidP="00E23C29">
      <w:pPr>
        <w:pStyle w:val="CoverPageTitle"/>
        <w:rPr>
          <w:sz w:val="44"/>
          <w:szCs w:val="32"/>
        </w:rPr>
      </w:pPr>
      <w:r w:rsidRPr="00A57F72">
        <w:rPr>
          <w:sz w:val="44"/>
          <w:szCs w:val="32"/>
        </w:rPr>
        <w:t xml:space="preserve">Artifical Intelligence &amp; Data Engineering </w:t>
      </w:r>
    </w:p>
    <w:p w:rsidR="00A57F72" w:rsidRPr="00A57F72" w:rsidRDefault="00E23C29" w:rsidP="00A57F72">
      <w:pPr>
        <w:pStyle w:val="CoverPageTitle"/>
        <w:rPr>
          <w:sz w:val="44"/>
          <w:szCs w:val="32"/>
        </w:rPr>
      </w:pPr>
      <w:r w:rsidRPr="00A57F72">
        <w:rPr>
          <w:sz w:val="44"/>
          <w:szCs w:val="32"/>
        </w:rPr>
        <w:t>Design Project Report</w:t>
      </w:r>
    </w:p>
    <w:p w:rsidR="001A2530" w:rsidRDefault="001A2530" w:rsidP="001A2530">
      <w:pPr>
        <w:pStyle w:val="CoverPageTitle"/>
        <w:jc w:val="left"/>
      </w:pPr>
    </w:p>
    <w:p w:rsidR="001A2530" w:rsidRDefault="001A2530" w:rsidP="00A57F72">
      <w:pPr>
        <w:pStyle w:val="CoverPageTitle"/>
      </w:pPr>
      <w:r>
        <w:t>Title</w:t>
      </w:r>
    </w:p>
    <w:p w:rsidR="001A2530" w:rsidRPr="001A2530" w:rsidRDefault="00B6044A" w:rsidP="00A57F72">
      <w:pPr>
        <w:pStyle w:val="CoverPageTitle"/>
        <w:rPr>
          <w:b w:val="0"/>
          <w:bCs/>
        </w:rPr>
      </w:pPr>
      <w:r>
        <w:rPr>
          <w:b w:val="0"/>
          <w:bCs/>
        </w:rPr>
        <w:t>PathoLens-VLM: A Spatially-Grounded Vision-Language Model for Whole-Slide Breast Cancer Pathology Report Generation</w:t>
      </w:r>
    </w:p>
    <w:p w:rsidR="00A57F72" w:rsidRDefault="00A57F72" w:rsidP="00A57F72">
      <w:pPr>
        <w:pStyle w:val="CoverPageTitle"/>
      </w:pPr>
    </w:p>
    <w:p w:rsidR="00A57F72" w:rsidRDefault="00A57F72" w:rsidP="00A57F72">
      <w:pPr>
        <w:pStyle w:val="CoverPageTitle"/>
      </w:pPr>
      <w:r>
        <w:t>Prepared By</w:t>
      </w:r>
    </w:p>
    <w:p w:rsidR="00A57F72" w:rsidRDefault="00A57F72" w:rsidP="00A57F72">
      <w:pPr>
        <w:pStyle w:val="CoverPageTitle"/>
        <w:rPr>
          <w:b w:val="0"/>
          <w:bCs/>
        </w:rPr>
      </w:pPr>
      <w:r w:rsidRPr="00A57F72">
        <w:rPr>
          <w:b w:val="0"/>
          <w:bCs/>
        </w:rPr>
        <w:t>150200000 Faruk Rıza ÖZ</w:t>
      </w:r>
    </w:p>
    <w:p w:rsidR="00A57F72" w:rsidRDefault="00A57F72" w:rsidP="00A57F72">
      <w:pPr>
        <w:pStyle w:val="CoverPageTitle"/>
        <w:rPr>
          <w:b w:val="0"/>
          <w:bCs/>
        </w:rPr>
      </w:pPr>
      <w:r w:rsidRPr="00A57F72">
        <w:rPr>
          <w:b w:val="0"/>
          <w:bCs/>
        </w:rPr>
        <w:t>150200000 Emir Arda EKER</w:t>
      </w:r>
    </w:p>
    <w:p w:rsidR="00A57F72" w:rsidRDefault="00A57F72" w:rsidP="00A57F72">
      <w:pPr>
        <w:pStyle w:val="CoverPageTitle"/>
        <w:rPr>
          <w:b w:val="0"/>
          <w:bCs/>
        </w:rPr>
      </w:pPr>
    </w:p>
    <w:p w:rsidR="00A57F72" w:rsidRDefault="00A57F72" w:rsidP="00A57F72">
      <w:pPr>
        <w:pStyle w:val="CoverPageTitle"/>
        <w:rPr>
          <w:b w:val="0"/>
          <w:bCs/>
        </w:rPr>
      </w:pPr>
    </w:p>
    <w:p w:rsidR="00A57F72" w:rsidRDefault="00A57F72" w:rsidP="00A57F72">
      <w:pPr>
        <w:pStyle w:val="CoverPageTitle"/>
      </w:pPr>
      <w:r>
        <w:t>Supervisor</w:t>
      </w:r>
    </w:p>
    <w:p w:rsidR="001A2530" w:rsidRDefault="00B6044A" w:rsidP="00A57F72">
      <w:pPr>
        <w:pStyle w:val="CoverPageTitle"/>
      </w:pPr>
      <w:r>
        <w:rPr>
          <w:b w:val="0"/>
          <w:bCs/>
        </w:rPr>
        <w:t>Prof. Dr. Behçet Uğur TÖREYİN</w:t>
      </w:r>
    </w:p>
    <w:p w:rsidR="00A57F72" w:rsidRDefault="00A57F72" w:rsidP="00A57F72">
      <w:pPr>
        <w:pStyle w:val="CoverPageTitle"/>
      </w:pPr>
    </w:p>
    <w:p w:rsidR="001A2530" w:rsidRDefault="001A2530" w:rsidP="00A57F72">
      <w:pPr>
        <w:pStyle w:val="CoverPageTitle"/>
      </w:pPr>
    </w:p>
    <w:p w:rsidR="001A2530" w:rsidRDefault="001A2530" w:rsidP="00A57F72">
      <w:pPr>
        <w:pStyle w:val="CoverPageTitle"/>
      </w:pPr>
    </w:p>
    <w:p w:rsidR="00A57F72" w:rsidRDefault="00A57F72" w:rsidP="001A2530">
      <w:pPr>
        <w:pStyle w:val="CoverPageTitle"/>
      </w:pPr>
      <w:r>
        <w:t>June, 2026</w:t>
      </w:r>
    </w:p>
    <w:p w:rsidR="00A57F72" w:rsidRDefault="00A57F72" w:rsidP="00A57F72">
      <w:pPr>
        <w:pStyle w:val="CoverPageTitle"/>
        <w:sectPr w:rsidR="00A57F72" w:rsidSect="00111F5A">
          <w:headerReference w:type="default" r:id="rId8"/>
          <w:footerReference w:type="even" r:id="rId9"/>
          <w:footerReference w:type="default" r:id="rId10"/>
          <w:pgSz w:w="12240" w:h="15840"/>
          <w:pgMar w:top="2434" w:right="1440" w:bottom="2854" w:left="1440" w:header="708" w:footer="708" w:gutter="0"/>
          <w:cols w:space="708"/>
          <w:docGrid w:linePitch="360"/>
        </w:sectPr>
      </w:pPr>
    </w:p>
    <w:p w:rsidR="00E23C29" w:rsidRDefault="00FF5F39" w:rsidP="00FF5F39">
      <w:pPr>
        <w:pStyle w:val="PreambleTitle"/>
      </w:pPr>
      <w:r>
        <w:lastRenderedPageBreak/>
        <w:t>CONTENTS</w:t>
      </w:r>
    </w:p>
    <w:p w:rsidR="001027E5" w:rsidRDefault="00681B03">
      <w:pPr>
        <w:pStyle w:val="TOC1"/>
        <w:tabs>
          <w:tab w:val="left" w:pos="480"/>
          <w:tab w:val="right" w:leader="dot" w:pos="9350"/>
        </w:tabs>
        <w:rPr>
          <w:rFonts w:eastAsiaTheme="minorEastAsia" w:cstheme="minorBidi"/>
          <w:b w:val="0"/>
          <w:bCs w:val="0"/>
          <w:caps w:val="0"/>
          <w:noProof/>
          <w:szCs w:val="24"/>
        </w:rPr>
      </w:pPr>
      <w:r>
        <w:fldChar w:fldCharType="begin"/>
      </w:r>
      <w:r>
        <w:instrText xml:space="preserve"> TOC \o "1-4" \f \h \z \u </w:instrText>
      </w:r>
      <w:r>
        <w:fldChar w:fldCharType="separate"/>
      </w:r>
      <w:hyperlink w:anchor="_Toc166838321" w:history="1">
        <w:r w:rsidR="001027E5" w:rsidRPr="00946802">
          <w:rPr>
            <w:rStyle w:val="Hyperlink"/>
            <w:noProof/>
          </w:rPr>
          <w:t>1</w:t>
        </w:r>
        <w:r w:rsidR="001027E5">
          <w:rPr>
            <w:rFonts w:eastAsiaTheme="minorEastAsia" w:cstheme="minorBidi"/>
            <w:b w:val="0"/>
            <w:bCs w:val="0"/>
            <w:caps w:val="0"/>
            <w:noProof/>
            <w:szCs w:val="24"/>
          </w:rPr>
          <w:tab/>
        </w:r>
        <w:r w:rsidR="001027E5" w:rsidRPr="00946802">
          <w:rPr>
            <w:rStyle w:val="Hyperlink"/>
            <w:noProof/>
          </w:rPr>
          <w:t>INTRODUCTION</w:t>
        </w:r>
        <w:r w:rsidR="001027E5">
          <w:rPr>
            <w:noProof/>
            <w:webHidden/>
          </w:rPr>
          <w:tab/>
        </w:r>
        <w:r w:rsidR="001027E5">
          <w:rPr>
            <w:noProof/>
            <w:webHidden/>
          </w:rPr>
          <w:fldChar w:fldCharType="begin"/>
        </w:r>
        <w:r w:rsidR="001027E5">
          <w:rPr>
            <w:noProof/>
            <w:webHidden/>
          </w:rPr>
          <w:instrText xml:space="preserve"> PAGEREF _Toc166838321 \h </w:instrText>
        </w:r>
        <w:r w:rsidR="001027E5">
          <w:rPr>
            <w:noProof/>
            <w:webHidden/>
          </w:rPr>
        </w:r>
        <w:r w:rsidR="001027E5">
          <w:rPr>
            <w:noProof/>
            <w:webHidden/>
          </w:rPr>
          <w:fldChar w:fldCharType="separate"/>
        </w:r>
        <w:r w:rsidR="001027E5">
          <w:rPr>
            <w:noProof/>
            <w:webHidden/>
          </w:rPr>
          <w:t>1</w:t>
        </w:r>
        <w:r w:rsidR="001027E5">
          <w:rPr>
            <w:noProof/>
            <w:webHidden/>
          </w:rPr>
          <w:fldChar w:fldCharType="end"/>
        </w:r>
      </w:hyperlink>
    </w:p>
    <w:p w:rsidR="001027E5" w:rsidRDefault="001027E5">
      <w:pPr>
        <w:pStyle w:val="TOC1"/>
        <w:tabs>
          <w:tab w:val="left" w:pos="480"/>
          <w:tab w:val="right" w:leader="dot" w:pos="9350"/>
        </w:tabs>
        <w:rPr>
          <w:rFonts w:eastAsiaTheme="minorEastAsia" w:cstheme="minorBidi"/>
          <w:b w:val="0"/>
          <w:bCs w:val="0"/>
          <w:caps w:val="0"/>
          <w:noProof/>
          <w:szCs w:val="24"/>
        </w:rPr>
      </w:pPr>
      <w:hyperlink w:anchor="_Toc166838322" w:history="1">
        <w:r w:rsidRPr="00946802">
          <w:rPr>
            <w:rStyle w:val="Hyperlink"/>
            <w:noProof/>
          </w:rPr>
          <w:t>2</w:t>
        </w:r>
        <w:r>
          <w:rPr>
            <w:rFonts w:eastAsiaTheme="minorEastAsia" w:cstheme="minorBidi"/>
            <w:b w:val="0"/>
            <w:bCs w:val="0"/>
            <w:caps w:val="0"/>
            <w:noProof/>
            <w:szCs w:val="24"/>
          </w:rPr>
          <w:tab/>
        </w:r>
        <w:r w:rsidRPr="00946802">
          <w:rPr>
            <w:rStyle w:val="Hyperlink"/>
            <w:noProof/>
          </w:rPr>
          <w:t>BACKGROUND</w:t>
        </w:r>
        <w:r>
          <w:rPr>
            <w:noProof/>
            <w:webHidden/>
          </w:rPr>
          <w:tab/>
        </w:r>
        <w:r>
          <w:rPr>
            <w:noProof/>
            <w:webHidden/>
          </w:rPr>
          <w:fldChar w:fldCharType="begin"/>
        </w:r>
        <w:r>
          <w:rPr>
            <w:noProof/>
            <w:webHidden/>
          </w:rPr>
          <w:instrText xml:space="preserve"> PAGEREF _Toc166838322 \h </w:instrText>
        </w:r>
        <w:r>
          <w:rPr>
            <w:noProof/>
            <w:webHidden/>
          </w:rPr>
        </w:r>
        <w:r>
          <w:rPr>
            <w:noProof/>
            <w:webHidden/>
          </w:rPr>
          <w:fldChar w:fldCharType="separate"/>
        </w:r>
        <w:r>
          <w:rPr>
            <w:noProof/>
            <w:webHidden/>
          </w:rPr>
          <w:t>2</w:t>
        </w:r>
        <w:r>
          <w:rPr>
            <w:noProof/>
            <w:webHidden/>
          </w:rPr>
          <w:fldChar w:fldCharType="end"/>
        </w:r>
      </w:hyperlink>
    </w:p>
    <w:p w:rsidR="001027E5" w:rsidRDefault="001027E5">
      <w:pPr>
        <w:pStyle w:val="TOC1"/>
        <w:tabs>
          <w:tab w:val="left" w:pos="480"/>
          <w:tab w:val="right" w:leader="dot" w:pos="9350"/>
        </w:tabs>
        <w:rPr>
          <w:rFonts w:eastAsiaTheme="minorEastAsia" w:cstheme="minorBidi"/>
          <w:b w:val="0"/>
          <w:bCs w:val="0"/>
          <w:caps w:val="0"/>
          <w:noProof/>
          <w:szCs w:val="24"/>
        </w:rPr>
      </w:pPr>
      <w:hyperlink w:anchor="_Toc166838323" w:history="1">
        <w:r w:rsidRPr="00946802">
          <w:rPr>
            <w:rStyle w:val="Hyperlink"/>
            <w:noProof/>
          </w:rPr>
          <w:t>3</w:t>
        </w:r>
        <w:r>
          <w:rPr>
            <w:rFonts w:eastAsiaTheme="minorEastAsia" w:cstheme="minorBidi"/>
            <w:b w:val="0"/>
            <w:bCs w:val="0"/>
            <w:caps w:val="0"/>
            <w:noProof/>
            <w:szCs w:val="24"/>
          </w:rPr>
          <w:tab/>
        </w:r>
        <w:r w:rsidRPr="00946802">
          <w:rPr>
            <w:rStyle w:val="Hyperlink"/>
            <w:noProof/>
          </w:rPr>
          <w:t>SYSTEM REQUIREMENTS</w:t>
        </w:r>
        <w:r>
          <w:rPr>
            <w:noProof/>
            <w:webHidden/>
          </w:rPr>
          <w:tab/>
        </w:r>
        <w:r>
          <w:rPr>
            <w:noProof/>
            <w:webHidden/>
          </w:rPr>
          <w:fldChar w:fldCharType="begin"/>
        </w:r>
        <w:r>
          <w:rPr>
            <w:noProof/>
            <w:webHidden/>
          </w:rPr>
          <w:instrText xml:space="preserve"> PAGEREF _Toc166838323 \h </w:instrText>
        </w:r>
        <w:r>
          <w:rPr>
            <w:noProof/>
            <w:webHidden/>
          </w:rPr>
        </w:r>
        <w:r>
          <w:rPr>
            <w:noProof/>
            <w:webHidden/>
          </w:rPr>
          <w:fldChar w:fldCharType="separate"/>
        </w:r>
        <w:r>
          <w:rPr>
            <w:noProof/>
            <w:webHidden/>
          </w:rPr>
          <w:t>3</w:t>
        </w:r>
        <w:r>
          <w:rPr>
            <w:noProof/>
            <w:webHidden/>
          </w:rPr>
          <w:fldChar w:fldCharType="end"/>
        </w:r>
      </w:hyperlink>
    </w:p>
    <w:p w:rsidR="001027E5" w:rsidRDefault="001027E5">
      <w:pPr>
        <w:pStyle w:val="TOC2"/>
        <w:tabs>
          <w:tab w:val="left" w:pos="960"/>
          <w:tab w:val="right" w:leader="dot" w:pos="9350"/>
        </w:tabs>
        <w:rPr>
          <w:rFonts w:eastAsiaTheme="minorEastAsia" w:cstheme="minorBidi"/>
          <w:smallCaps w:val="0"/>
          <w:noProof/>
          <w:szCs w:val="24"/>
        </w:rPr>
      </w:pPr>
      <w:hyperlink w:anchor="_Toc166838324" w:history="1">
        <w:r w:rsidRPr="00946802">
          <w:rPr>
            <w:rStyle w:val="Hyperlink"/>
            <w:noProof/>
          </w:rPr>
          <w:t>3.1</w:t>
        </w:r>
        <w:r>
          <w:rPr>
            <w:rFonts w:eastAsiaTheme="minorEastAsia" w:cstheme="minorBidi"/>
            <w:smallCaps w:val="0"/>
            <w:noProof/>
            <w:szCs w:val="24"/>
          </w:rPr>
          <w:tab/>
        </w:r>
        <w:r w:rsidRPr="00946802">
          <w:rPr>
            <w:rStyle w:val="Hyperlink"/>
            <w:noProof/>
          </w:rPr>
          <w:t>Design Constraints and Relevant Engineering Standards</w:t>
        </w:r>
        <w:r>
          <w:rPr>
            <w:noProof/>
            <w:webHidden/>
          </w:rPr>
          <w:tab/>
        </w:r>
        <w:r>
          <w:rPr>
            <w:noProof/>
            <w:webHidden/>
          </w:rPr>
          <w:fldChar w:fldCharType="begin"/>
        </w:r>
        <w:r>
          <w:rPr>
            <w:noProof/>
            <w:webHidden/>
          </w:rPr>
          <w:instrText xml:space="preserve"> PAGEREF _Toc166838324 \h </w:instrText>
        </w:r>
        <w:r>
          <w:rPr>
            <w:noProof/>
            <w:webHidden/>
          </w:rPr>
        </w:r>
        <w:r>
          <w:rPr>
            <w:noProof/>
            <w:webHidden/>
          </w:rPr>
          <w:fldChar w:fldCharType="separate"/>
        </w:r>
        <w:r>
          <w:rPr>
            <w:noProof/>
            <w:webHidden/>
          </w:rPr>
          <w:t>3</w:t>
        </w:r>
        <w:r>
          <w:rPr>
            <w:noProof/>
            <w:webHidden/>
          </w:rPr>
          <w:fldChar w:fldCharType="end"/>
        </w:r>
      </w:hyperlink>
    </w:p>
    <w:p w:rsidR="001027E5" w:rsidRDefault="001027E5">
      <w:pPr>
        <w:pStyle w:val="TOC2"/>
        <w:tabs>
          <w:tab w:val="left" w:pos="960"/>
          <w:tab w:val="right" w:leader="dot" w:pos="9350"/>
        </w:tabs>
        <w:rPr>
          <w:rFonts w:eastAsiaTheme="minorEastAsia" w:cstheme="minorBidi"/>
          <w:smallCaps w:val="0"/>
          <w:noProof/>
          <w:szCs w:val="24"/>
        </w:rPr>
      </w:pPr>
      <w:hyperlink w:anchor="_Toc166838325" w:history="1">
        <w:r w:rsidRPr="00946802">
          <w:rPr>
            <w:rStyle w:val="Hyperlink"/>
            <w:noProof/>
          </w:rPr>
          <w:t>3.2</w:t>
        </w:r>
        <w:r>
          <w:rPr>
            <w:rFonts w:eastAsiaTheme="minorEastAsia" w:cstheme="minorBidi"/>
            <w:smallCaps w:val="0"/>
            <w:noProof/>
            <w:szCs w:val="24"/>
          </w:rPr>
          <w:tab/>
        </w:r>
        <w:r w:rsidRPr="00946802">
          <w:rPr>
            <w:rStyle w:val="Hyperlink"/>
            <w:noProof/>
          </w:rPr>
          <w:t>Functional Requirements</w:t>
        </w:r>
        <w:r>
          <w:rPr>
            <w:noProof/>
            <w:webHidden/>
          </w:rPr>
          <w:tab/>
        </w:r>
        <w:r>
          <w:rPr>
            <w:noProof/>
            <w:webHidden/>
          </w:rPr>
          <w:fldChar w:fldCharType="begin"/>
        </w:r>
        <w:r>
          <w:rPr>
            <w:noProof/>
            <w:webHidden/>
          </w:rPr>
          <w:instrText xml:space="preserve"> PAGEREF _Toc166838325 \h </w:instrText>
        </w:r>
        <w:r>
          <w:rPr>
            <w:noProof/>
            <w:webHidden/>
          </w:rPr>
        </w:r>
        <w:r>
          <w:rPr>
            <w:noProof/>
            <w:webHidden/>
          </w:rPr>
          <w:fldChar w:fldCharType="separate"/>
        </w:r>
        <w:r>
          <w:rPr>
            <w:noProof/>
            <w:webHidden/>
          </w:rPr>
          <w:t>3</w:t>
        </w:r>
        <w:r>
          <w:rPr>
            <w:noProof/>
            <w:webHidden/>
          </w:rPr>
          <w:fldChar w:fldCharType="end"/>
        </w:r>
      </w:hyperlink>
    </w:p>
    <w:p w:rsidR="001027E5" w:rsidRDefault="001027E5">
      <w:pPr>
        <w:pStyle w:val="TOC2"/>
        <w:tabs>
          <w:tab w:val="left" w:pos="960"/>
          <w:tab w:val="right" w:leader="dot" w:pos="9350"/>
        </w:tabs>
        <w:rPr>
          <w:rFonts w:eastAsiaTheme="minorEastAsia" w:cstheme="minorBidi"/>
          <w:smallCaps w:val="0"/>
          <w:noProof/>
          <w:szCs w:val="24"/>
        </w:rPr>
      </w:pPr>
      <w:hyperlink w:anchor="_Toc166838326" w:history="1">
        <w:r w:rsidRPr="00946802">
          <w:rPr>
            <w:rStyle w:val="Hyperlink"/>
            <w:noProof/>
          </w:rPr>
          <w:t>3.3</w:t>
        </w:r>
        <w:r>
          <w:rPr>
            <w:rFonts w:eastAsiaTheme="minorEastAsia" w:cstheme="minorBidi"/>
            <w:smallCaps w:val="0"/>
            <w:noProof/>
            <w:szCs w:val="24"/>
          </w:rPr>
          <w:tab/>
        </w:r>
        <w:r w:rsidRPr="00946802">
          <w:rPr>
            <w:rStyle w:val="Hyperlink"/>
            <w:noProof/>
          </w:rPr>
          <w:t>Non-Functional Requirements</w:t>
        </w:r>
        <w:r>
          <w:rPr>
            <w:noProof/>
            <w:webHidden/>
          </w:rPr>
          <w:tab/>
        </w:r>
        <w:r>
          <w:rPr>
            <w:noProof/>
            <w:webHidden/>
          </w:rPr>
          <w:fldChar w:fldCharType="begin"/>
        </w:r>
        <w:r>
          <w:rPr>
            <w:noProof/>
            <w:webHidden/>
          </w:rPr>
          <w:instrText xml:space="preserve"> PAGEREF _Toc166838326 \h </w:instrText>
        </w:r>
        <w:r>
          <w:rPr>
            <w:noProof/>
            <w:webHidden/>
          </w:rPr>
        </w:r>
        <w:r>
          <w:rPr>
            <w:noProof/>
            <w:webHidden/>
          </w:rPr>
          <w:fldChar w:fldCharType="separate"/>
        </w:r>
        <w:r>
          <w:rPr>
            <w:noProof/>
            <w:webHidden/>
          </w:rPr>
          <w:t>3</w:t>
        </w:r>
        <w:r>
          <w:rPr>
            <w:noProof/>
            <w:webHidden/>
          </w:rPr>
          <w:fldChar w:fldCharType="end"/>
        </w:r>
      </w:hyperlink>
    </w:p>
    <w:p w:rsidR="001027E5" w:rsidRDefault="001027E5">
      <w:pPr>
        <w:pStyle w:val="TOC2"/>
        <w:tabs>
          <w:tab w:val="left" w:pos="960"/>
          <w:tab w:val="right" w:leader="dot" w:pos="9350"/>
        </w:tabs>
        <w:rPr>
          <w:rFonts w:eastAsiaTheme="minorEastAsia" w:cstheme="minorBidi"/>
          <w:smallCaps w:val="0"/>
          <w:noProof/>
          <w:szCs w:val="24"/>
        </w:rPr>
      </w:pPr>
      <w:hyperlink w:anchor="_Toc166838327" w:history="1">
        <w:r w:rsidRPr="00946802">
          <w:rPr>
            <w:rStyle w:val="Hyperlink"/>
            <w:noProof/>
          </w:rPr>
          <w:t>3.4</w:t>
        </w:r>
        <w:r>
          <w:rPr>
            <w:rFonts w:eastAsiaTheme="minorEastAsia" w:cstheme="minorBidi"/>
            <w:smallCaps w:val="0"/>
            <w:noProof/>
            <w:szCs w:val="24"/>
          </w:rPr>
          <w:tab/>
        </w:r>
        <w:r w:rsidRPr="00946802">
          <w:rPr>
            <w:rStyle w:val="Hyperlink"/>
            <w:noProof/>
          </w:rPr>
          <w:t>Evaluation Criteria</w:t>
        </w:r>
        <w:r>
          <w:rPr>
            <w:noProof/>
            <w:webHidden/>
          </w:rPr>
          <w:tab/>
        </w:r>
        <w:r>
          <w:rPr>
            <w:noProof/>
            <w:webHidden/>
          </w:rPr>
          <w:fldChar w:fldCharType="begin"/>
        </w:r>
        <w:r>
          <w:rPr>
            <w:noProof/>
            <w:webHidden/>
          </w:rPr>
          <w:instrText xml:space="preserve"> PAGEREF _Toc166838327 \h </w:instrText>
        </w:r>
        <w:r>
          <w:rPr>
            <w:noProof/>
            <w:webHidden/>
          </w:rPr>
        </w:r>
        <w:r>
          <w:rPr>
            <w:noProof/>
            <w:webHidden/>
          </w:rPr>
          <w:fldChar w:fldCharType="separate"/>
        </w:r>
        <w:r>
          <w:rPr>
            <w:noProof/>
            <w:webHidden/>
          </w:rPr>
          <w:t>3</w:t>
        </w:r>
        <w:r>
          <w:rPr>
            <w:noProof/>
            <w:webHidden/>
          </w:rPr>
          <w:fldChar w:fldCharType="end"/>
        </w:r>
      </w:hyperlink>
    </w:p>
    <w:p w:rsidR="001027E5" w:rsidRDefault="001027E5">
      <w:pPr>
        <w:pStyle w:val="TOC1"/>
        <w:tabs>
          <w:tab w:val="left" w:pos="480"/>
          <w:tab w:val="right" w:leader="dot" w:pos="9350"/>
        </w:tabs>
        <w:rPr>
          <w:rFonts w:eastAsiaTheme="minorEastAsia" w:cstheme="minorBidi"/>
          <w:b w:val="0"/>
          <w:bCs w:val="0"/>
          <w:caps w:val="0"/>
          <w:noProof/>
          <w:szCs w:val="24"/>
        </w:rPr>
      </w:pPr>
      <w:hyperlink w:anchor="_Toc166838328" w:history="1">
        <w:r w:rsidRPr="00946802">
          <w:rPr>
            <w:rStyle w:val="Hyperlink"/>
            <w:noProof/>
          </w:rPr>
          <w:t>4</w:t>
        </w:r>
        <w:r>
          <w:rPr>
            <w:rFonts w:eastAsiaTheme="minorEastAsia" w:cstheme="minorBidi"/>
            <w:b w:val="0"/>
            <w:bCs w:val="0"/>
            <w:caps w:val="0"/>
            <w:noProof/>
            <w:szCs w:val="24"/>
          </w:rPr>
          <w:tab/>
        </w:r>
        <w:r w:rsidRPr="00946802">
          <w:rPr>
            <w:rStyle w:val="Hyperlink"/>
            <w:noProof/>
          </w:rPr>
          <w:t>SYSTEM ARCHITECTURE</w:t>
        </w:r>
        <w:r>
          <w:rPr>
            <w:noProof/>
            <w:webHidden/>
          </w:rPr>
          <w:tab/>
        </w:r>
        <w:r>
          <w:rPr>
            <w:noProof/>
            <w:webHidden/>
          </w:rPr>
          <w:fldChar w:fldCharType="begin"/>
        </w:r>
        <w:r>
          <w:rPr>
            <w:noProof/>
            <w:webHidden/>
          </w:rPr>
          <w:instrText xml:space="preserve"> PAGEREF _Toc166838328 \h </w:instrText>
        </w:r>
        <w:r>
          <w:rPr>
            <w:noProof/>
            <w:webHidden/>
          </w:rPr>
        </w:r>
        <w:r>
          <w:rPr>
            <w:noProof/>
            <w:webHidden/>
          </w:rPr>
          <w:fldChar w:fldCharType="separate"/>
        </w:r>
        <w:r>
          <w:rPr>
            <w:noProof/>
            <w:webHidden/>
          </w:rPr>
          <w:t>4</w:t>
        </w:r>
        <w:r>
          <w:rPr>
            <w:noProof/>
            <w:webHidden/>
          </w:rPr>
          <w:fldChar w:fldCharType="end"/>
        </w:r>
      </w:hyperlink>
    </w:p>
    <w:p w:rsidR="001027E5" w:rsidRDefault="001027E5">
      <w:pPr>
        <w:pStyle w:val="TOC1"/>
        <w:tabs>
          <w:tab w:val="left" w:pos="480"/>
          <w:tab w:val="right" w:leader="dot" w:pos="9350"/>
        </w:tabs>
        <w:rPr>
          <w:rFonts w:eastAsiaTheme="minorEastAsia" w:cstheme="minorBidi"/>
          <w:b w:val="0"/>
          <w:bCs w:val="0"/>
          <w:caps w:val="0"/>
          <w:noProof/>
          <w:szCs w:val="24"/>
        </w:rPr>
      </w:pPr>
      <w:hyperlink w:anchor="_Toc166838329" w:history="1">
        <w:r w:rsidRPr="00946802">
          <w:rPr>
            <w:rStyle w:val="Hyperlink"/>
            <w:noProof/>
          </w:rPr>
          <w:t>5</w:t>
        </w:r>
        <w:r>
          <w:rPr>
            <w:rFonts w:eastAsiaTheme="minorEastAsia" w:cstheme="minorBidi"/>
            <w:b w:val="0"/>
            <w:bCs w:val="0"/>
            <w:caps w:val="0"/>
            <w:noProof/>
            <w:szCs w:val="24"/>
          </w:rPr>
          <w:tab/>
        </w:r>
        <w:r w:rsidRPr="00946802">
          <w:rPr>
            <w:rStyle w:val="Hyperlink"/>
            <w:noProof/>
          </w:rPr>
          <w:t>RESULTS AND EVALUATION</w:t>
        </w:r>
        <w:r>
          <w:rPr>
            <w:noProof/>
            <w:webHidden/>
          </w:rPr>
          <w:tab/>
        </w:r>
        <w:r>
          <w:rPr>
            <w:noProof/>
            <w:webHidden/>
          </w:rPr>
          <w:fldChar w:fldCharType="begin"/>
        </w:r>
        <w:r>
          <w:rPr>
            <w:noProof/>
            <w:webHidden/>
          </w:rPr>
          <w:instrText xml:space="preserve"> PAGEREF _Toc166838329 \h </w:instrText>
        </w:r>
        <w:r>
          <w:rPr>
            <w:noProof/>
            <w:webHidden/>
          </w:rPr>
        </w:r>
        <w:r>
          <w:rPr>
            <w:noProof/>
            <w:webHidden/>
          </w:rPr>
          <w:fldChar w:fldCharType="separate"/>
        </w:r>
        <w:r>
          <w:rPr>
            <w:noProof/>
            <w:webHidden/>
          </w:rPr>
          <w:t>5</w:t>
        </w:r>
        <w:r>
          <w:rPr>
            <w:noProof/>
            <w:webHidden/>
          </w:rPr>
          <w:fldChar w:fldCharType="end"/>
        </w:r>
      </w:hyperlink>
    </w:p>
    <w:p w:rsidR="001027E5" w:rsidRDefault="001027E5">
      <w:pPr>
        <w:pStyle w:val="TOC1"/>
        <w:tabs>
          <w:tab w:val="left" w:pos="480"/>
          <w:tab w:val="right" w:leader="dot" w:pos="9350"/>
        </w:tabs>
        <w:rPr>
          <w:rFonts w:eastAsiaTheme="minorEastAsia" w:cstheme="minorBidi"/>
          <w:b w:val="0"/>
          <w:bCs w:val="0"/>
          <w:caps w:val="0"/>
          <w:noProof/>
          <w:szCs w:val="24"/>
        </w:rPr>
      </w:pPr>
      <w:hyperlink w:anchor="_Toc166838330" w:history="1">
        <w:r w:rsidRPr="00946802">
          <w:rPr>
            <w:rStyle w:val="Hyperlink"/>
            <w:noProof/>
          </w:rPr>
          <w:t>6</w:t>
        </w:r>
        <w:r>
          <w:rPr>
            <w:rFonts w:eastAsiaTheme="minorEastAsia" w:cstheme="minorBidi"/>
            <w:b w:val="0"/>
            <w:bCs w:val="0"/>
            <w:caps w:val="0"/>
            <w:noProof/>
            <w:szCs w:val="24"/>
          </w:rPr>
          <w:tab/>
        </w:r>
        <w:r w:rsidRPr="00946802">
          <w:rPr>
            <w:rStyle w:val="Hyperlink"/>
            <w:noProof/>
          </w:rPr>
          <w:t>CONCLUSIONS AND FUTURE WORKS</w:t>
        </w:r>
        <w:r>
          <w:rPr>
            <w:noProof/>
            <w:webHidden/>
          </w:rPr>
          <w:tab/>
        </w:r>
        <w:r>
          <w:rPr>
            <w:noProof/>
            <w:webHidden/>
          </w:rPr>
          <w:fldChar w:fldCharType="begin"/>
        </w:r>
        <w:r>
          <w:rPr>
            <w:noProof/>
            <w:webHidden/>
          </w:rPr>
          <w:instrText xml:space="preserve"> PAGEREF _Toc166838330 \h </w:instrText>
        </w:r>
        <w:r>
          <w:rPr>
            <w:noProof/>
            <w:webHidden/>
          </w:rPr>
        </w:r>
        <w:r>
          <w:rPr>
            <w:noProof/>
            <w:webHidden/>
          </w:rPr>
          <w:fldChar w:fldCharType="separate"/>
        </w:r>
        <w:r>
          <w:rPr>
            <w:noProof/>
            <w:webHidden/>
          </w:rPr>
          <w:t>6</w:t>
        </w:r>
        <w:r>
          <w:rPr>
            <w:noProof/>
            <w:webHidden/>
          </w:rPr>
          <w:fldChar w:fldCharType="end"/>
        </w:r>
      </w:hyperlink>
    </w:p>
    <w:p w:rsidR="001027E5" w:rsidRDefault="001027E5">
      <w:pPr>
        <w:pStyle w:val="TOC1"/>
        <w:tabs>
          <w:tab w:val="left" w:pos="480"/>
          <w:tab w:val="right" w:leader="dot" w:pos="9350"/>
        </w:tabs>
        <w:rPr>
          <w:rFonts w:eastAsiaTheme="minorEastAsia" w:cstheme="minorBidi"/>
          <w:b w:val="0"/>
          <w:bCs w:val="0"/>
          <w:caps w:val="0"/>
          <w:noProof/>
          <w:szCs w:val="24"/>
        </w:rPr>
      </w:pPr>
      <w:hyperlink w:anchor="_Toc166838331" w:history="1">
        <w:r w:rsidRPr="00946802">
          <w:rPr>
            <w:rStyle w:val="Hyperlink"/>
            <w:noProof/>
          </w:rPr>
          <w:t>7</w:t>
        </w:r>
        <w:r>
          <w:rPr>
            <w:rFonts w:eastAsiaTheme="minorEastAsia" w:cstheme="minorBidi"/>
            <w:b w:val="0"/>
            <w:bCs w:val="0"/>
            <w:caps w:val="0"/>
            <w:noProof/>
            <w:szCs w:val="24"/>
          </w:rPr>
          <w:tab/>
        </w:r>
        <w:r w:rsidRPr="00946802">
          <w:rPr>
            <w:rStyle w:val="Hyperlink"/>
            <w:noProof/>
          </w:rPr>
          <w:t>REFERENCES</w:t>
        </w:r>
        <w:r>
          <w:rPr>
            <w:noProof/>
            <w:webHidden/>
          </w:rPr>
          <w:tab/>
        </w:r>
        <w:r>
          <w:rPr>
            <w:noProof/>
            <w:webHidden/>
          </w:rPr>
          <w:fldChar w:fldCharType="begin"/>
        </w:r>
        <w:r>
          <w:rPr>
            <w:noProof/>
            <w:webHidden/>
          </w:rPr>
          <w:instrText xml:space="preserve"> PAGEREF _Toc166838331 \h </w:instrText>
        </w:r>
        <w:r>
          <w:rPr>
            <w:noProof/>
            <w:webHidden/>
          </w:rPr>
        </w:r>
        <w:r>
          <w:rPr>
            <w:noProof/>
            <w:webHidden/>
          </w:rPr>
          <w:fldChar w:fldCharType="separate"/>
        </w:r>
        <w:r>
          <w:rPr>
            <w:noProof/>
            <w:webHidden/>
          </w:rPr>
          <w:t>7</w:t>
        </w:r>
        <w:r>
          <w:rPr>
            <w:noProof/>
            <w:webHidden/>
          </w:rPr>
          <w:fldChar w:fldCharType="end"/>
        </w:r>
      </w:hyperlink>
    </w:p>
    <w:p w:rsidR="00681B03" w:rsidRPr="00681B03" w:rsidRDefault="00681B03" w:rsidP="00681B03">
      <w:r>
        <w:fldChar w:fldCharType="end"/>
      </w:r>
    </w:p>
    <w:p w:rsidR="009A78A3" w:rsidRDefault="00FF5F39" w:rsidP="00B54F98">
      <w:pPr>
        <w:pStyle w:val="PreambleTitle"/>
      </w:pPr>
      <w:r>
        <w:lastRenderedPageBreak/>
        <w:t>SUMMARY</w:t>
      </w:r>
    </w:p>
    <w:p w:rsidR="00B54F98" w:rsidRDefault="00B54F98" w:rsidP="00B54F98">
      <w:pPr/>
      <w:r>
        <w:t>Pathology report-generation systems built on vision-language models (PathChat, SlideChat, Quilt-LLaVA) produce fluent text but offer no way to verify which region of the slide each clinical claim came from. In a setting where a diagnosis can hinge on a sub-millimetre focus, this absence of spatial grounding blocks safe clinical deployment.</w:t>
      </w:r>
    </w:p>
    <w:p w:rsidR="00B54F98" w:rsidRDefault="00B54F98" w:rsidP="00B54F98">
      <w:pPr/>
      <w:r>
        <w:t>PathoLens-VLM closes that gap for breast-cancer histopathology. The system pairs a frozen CONCHv1.5 patch encoder with a Llama-3.2-3B-Instruct language model through a single linear adapter; LoRA matrices and the adapter are the only trainable parameters (about 15 million of 3.3 billion). A KL-divergence loss aligns the language model’s per-sentence text-to-vision attention with BCSS pixel-level segmentation masks during fine-tuning, falling back to a CONCH-v1 cross-modal pseudo-target where masks are unavailable. A two-epoch warmup and an entropy regulariser stabilise the early epochs and concentrate the attention distribution.</w:t>
      </w:r>
    </w:p>
    <w:p w:rsidR="00B54F98" w:rsidRDefault="00B54F98" w:rsidP="00B54F98">
      <w:pPr/>
      <w:r>
        <w:t>On seven held-out TCGA-BRCA slides the model achieves BLEU-4 = 0.0559 and ROUGE-L = 0.1990, comparable to ungrounded baselines on the same corpus, alongside a BCSS pointing-game accuracy of PG@5 = 0.081, a 4.4× lift over the uniform-random baseline of 0.019. The attention distribution is peakier than uniform (entropy ratio 0.938; top-10 % mass 0.201). The project ships as an open-source repository with five ablation configurations, a Streamlit demonstration that exports FHIR DiagnosticReport JSON, and 51 passing unit and integration tests.</w:t>
      </w:r>
    </w:p>
    <w:p w:rsidR="00B54F98" w:rsidRDefault="00B54F98" w:rsidP="00B54F98">
      <w:pPr>
        <w:sectPr w:rsidR="00B54F98" w:rsidSect="00111F5A">
          <w:headerReference w:type="default" r:id="rId11"/>
          <w:footerReference w:type="default" r:id="rId12"/>
          <w:pgSz w:w="12240" w:h="15840"/>
          <w:pgMar w:top="1087" w:right="1440" w:bottom="1440" w:left="1440" w:header="708" w:footer="708" w:gutter="0"/>
          <w:pgNumType w:fmt="lowerRoman" w:start="1"/>
          <w:cols w:space="708"/>
          <w:docGrid w:linePitch="360"/>
        </w:sectPr>
      </w:pPr>
    </w:p>
    <w:p w:rsidR="00FF5F39" w:rsidRDefault="00FF5F39" w:rsidP="00ED632F">
      <w:pPr>
        <w:pStyle w:val="Heading1"/>
      </w:pPr>
      <w:bookmarkStart w:id="0" w:name="_Toc166320857"/>
      <w:bookmarkStart w:id="1" w:name="_Toc166838321"/>
      <w:r>
        <w:lastRenderedPageBreak/>
        <w:t>INTRODUCTION</w:t>
      </w:r>
      <w:bookmarkEnd w:id="0"/>
      <w:bookmarkEnd w:id="1"/>
    </w:p>
    <w:p w:rsidR="00FF5F39" w:rsidRDefault="00FF5F39" w:rsidP="00FF5F39">
      <w:pPr/>
      <w:r>
        <w:t>Whole-slide images (WSIs) routinely exceed 50,000 × 50,000 pixels per slide, and a pathologist who reads 30 to 80 slides a day spends a substantial share of clinical time drafting structured diagnostic reports. Vision-language models, large language models conditioned on image embeddings, have become an active candidate for automatic draft-report generation, both as a triage aid and as a second reader for quality control.</w:t>
      </w:r>
    </w:p>
    <w:p w:rsidR="00FF5F39" w:rsidRDefault="00FF5F39" w:rsidP="00FF5F39">
      <w:pPr/>
      <w:r>
        <w:t>The pathology-specific VLMs of the past two years, including PathChat [1], SlideChat [2] and Quilt-LLaVA [3], produce fluent reports and answer free-form questions about a slide. None of them indicates which slide region each generated sentence came from. A clinician reading the sentence “moderate stromal lymphocytic infiltrate is present” has no way to inspect the supporting evidence on the slide. Diagnostic conclusions in breast pathology often turn on the appearance of sub-millimetre foci inside a 1 cm² section; the absence of per-sentence spatial grounding is a structural barrier to clinical deployment, not a stylistic shortcoming.</w:t>
      </w:r>
    </w:p>
    <w:p w:rsidR="00FF5F39" w:rsidRDefault="00FF5F39" w:rsidP="00FF5F39">
      <w:pPr/>
      <w:r>
        <w:t>Spatially grounded report generation has been studied in radiology. MedGround [4] aligns each report sentence to a bounding box on the source X-ray. The histopathology analogue is harder. A WSI contains three to four orders of magnitude more pixels than a chest radiograph, so the candidate regions expand from tens to thousands of patches per slide. Public histopathology datasets pairing free-text reports with patch-level segmentation labels remain few, small, and licence-restricted.</w:t>
      </w:r>
    </w:p>
    <w:p w:rsidR="00FF5F39" w:rsidRDefault="00FF5F39" w:rsidP="00FF5F39">
      <w:pPr>
        <w:pStyle w:val="Heading2"/>
      </w:pPr>
      <w:r>
        <w:t>Research Question</w:t>
      </w:r>
    </w:p>
    <w:p w:rsidR="00FF5F39" w:rsidRDefault="00FF5F39" w:rsidP="00FF5F39">
      <w:pPr/>
      <w:r>
        <w:t>The central research question of this capstone project is the following: can a vision-language model for whole-slide breast cancer pathology produce a free-form diagnostic report in which every clinical sentence is explicitly grounded to the slide region supporting it, and can this grounding be measured by an objective metric on a held-out test set? The question is deliberately constructive. Rather than asking whether post-hoc explainability tools (Grad-CAM, attention rollout) can be applied to an existing pathology VLM, we ask whether the grounding signal can be built into the training objective itself, so that the model learns to attend to the correct slide region as part of producing the sentence.</w:t>
      </w:r>
    </w:p>
    <w:p w:rsidR="00FF5F39" w:rsidRDefault="00FF5F39" w:rsidP="00FF5F39">
      <w:pPr>
        <w:pStyle w:val="Heading2"/>
      </w:pPr>
      <w:r>
        <w:t>Contributions</w:t>
      </w:r>
    </w:p>
    <w:p w:rsidR="00FF5F39" w:rsidRDefault="00FF5F39" w:rsidP="00FF5F39">
      <w:pPr/>
      <w:r>
        <w:t>This work presents PathoLens-VLM, a vision-language model that generates breast-cancer pathology reports for whole slides and grounds each generated sentence to the slide region supporting it. The specific contributions are the following.</w:t>
      </w:r>
    </w:p>
    <w:p w:rsidR="00FF5F39" w:rsidRDefault="00FF5F39" w:rsidP="00FF5F39">
      <w:pPr/>
      <w:r>
        <w:t>A grounded VLM architecture for whole-slide pathology. PathoLens-VLM pairs the frozen CONCHv1.5 patch encoder [5] with the Llama-3.2-3B-Instruct language model [6], bridged by a single linear adapter and fine-tuned with LoRA [7]. The architecture deliberately preserves a one-to-one correspondence between LLM vision tokens and patch-level grounding ground truth, a prerequisite for the supervised grounding loss.</w:t>
      </w:r>
    </w:p>
    <w:p w:rsidR="00FF5F39" w:rsidRDefault="00FF5F39" w:rsidP="00FF5F39">
      <w:pPr/>
      <w:r>
        <w:t>A hybrid grounding-supervision strategy. The grounding loss measures the KL divergence between the language model’s per-sentence text-to-vision attention and a two-source target: pixel-level BCSS semantic-segmentation masks [8] where available, and a CONCH-v1 cross-modal pseudo-target as fallback. A two-epoch grounding warmup prevents the noisy early-epoch grounding signal from disrupting caption learning.</w:t>
      </w:r>
    </w:p>
    <w:p w:rsidR="00FF5F39" w:rsidRDefault="00FF5F39" w:rsidP="00FF5F39">
      <w:pPr/>
      <w:r>
        <w:t>A reproducible evaluation suite. Five complementary metrics jointly measure caption quality (BLEU-4, ROUGE-L), spatial grounding (BCSS pointing-game at K), attention concentration (top-K mass and normalised Shannon entropy), and clinical concept recall against BCSS class coverage. Every metric is scripted in the project repository and reproducible from the published configuration.</w:t>
      </w:r>
    </w:p>
    <w:p w:rsidR="00FF5F39" w:rsidRDefault="00FF5F39" w:rsidP="00FF5F39">
      <w:pPr/>
      <w:r>
        <w:t>Empirical evidence of measurable grounding. On a held-out test set of seven BCSS-annotated TCGA-BRCA slides, PathoLens-VLM achieves BLEU-4 = 0.0559, ROUGE-L = 0.1990 and a BCSS pointing-game accuracy of PG@5 = 0.081 against a uniform-random baseline of 0.019, a 4.4× lift over chance. The attention distribution is substantially peakier than uniform (entropy ratio 0.938; top-10 % attention mass 0.201 against the uniform baseline of 0.100).</w:t>
      </w:r>
    </w:p>
    <w:p w:rsidR="00FF5F39" w:rsidRDefault="00FF5F39" w:rsidP="00FF5F39">
      <w:pPr/>
      <w:r>
        <w:t>An interactive demonstration. A Streamlit browser application lets a user pick a precomputed slide, generate a structured pathology report, inspect the per-sentence attention heatmaps overlaid on the slide thumbnail, and export the result as a FHIR DiagnosticReport JSON document.</w:t>
      </w:r>
    </w:p>
    <w:p w:rsidR="00FF5F39" w:rsidRDefault="00FF5F39" w:rsidP="00FF5F39">
      <w:pPr>
        <w:pStyle w:val="Heading2"/>
      </w:pPr>
      <w:r>
        <w:t>Scope and Limitations</w:t>
      </w:r>
    </w:p>
    <w:p w:rsidR="00FF5F39" w:rsidRDefault="00FF5F39" w:rsidP="00FF5F39">
      <w:pPr/>
      <w:r>
        <w:t>The work is deliberately scoped to a single organ system (breast) and a single primary dataset (TCGA-BRCA), the largest publicly available WSI collection for which both free-text reports and patch-level segmentation masks (via BCSS) exist. The fullscale training run uses 50 slides: the intersection of BCSS annotations, SlideInstruction caption availability and successful GDC downloads at the time of the run. The held-out test set consists of seven slides; this is enough to demonstrate that the grounding signal is statistically non-trivial, but too few to support strong clinical claims. Section 6 discusses these and other limitations.</w:t>
      </w:r>
    </w:p>
    <w:p w:rsidR="00FF5F39" w:rsidRDefault="00FF5F39" w:rsidP="00FF5F39">
      <w:pPr>
        <w:pStyle w:val="Heading2"/>
      </w:pPr>
      <w:r>
        <w:t>Report Organization</w:t>
      </w:r>
    </w:p>
    <w:p w:rsidR="00FF5F39" w:rsidRDefault="00FF5F39" w:rsidP="00FF5F39">
      <w:pPr/>
      <w:r>
        <w:t>The remainder of this report is organised as follows. Section 2 reviews the relevant background: computational pathology, vision-language models for medical imaging, and grounded image captioning. Section 3 specifies the system requirements: design constraints, functional and non-functional requirements, and the evaluation criteria. Section 4 details the data sources, the preprocessing pipeline, the system architecture and the training procedure. Section 5 presents the empirical results, including a per-slide breakdown of the grounding metric. Section 6 concludes with a discussion of limitations and directions for future work, and Section 7 lists the references cited throughout the report.</w:t>
      </w:r>
    </w:p>
    <w:p w:rsidR="00A421BF" w:rsidRDefault="00A421BF" w:rsidP="00FF5F39"/>
    <w:p w:rsidR="00C228D2" w:rsidRDefault="00C228D2" w:rsidP="0016279F">
      <w:bookmarkStart w:id="2" w:name="_Toc166320858"/>
    </w:p>
    <w:p w:rsidR="008F52A2" w:rsidRDefault="008F52A2" w:rsidP="00ED632F">
      <w:pPr>
        <w:pStyle w:val="Heading1"/>
      </w:pPr>
      <w:bookmarkStart w:id="3" w:name="_Toc166838322"/>
      <w:r>
        <w:lastRenderedPageBreak/>
        <w:t>BACKGROUND</w:t>
      </w:r>
      <w:bookmarkEnd w:id="2"/>
      <w:bookmarkEnd w:id="3"/>
    </w:p>
    <w:p w:rsidR="00ED632F" w:rsidRDefault="008F52A2" w:rsidP="00ED632F">
      <w:pPr/>
      <w:r>
        <w:t>This section reviews the four bodies of literature that this project builds upon: computational pathology and whole-slide image (WSI) processing, foundation models for histopathology, vision-language models for medical imaging, and spatial grounding in image captioning. The discussion is concluded with a summary of the specific gap that PathoLens-VLM addresses.</w:t>
      </w:r>
      <w:bookmarkStart w:id="4" w:name="_Toc166320859"/>
    </w:p>
    <w:p w:rsidR="00ED632F" w:rsidRDefault="008F52A2" w:rsidP="00ED632F">
      <w:pPr>
        <w:pStyle w:val="Heading2"/>
      </w:pPr>
      <w:bookmarkStart w:id="4" w:name="_Toc166320859"/>
      <w:r>
        <w:t>Computational Pathology and WSI Processing</w:t>
      </w:r>
    </w:p>
    <w:p w:rsidR="00ED632F" w:rsidRDefault="008F52A2" w:rsidP="00ED632F">
      <w:pPr/>
      <w:bookmarkStart w:id="4" w:name="_Toc166320859"/>
      <w:r>
        <w:t>A WSI is produced by a scanner that captures a tissue section at a microscope magnification of 20× or 40× and assembles the resulting tiles into a single pyramidal image, typically stored in the SVS or TIFF format. Even at moderate magnification a single slide occupies 1–3 GB on disk and contains 10⁸–10⁹ informative pixels. Direct training of a neural network on such an image is computationally infeasible; the field has therefore converged on a two-stage pipeline in which (i) the slide is divided into a grid of smaller tiles (patches) of around 224 × 224 to 448 × 448 pixels and (ii) a patch-level encoder produces a low-dimensional embedding for each tile.</w:t>
      </w:r>
    </w:p>
    <w:p w:rsidR="00ED632F" w:rsidRDefault="008F52A2" w:rsidP="00ED632F">
      <w:pPr/>
      <w:bookmarkStart w:id="4" w:name="_Toc166320859"/>
      <w:r>
        <w:t>The dominant aggregation strategy for the resulting bag of patch embeddings is Multiple-Instance Learning (MIL), originally proposed for binary slide-level classification [9]. Attention-based MIL approaches such as ABMIL and CLAM learn a weighted average over patches and have become the de facto baseline for slide-level classification on TCGA cohorts. PathoLens-VLM departs from this tradition in that the aggregation is performed by a Transformer language model rather than a learned pooling operation, which exposes per-patch attention weights that can be supervised directly.</w:t>
      </w:r>
    </w:p>
    <w:p w:rsidR="00ED632F" w:rsidRDefault="008F52A2" w:rsidP="00ED632F">
      <w:pPr>
        <w:pStyle w:val="Heading2"/>
      </w:pPr>
      <w:bookmarkStart w:id="4" w:name="_Toc166320859"/>
      <w:r>
        <w:t>Foundation Models for Histopathology</w:t>
      </w:r>
    </w:p>
    <w:p w:rsidR="00ED632F" w:rsidRDefault="008F52A2" w:rsidP="00ED632F">
      <w:pPr/>
      <w:bookmarkStart w:id="4" w:name="_Toc166320859"/>
      <w:r>
        <w:t>Since 2023, several large-scale self-supervised patch encoders have been released that have substantially improved downstream performance across histopathology tasks. CONCH [10] and its successor CONCHv1.5 [5] are ViT-L vision encoders pretrained on 1.17 million histology image-caption pairs with a contrastive objective; CONCHv1.5 is vision-only, while the original CONCH v1 retains a shared vision-text embedding space that can be used for zero-shot cross-modal retrieval. TITAN [11] (Mahmood Lab, 2024) is a slide-level Transformer that consumes CONCHv1.5 patch features and produces a small set of slide tokens via hierarchical attention, designed primarily for slide-level retrieval and classification.</w:t>
      </w:r>
    </w:p>
    <w:p w:rsidR="00ED632F" w:rsidRDefault="008F52A2" w:rsidP="00ED632F">
      <w:pPr/>
      <w:bookmarkStart w:id="4" w:name="_Toc166320859"/>
      <w:r>
        <w:t>These models are released under research-only licences via the HuggingFace Hub with institutional gating, and have rapidly become the de facto backbones for downstream computational-pathology research. In PathoLens-VLM, CONCHv1.5 patch embeddings serve as the LLM vision tokens, and CONCH v1 is used separately for cross-modal text-to-patch similarity to construct the pseudo ground-truth grounding signal. TITAN is precomputed and stored for future ablation but is not part of the current training loop, for reasons explained in Section 4.</w:t>
      </w:r>
    </w:p>
    <w:p w:rsidR="00ED632F" w:rsidRDefault="008F52A2" w:rsidP="00ED632F">
      <w:pPr>
        <w:pStyle w:val="Heading2"/>
      </w:pPr>
      <w:bookmarkStart w:id="4" w:name="_Toc166320859"/>
      <w:r>
        <w:t>Vision-Language Models for Medical Imaging</w:t>
      </w:r>
    </w:p>
    <w:p w:rsidR="00ED632F" w:rsidRDefault="008F52A2" w:rsidP="00ED632F">
      <w:pPr/>
      <w:bookmarkStart w:id="4" w:name="_Toc166320859"/>
      <w:r>
        <w:t>Vision-language models combine a vision encoder with an autoregressive language model through a learned projection. The LLaVA family [12] popularised the simple recipe of (i) a frozen vision encoder, (ii) a small projection layer (originally a single linear matrix; later a two-layer multilayer perceptron) and (iii) a language model fine-tuned on instruction-style examples in which image embeddings are prepended to the text prompt. LLaVA demonstrated that the projection layer alone, with only a few million trainable parameters, is sufficient to bridge a strong vision encoder to a strong language model.</w:t>
      </w:r>
    </w:p>
    <w:p w:rsidR="00ED632F" w:rsidRDefault="008F52A2" w:rsidP="00ED632F">
      <w:pPr/>
      <w:bookmarkStart w:id="4" w:name="_Toc166320859"/>
      <w:r>
        <w:t>PathChat [1] adapted this recipe to pathology by fine-tuning on GPT-4-generated VQA pairs over histology images; SlideChat [2] scaled it to whole slides by pooling many patch embeddings before passing them to the language model; and Quilt-LLaVA [3] trained on a one-million-pair pathology image-caption dataset assembled from public lecture videos. All three systems produce free-form text and report respectable BLEU and ROUGE numbers, but none of them supervises the model’s attention or provides per-sentence spatial grounding.</w:t>
      </w:r>
    </w:p>
    <w:p w:rsidR="00ED632F" w:rsidRDefault="008F52A2" w:rsidP="00ED632F">
      <w:pPr>
        <w:pStyle w:val="Heading2"/>
      </w:pPr>
      <w:bookmarkStart w:id="4" w:name="_Toc166320859"/>
      <w:r>
        <w:t>Spatial Grounding in Image Captioning</w:t>
      </w:r>
    </w:p>
    <w:p w:rsidR="00ED632F" w:rsidRDefault="008F52A2" w:rsidP="00ED632F">
      <w:pPr/>
      <w:bookmarkStart w:id="4" w:name="_Toc166320859"/>
      <w:r>
        <w:t>Spatial grounding in image captioning refers to the property that each generated phrase or sentence can be traced back to a specific image region that supports it. In the general domain, GLIP [13] and GroundingDINO [14] perform grounded object detection with free-form text queries, and dense-captioning systems such as the GRIT [15] benchmark provide phrase-level region annotations. In the medical domain, MedGround [4] adapts the GLIP approach to chest X-rays, aligning each sentence in the radiology report with a bounding box on the image. MedGround uses MS-CXR phrase-grounding annotations, which exist for radiology but, to the best of our knowledge, have no equivalent in histopathology.</w:t>
      </w:r>
    </w:p>
    <w:p w:rsidR="00ED632F" w:rsidRDefault="008F52A2" w:rsidP="00ED632F">
      <w:pPr/>
      <w:bookmarkStart w:id="4" w:name="_Toc166320859"/>
      <w:r>
        <w:t>A closely related work is the Direct Visual Grounding (DVG) paper [16] of 2025, which introduces a KL-divergence attention loss to supervise the text-to-vision attention of an autoregressive captioning model. PathoLens-VLM adopts the same loss formulation and applies it for the first time at the whole-slide scale.</w:t>
      </w:r>
    </w:p>
    <w:p w:rsidR="00ED632F" w:rsidRDefault="008F52A2" w:rsidP="00ED632F">
      <w:pPr>
        <w:pStyle w:val="Heading2"/>
      </w:pPr>
      <w:bookmarkStart w:id="4" w:name="_Toc166320859"/>
      <w:r>
        <w:t>Datasets and Annotations Used</w:t>
      </w:r>
    </w:p>
    <w:p w:rsidR="00ED632F" w:rsidRDefault="008F52A2" w:rsidP="00ED632F">
      <w:pPr/>
      <w:bookmarkStart w:id="4" w:name="_Toc166320859"/>
      <w:r>
        <w:t>Three public datasets underpin the project. TCGA-BRCA (The Cancer Genome Atlas, breast invasive carcinoma cohort) provides 1,098 WSI cases together with anonymised pathology reports. BCSS [8] (Breast Cancer Semantic Segmentation, Amgad et al. 2019) is a CC0-licensed dataset of 151 TCGA-BRCA slides for which expert pathologists have annotated 22 tissue classes at the pixel level inside regions of interest. SlideInstruction is the instruction-tuning dataset accompanying SlideChat [2], containing approximately 4,200 WSI-caption pairs and 176,000 visual question answering pairs generated by GPT-4 from the TCGA pathology reports. The fullscale training pool used in this project is the intersection of these three sources together with successful downloads from the Genomic Data Commons, totalling 50 slides.</w:t>
      </w:r>
    </w:p>
    <w:p w:rsidR="00ED632F" w:rsidRDefault="008F52A2" w:rsidP="00ED632F">
      <w:pPr>
        <w:pStyle w:val="Heading2"/>
      </w:pPr>
      <w:bookmarkStart w:id="4" w:name="_Toc166320859"/>
      <w:r>
        <w:t>Identified Gap</w:t>
      </w:r>
    </w:p>
    <w:p w:rsidR="00ED632F" w:rsidRDefault="008F52A2" w:rsidP="00ED632F">
      <w:pPr/>
      <w:bookmarkStart w:id="4" w:name="_Toc166320859"/>
      <w:r>
        <w:t>Existing pathology VLMs produce plausible reports but provide no spatial grounding. Existing pathology grounding work targets only binary tumour classification (CAMELYON16-style pointing game) rather than free-form multi-sentence reports. Existing grounded captioning research (DVG, MedGround) operates on natural images or chest X-rays at one to two orders of magnitude lower spatial scale than a WSI. The combination addressed here — a grounded, free-form, multi-sentence report generator operating at the whole-slide scale — has no direct published precedent that we are aware of.</w:t>
      </w:r>
    </w:p>
    <w:p w:rsidR="00ED632F" w:rsidRDefault="00ED632F" w:rsidP="00ED632F"/>
    <w:p w:rsidR="00ED632F" w:rsidRDefault="000C3C3C" w:rsidP="00ED632F">
      <w:pPr>
        <w:pStyle w:val="Heading1"/>
      </w:pPr>
      <w:bookmarkStart w:id="5" w:name="_Toc166838323"/>
      <w:r>
        <w:lastRenderedPageBreak/>
        <w:t>SYSTEM REQUIREMENTS</w:t>
      </w:r>
      <w:bookmarkEnd w:id="5"/>
    </w:p>
    <w:p w:rsidR="00ED632F" w:rsidRDefault="000C3C3C" w:rsidP="00ED632F">
      <w:pPr/>
      <w:bookmarkStart w:id="5" w:name="_Toc166838323"/>
      <w:bookmarkEnd w:id="5"/>
      <w:r>
        <w:t>This section enumerates the system’s design constraints, its functional and non-functional requirements, and the evaluation criteria used to verify that those requirements are met.</w:t>
      </w:r>
    </w:p>
    <w:p w:rsidR="000C3C3C" w:rsidRDefault="000C3C3C" w:rsidP="00ED632F">
      <w:pPr>
        <w:pStyle w:val="Heading2"/>
      </w:pPr>
      <w:bookmarkStart w:id="6" w:name="_Toc166838324"/>
      <w:r>
        <w:t>Design Constraints and Relevant Engineering Standards</w:t>
      </w:r>
      <w:bookmarkEnd w:id="6"/>
    </w:p>
    <w:p w:rsidR="000C3C3C" w:rsidRDefault="000C3C3C" w:rsidP="00ED632F">
      <w:pPr/>
      <w:bookmarkStart w:id="6" w:name="_Toc166838324"/>
      <w:bookmarkEnd w:id="6"/>
      <w:r>
        <w:t>The system is subject to four classes of design constraints.</w:t>
      </w:r>
    </w:p>
    <w:p w:rsidR="000C3C3C" w:rsidRDefault="000C3C3C" w:rsidP="00ED632F">
      <w:pPr/>
      <w:bookmarkStart w:id="6" w:name="_Toc166838324"/>
      <w:bookmarkEnd w:id="6"/>
      <w:r>
        <w:t>Hardware constraints. The training loop must fit within a single RunPod RTX A6000 GPU with 48 GB of VRAM, which dictates several downstream choices: the language model is loaded in 4-bit NF4 quantisation via bitsandbytes; gradient checkpointing is enabled; the batch size is fixed at one slide with gradient accumulation over four steps; and only adapter and LoRA parameters are kept trainable. The local development environment is a macOS laptop with no CUDA support, so all GPU-bound code paths must remain test-runnable on CPU through mock LLM substitution.</w:t>
      </w:r>
    </w:p>
    <w:p w:rsidR="000C3C3C" w:rsidRDefault="000C3C3C" w:rsidP="00ED632F">
      <w:pPr/>
      <w:bookmarkStart w:id="6" w:name="_Toc166838324"/>
      <w:bookmarkEnd w:id="6"/>
      <w:r>
        <w:t>Data licensing constraints. TCGA-BRCA is fully anonymised and public under the National Institutes of Health policy. BCSS is released under CC0, the most permissive licence available, and is downloaded from the Grand Challenge Girder server without authentication. CONCHv1.5, TITAN and Llama-3.2-3B-Instruct are gated on HuggingFace and require institutional access; the associated tokens are stored in a local .env file that is git-ignored. No protected health information (PHI) is processed at any stage of the pipeline.</w:t>
      </w:r>
    </w:p>
    <w:p w:rsidR="000C3C3C" w:rsidRDefault="000C3C3C" w:rsidP="00ED632F">
      <w:pPr/>
      <w:bookmarkStart w:id="6" w:name="_Toc166838324"/>
      <w:bookmarkEnd w:id="6"/>
      <w:r>
        <w:t>Engineering standards. The project follows the PEP 8 style guide for Python, with automated enforcement via Ruff and pre-commit hooks. Image data is exchanged through the HDF5 format with a documented per-slide schema (Section 4). The generated report can optionally be serialised as a Fast Healthcare Interoperability Resources (FHIR) DiagnosticReport resource, which is the HL7 standard for clinical documents.</w:t>
      </w:r>
    </w:p>
    <w:p w:rsidR="000C3C3C" w:rsidRDefault="000C3C3C" w:rsidP="00ED632F">
      <w:pPr/>
      <w:bookmarkStart w:id="6" w:name="_Toc166838324"/>
      <w:bookmarkEnd w:id="6"/>
      <w:r>
        <w:t>Reproducibility constraints. All experiments are driven from YAML configuration files committed to the repository, with the random seed fixed and the train / validation / test split made deterministic via a hash of the slide identifier. Every run is logged to Weights &amp; Biases together with the exact configuration, the resulting checkpoint and per-step loss values.</w:t>
      </w:r>
    </w:p>
    <w:p w:rsidR="000C3C3C" w:rsidRDefault="000C3C3C" w:rsidP="002D396D">
      <w:pPr>
        <w:pStyle w:val="Heading2"/>
      </w:pPr>
      <w:bookmarkStart w:id="7" w:name="_Toc166838325"/>
      <w:r>
        <w:t>Functional Requirements</w:t>
      </w:r>
      <w:bookmarkEnd w:id="7"/>
    </w:p>
    <w:p w:rsidR="000C3C3C" w:rsidRDefault="000C3C3C" w:rsidP="002D396D">
      <w:pPr/>
      <w:bookmarkStart w:id="7" w:name="_Toc166838325"/>
      <w:bookmarkEnd w:id="7"/>
      <w:r>
        <w:t>The system shall satisfy the following functional requirements.</w:t>
      </w:r>
    </w:p>
    <w:p w:rsidR="000C3C3C" w:rsidRDefault="000C3C3C" w:rsidP="002D396D">
      <w:pPr/>
      <w:bookmarkStart w:id="7" w:name="_Toc166838325"/>
      <w:bookmarkEnd w:id="7"/>
      <w:r>
        <w:t>FR-1. Given a precomputed CONCHv1.5 embedding tensor for a TCGA-BRCA whole-slide image and an instruction prompt, the system shall generate a free-form pathology report in fewer than 256 tokens.</w:t>
      </w:r>
    </w:p>
    <w:p w:rsidR="000C3C3C" w:rsidRDefault="000C3C3C" w:rsidP="002D396D">
      <w:pPr/>
      <w:bookmarkStart w:id="7" w:name="_Toc166838325"/>
      <w:bookmarkEnd w:id="7"/>
      <w:r>
        <w:t>FR-2. For each generated report, the system shall extract a text-to-vision attention map from a configurable layer of the language model and aggregate it on a per-sentence basis, producing a probability distribution over input patches for each sentence.</w:t>
      </w:r>
    </w:p>
    <w:p w:rsidR="000C3C3C" w:rsidRDefault="000C3C3C" w:rsidP="002D396D">
      <w:pPr/>
      <w:bookmarkStart w:id="7" w:name="_Toc166838325"/>
      <w:bookmarkEnd w:id="7"/>
      <w:r>
        <w:t>FR-3. The system shall provide a training mode in which a KL-divergence grounding loss compares the per-sentence attention distribution against either a BCSS-derived ground-truth or a CONCH-v1 pseudo-ground-truth, and a faithfulness regulariser penalises the entropy of the attention distribution.</w:t>
      </w:r>
    </w:p>
    <w:p w:rsidR="000C3C3C" w:rsidRDefault="000C3C3C" w:rsidP="002D396D">
      <w:pPr/>
      <w:bookmarkStart w:id="7" w:name="_Toc166838325"/>
      <w:bookmarkEnd w:id="7"/>
      <w:r>
        <w:t>FR-4. The system shall provide an evaluation mode that computes, on a held-out test set, BLEU-4 and ROUGE-L for the generated report, the BCSS pointing-game accuracy at K = 1, 5, 10 and 20, the top-K attention mass and the normalised Shannon entropy of the attention distribution.</w:t>
      </w:r>
    </w:p>
    <w:p w:rsidR="000C3C3C" w:rsidRDefault="000C3C3C" w:rsidP="002D396D">
      <w:pPr/>
      <w:bookmarkStart w:id="7" w:name="_Toc166838325"/>
      <w:bookmarkEnd w:id="7"/>
      <w:r>
        <w:t>FR-5. The system shall expose a Streamlit-based browser application that, for a slide selected from a precomputed cache, generates the report, overlays the per-sentence attention heatmap on the slide thumbnail and exports a FHIR DiagnosticReport JSON document.</w:t>
      </w:r>
    </w:p>
    <w:p w:rsidR="000C3C3C" w:rsidRDefault="000C3C3C" w:rsidP="00ED632F">
      <w:pPr>
        <w:pStyle w:val="Heading2"/>
      </w:pPr>
      <w:bookmarkStart w:id="8" w:name="_Toc166838326"/>
      <w:r>
        <w:t>Non-Functional Requirements</w:t>
      </w:r>
      <w:bookmarkEnd w:id="8"/>
    </w:p>
    <w:p w:rsidR="000C3C3C" w:rsidRDefault="000C3C3C" w:rsidP="00ED632F">
      <w:pPr/>
      <w:bookmarkStart w:id="8" w:name="_Toc166838326"/>
      <w:bookmarkEnd w:id="8"/>
      <w:r>
        <w:t>The system shall satisfy the following non-functional requirements.</w:t>
      </w:r>
    </w:p>
    <w:p w:rsidR="000C3C3C" w:rsidRDefault="000C3C3C" w:rsidP="00ED632F">
      <w:pPr/>
      <w:bookmarkStart w:id="8" w:name="_Toc166838326"/>
      <w:bookmarkEnd w:id="8"/>
      <w:r>
        <w:t>NFR-1 (Reproducibility). Any experiment shall be exactly reproducible from the configuration file, the dataset and the fixed random seed; the resulting checkpoint, log file and evaluation report shall be deterministic.</w:t>
      </w:r>
    </w:p>
    <w:p w:rsidR="000C3C3C" w:rsidRDefault="000C3C3C" w:rsidP="00ED632F">
      <w:pPr/>
      <w:bookmarkStart w:id="8" w:name="_Toc166838326"/>
      <w:bookmarkEnd w:id="8"/>
      <w:r>
        <w:t>NFR-2 (Resource usage). Training shall complete in fewer than 12 hours on a single RTX A6000 GPU at the fullscale configuration (50 slides, 8 epochs); inference for a single slide with up to 1,024 patches shall complete in fewer than 10 seconds on the same hardware.</w:t>
      </w:r>
    </w:p>
    <w:p w:rsidR="000C3C3C" w:rsidRDefault="000C3C3C" w:rsidP="00ED632F">
      <w:pPr/>
      <w:bookmarkStart w:id="8" w:name="_Toc166838326"/>
      <w:bookmarkEnd w:id="8"/>
      <w:r>
        <w:t>NFR-3 (Maintainability). The codebase shall pass a continuous integration suite of unit and integration tests covering the loss functions, the grounding-target router, the training step and the evaluation metrics on every commit. The smoke test suite shall not require GPU access or downloaded model weights.</w:t>
      </w:r>
    </w:p>
    <w:p w:rsidR="000C3C3C" w:rsidRDefault="000C3C3C" w:rsidP="00ED632F">
      <w:pPr/>
      <w:bookmarkStart w:id="8" w:name="_Toc166838326"/>
      <w:bookmarkEnd w:id="8"/>
      <w:r>
        <w:t>NFR-4 (Auditability). Every training run shall be logged to Weights &amp; Biases with the configuration hash, the dataset split, the model architecture and the per-step loss values, and a human-readable Markdown report shall be generated automatically after each run.</w:t>
      </w:r>
    </w:p>
    <w:p w:rsidR="000C3C3C" w:rsidRDefault="000C3C3C" w:rsidP="00ED632F">
      <w:pPr/>
      <w:bookmarkStart w:id="8" w:name="_Toc166838326"/>
      <w:bookmarkEnd w:id="8"/>
      <w:r>
        <w:t>NFR-5 (Privacy and compliance). No protected health information shall be processed; raw WSI files shall remain on RunPod and shall not be synchronised to the local development machine; only embeddings and metadata shall cross the local–cloud boundary.</w:t>
      </w:r>
    </w:p>
    <w:p w:rsidR="000C3C3C" w:rsidRPr="000C3C3C" w:rsidRDefault="000C3C3C" w:rsidP="00ED632F">
      <w:pPr>
        <w:pStyle w:val="Heading2"/>
      </w:pPr>
      <w:bookmarkStart w:id="9" w:name="_Toc166838327"/>
      <w:r>
        <w:t xml:space="preserve">Evaluation </w:t>
      </w:r>
      <w:bookmarkEnd w:id="9"/>
      <w:r w:rsidR="001027E5">
        <w:t>Methodology</w:t>
      </w:r>
    </w:p>
    <w:p w:rsidR="000C3C3C" w:rsidRPr="000C3C3C" w:rsidRDefault="000C3C3C" w:rsidP="00ED632F">
      <w:pPr/>
      <w:bookmarkStart w:id="9" w:name="_Toc166838327"/>
      <w:bookmarkEnd w:id="9"/>
      <w:r>
        <w:t>Evaluation is organised around five complementary metrics. Each metric targets a distinct aspect of system quality and is computed on a held-out test set of seven slides that are disjoint from training. The full list of metrics and their semantics is summarised in Table 3-1.</w:t>
      </w:r>
    </w:p>
    <w:p w:rsidR="000C3C3C" w:rsidRPr="000C3C3C" w:rsidRDefault="000C3C3C" w:rsidP="00ED632F">
      <w:pPr/>
      <w:bookmarkStart w:id="9" w:name="_Toc166838327"/>
      <w:bookmarkEnd w:id="9"/>
      <w:r>
        <w:t>Caption quality is measured by corpus BLEU-4 and ROUGE-L against the SlideInstruction reference captions, using the implementations in the HuggingFace evaluate library. Spatial grounding is measured by the BCSS pointing-game accuracy at K, defined as the fraction of concept-bearing sentences for which at least one of the K highest-attention patches lies inside the corresponding BCSS class mask. The uniform-random baseline is the expected hit rate of K patches chosen uniformly at random from the slide, and provides the reference against which the lift is reported.</w:t>
      </w:r>
    </w:p>
    <w:p w:rsidR="000C3C3C" w:rsidRPr="000C3C3C" w:rsidRDefault="000C3C3C" w:rsidP="00ED632F">
      <w:pPr/>
      <w:bookmarkStart w:id="9" w:name="_Toc166838327"/>
      <w:bookmarkEnd w:id="9"/>
      <w:r>
        <w:t>Attention concentration is measured by the top-10 % attention mass and the normalised Shannon entropy of the per-sentence attention distribution. Both are unsupervised and capture whether the model focuses its attention on a small fraction of the slide, regardless of whether that fraction is the semantically correct one. Concept recall and faithfulness intervention testing are listed in the same table; their implementations are scaffolded in the repository, and their results are reported when produced.</w:t>
      </w:r>
    </w:p>
    <w:p w:rsidR="000C3C3C" w:rsidRPr="000C3C3C" w:rsidRDefault="000C3C3C" w:rsidP="00ED632F">
      <w:pPr>
        <w:jc w:val="center"/>
      </w:pPr>
      <w:bookmarkStart w:id="9" w:name="_Toc166838327"/>
      <w:bookmarkEnd w:id="9"/>
      <w:r>
        <w:rPr>
          <w:i/>
          <w:sz w:val="22"/>
        </w:rPr>
        <w:t>Table 3-1: Evaluation metrics and their associated ground truth.</w:t>
      </w:r>
    </w:p>
    <w:p w:rsidR="000C3C3C" w:rsidRPr="000C3C3C" w:rsidRDefault="000C3C3C" w:rsidP="00ED632F">
      <w:pPr>
        <w:jc w:val="center"/>
      </w:pPr>
      <w:bookmarkStart w:id="9" w:name="_Toc166838327"/>
      <w:bookmarkEnd w:id="9"/>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vAlign w:val="center"/>
          </w:tcPr>
          <w:p>
            <w:pPr>
              <w:jc w:val="center"/>
            </w:pPr>
            <w:r/>
            <w:r>
              <w:rPr>
                <w:b/>
              </w:rPr>
              <w:t>Metric</w:t>
            </w:r>
          </w:p>
        </w:tc>
        <w:tc>
          <w:tcPr>
            <w:tcW w:type="dxa" w:w="2351"/>
            <w:vAlign w:val="center"/>
          </w:tcPr>
          <w:p>
            <w:pPr>
              <w:jc w:val="center"/>
            </w:pPr>
            <w:r/>
            <w:r>
              <w:rPr>
                <w:b/>
              </w:rPr>
              <w:t>Implementation</w:t>
            </w:r>
          </w:p>
        </w:tc>
        <w:tc>
          <w:tcPr>
            <w:tcW w:type="dxa" w:w="2351"/>
            <w:vAlign w:val="center"/>
          </w:tcPr>
          <w:p>
            <w:pPr>
              <w:jc w:val="center"/>
            </w:pPr>
            <w:r/>
            <w:r>
              <w:rPr>
                <w:b/>
              </w:rPr>
              <w:t>Ground truth</w:t>
            </w:r>
          </w:p>
        </w:tc>
        <w:tc>
          <w:tcPr>
            <w:tcW w:type="dxa" w:w="2351"/>
            <w:vAlign w:val="center"/>
          </w:tcPr>
          <w:p>
            <w:pPr>
              <w:jc w:val="center"/>
            </w:pPr>
            <w:r/>
            <w:r>
              <w:rPr>
                <w:b/>
              </w:rPr>
              <w:t>What it measures</w:t>
            </w:r>
          </w:p>
        </w:tc>
      </w:tr>
      <w:tr>
        <w:tc>
          <w:tcPr>
            <w:tcW w:type="dxa" w:w="2351"/>
          </w:tcPr>
          <w:p>
            <w:pPr>
              <w:jc w:val="center"/>
            </w:pPr>
            <w:r/>
            <w:r>
              <w:t>BLEU-4</w:t>
            </w:r>
          </w:p>
        </w:tc>
        <w:tc>
          <w:tcPr>
            <w:tcW w:type="dxa" w:w="2351"/>
          </w:tcPr>
          <w:p>
            <w:pPr>
              <w:jc w:val="center"/>
            </w:pPr>
            <w:r/>
            <w:r>
              <w:t>HF evaluate</w:t>
            </w:r>
          </w:p>
        </w:tc>
        <w:tc>
          <w:tcPr>
            <w:tcW w:type="dxa" w:w="2351"/>
          </w:tcPr>
          <w:p>
            <w:pPr>
              <w:jc w:val="center"/>
            </w:pPr>
            <w:r/>
            <w:r>
              <w:t>SlideInstruction captions</w:t>
            </w:r>
          </w:p>
        </w:tc>
        <w:tc>
          <w:tcPr>
            <w:tcW w:type="dxa" w:w="2351"/>
          </w:tcPr>
          <w:p>
            <w:pPr>
              <w:jc w:val="center"/>
            </w:pPr>
            <w:r/>
            <w:r>
              <w:t>n-gram precision</w:t>
            </w:r>
          </w:p>
        </w:tc>
      </w:tr>
      <w:tr>
        <w:tc>
          <w:tcPr>
            <w:tcW w:type="dxa" w:w="2351"/>
          </w:tcPr>
          <w:p>
            <w:pPr>
              <w:jc w:val="center"/>
            </w:pPr>
            <w:r/>
            <w:r>
              <w:t>ROUGE-L</w:t>
            </w:r>
          </w:p>
        </w:tc>
        <w:tc>
          <w:tcPr>
            <w:tcW w:type="dxa" w:w="2351"/>
          </w:tcPr>
          <w:p>
            <w:pPr>
              <w:jc w:val="center"/>
            </w:pPr>
            <w:r/>
            <w:r>
              <w:t>HF evaluate</w:t>
            </w:r>
          </w:p>
        </w:tc>
        <w:tc>
          <w:tcPr>
            <w:tcW w:type="dxa" w:w="2351"/>
          </w:tcPr>
          <w:p>
            <w:pPr>
              <w:jc w:val="center"/>
            </w:pPr>
            <w:r/>
            <w:r>
              <w:t>SlideInstruction captions</w:t>
            </w:r>
          </w:p>
        </w:tc>
        <w:tc>
          <w:tcPr>
            <w:tcW w:type="dxa" w:w="2351"/>
          </w:tcPr>
          <w:p>
            <w:pPr>
              <w:jc w:val="center"/>
            </w:pPr>
            <w:r/>
            <w:r>
              <w:t>longest common subseq.</w:t>
            </w:r>
          </w:p>
        </w:tc>
      </w:tr>
      <w:tr>
        <w:tc>
          <w:tcPr>
            <w:tcW w:type="dxa" w:w="2351"/>
          </w:tcPr>
          <w:p>
            <w:pPr>
              <w:jc w:val="center"/>
            </w:pPr>
            <w:r/>
            <w:r>
              <w:t>PG@K (BCSS)</w:t>
            </w:r>
          </w:p>
        </w:tc>
        <w:tc>
          <w:tcPr>
            <w:tcW w:type="dxa" w:w="2351"/>
          </w:tcPr>
          <w:p>
            <w:pPr>
              <w:jc w:val="center"/>
            </w:pPr>
            <w:r/>
            <w:r>
              <w:t>bcss_pointing_game.py</w:t>
            </w:r>
          </w:p>
        </w:tc>
        <w:tc>
          <w:tcPr>
            <w:tcW w:type="dxa" w:w="2351"/>
          </w:tcPr>
          <w:p>
            <w:pPr>
              <w:jc w:val="center"/>
            </w:pPr>
            <w:r/>
            <w:r>
              <w:t>BCSS pixel masks</w:t>
            </w:r>
          </w:p>
        </w:tc>
        <w:tc>
          <w:tcPr>
            <w:tcW w:type="dxa" w:w="2351"/>
          </w:tcPr>
          <w:p>
            <w:pPr>
              <w:jc w:val="center"/>
            </w:pPr>
            <w:r/>
            <w:r>
              <w:t>spatial grounding</w:t>
            </w:r>
          </w:p>
        </w:tc>
      </w:tr>
      <w:tr>
        <w:tc>
          <w:tcPr>
            <w:tcW w:type="dxa" w:w="2351"/>
          </w:tcPr>
          <w:p>
            <w:pPr>
              <w:jc w:val="center"/>
            </w:pPr>
            <w:r/>
            <w:r>
              <w:t>Top-K mass / entropy</w:t>
            </w:r>
          </w:p>
        </w:tc>
        <w:tc>
          <w:tcPr>
            <w:tcW w:type="dxa" w:w="2351"/>
          </w:tcPr>
          <w:p>
            <w:pPr>
              <w:jc w:val="center"/>
            </w:pPr>
            <w:r/>
            <w:r>
              <w:t>concentration_metric.py</w:t>
            </w:r>
          </w:p>
        </w:tc>
        <w:tc>
          <w:tcPr>
            <w:tcW w:type="dxa" w:w="2351"/>
          </w:tcPr>
          <w:p>
            <w:pPr>
              <w:jc w:val="center"/>
            </w:pPr>
            <w:r/>
            <w:r>
              <w:t>—</w:t>
            </w:r>
          </w:p>
        </w:tc>
        <w:tc>
          <w:tcPr>
            <w:tcW w:type="dxa" w:w="2351"/>
          </w:tcPr>
          <w:p>
            <w:pPr>
              <w:jc w:val="center"/>
            </w:pPr>
            <w:r/>
            <w:r>
              <w:t>attention concentration</w:t>
            </w:r>
          </w:p>
        </w:tc>
      </w:tr>
      <w:tr>
        <w:tc>
          <w:tcPr>
            <w:tcW w:type="dxa" w:w="2351"/>
          </w:tcPr>
          <w:p>
            <w:pPr>
              <w:jc w:val="center"/>
            </w:pPr>
            <w:r/>
            <w:r>
              <w:t>Concept recall (P/R/F1)</w:t>
            </w:r>
          </w:p>
        </w:tc>
        <w:tc>
          <w:tcPr>
            <w:tcW w:type="dxa" w:w="2351"/>
          </w:tcPr>
          <w:p>
            <w:pPr>
              <w:jc w:val="center"/>
            </w:pPr>
            <w:r/>
            <w:r>
              <w:t>concept_f1.py</w:t>
            </w:r>
          </w:p>
        </w:tc>
        <w:tc>
          <w:tcPr>
            <w:tcW w:type="dxa" w:w="2351"/>
          </w:tcPr>
          <w:p>
            <w:pPr>
              <w:jc w:val="center"/>
            </w:pPr>
            <w:r/>
            <w:r>
              <w:t>BCSS class coverage</w:t>
            </w:r>
          </w:p>
        </w:tc>
        <w:tc>
          <w:tcPr>
            <w:tcW w:type="dxa" w:w="2351"/>
          </w:tcPr>
          <w:p>
            <w:pPr>
              <w:jc w:val="center"/>
            </w:pPr>
            <w:r/>
            <w:r>
              <w:t>clinical coverage</w:t>
            </w:r>
          </w:p>
        </w:tc>
      </w:tr>
      <w:tr>
        <w:tc>
          <w:tcPr>
            <w:tcW w:type="dxa" w:w="2351"/>
          </w:tcPr>
          <w:p>
            <w:pPr>
              <w:jc w:val="center"/>
            </w:pPr>
            <w:r/>
            <w:r>
              <w:t>Intervention test</w:t>
            </w:r>
          </w:p>
        </w:tc>
        <w:tc>
          <w:tcPr>
            <w:tcW w:type="dxa" w:w="2351"/>
          </w:tcPr>
          <w:p>
            <w:pPr>
              <w:jc w:val="center"/>
            </w:pPr>
            <w:r/>
            <w:r>
              <w:t>intervention_test.py</w:t>
            </w:r>
          </w:p>
        </w:tc>
        <w:tc>
          <w:tcPr>
            <w:tcW w:type="dxa" w:w="2351"/>
          </w:tcPr>
          <w:p>
            <w:pPr>
              <w:jc w:val="center"/>
            </w:pPr>
            <w:r/>
            <w:r>
              <w:t>BLEU drop after mask</w:t>
            </w:r>
          </w:p>
        </w:tc>
        <w:tc>
          <w:tcPr>
            <w:tcW w:type="dxa" w:w="2351"/>
          </w:tcPr>
          <w:p>
            <w:pPr>
              <w:jc w:val="center"/>
            </w:pPr>
            <w:r/>
            <w:r>
              <w:t>faithfulness</w:t>
            </w:r>
          </w:p>
        </w:tc>
      </w:tr>
    </w:tbl>
    <w:p w:rsidR="004016F0" w:rsidRPr="00CD1C20" w:rsidRDefault="009A78A3" w:rsidP="00ED632F">
      <w:pPr>
        <w:pStyle w:val="Heading1"/>
      </w:pPr>
      <w:bookmarkStart w:id="10" w:name="_Toc166838328"/>
      <w:r w:rsidRPr="00CD1C20">
        <w:lastRenderedPageBreak/>
        <w:t>SYSTEM ARCHITECTUR</w:t>
      </w:r>
      <w:r w:rsidR="00D23FB0" w:rsidRPr="00CD1C20">
        <w:t>E</w:t>
      </w:r>
      <w:bookmarkEnd w:id="4"/>
      <w:bookmarkEnd w:id="10"/>
    </w:p>
    <w:p w:rsidR="00CD1C20" w:rsidRPr="00CD1C20" w:rsidRDefault="00CD1C20" w:rsidP="00CD1C20">
      <w:pPr/>
      <w:r>
        <w:t>PathoLens-VLM is a linear inference pipeline. A WSI is tiled into patches; each patch is encoded as a 768-dimensional embedding; the embeddings are projected into the hidden space of the language model by a single linear adapter; the language model generates a structured report autoregressively; and a per-sentence attention map over the input patches is extracted from a configurable layer. Figure 4-1 shows the full pipeline.</w:t>
      </w:r>
    </w:p>
    <w:p w:rsidR="00CD1C20" w:rsidRPr="00CD1C20" w:rsidRDefault="00CD1C20" w:rsidP="00CD1C20">
      <w:pPr>
        <w:jc w:val="center"/>
      </w:pPr>
      <w:r>
        <w:rPr>
          <w:i/>
        </w:rPr>
        <w:t>[Figure placeholder — insert image here in Word: End-to-end PathoLens-VLM pipeline. Vision components (CONCHv1.5 patch encoder) and the Llama-3.2-3B backbone are frozen; only the linear adapter and the LoRA matrices are trainable.]</w:t>
      </w:r>
    </w:p>
    <w:p w:rsidR="00CD1C20" w:rsidRPr="00CD1C20" w:rsidRDefault="00CD1C20" w:rsidP="00CD1C20">
      <w:pPr>
        <w:jc w:val="center"/>
      </w:pPr>
      <w:r>
        <w:rPr>
          <w:i/>
          <w:sz w:val="22"/>
        </w:rPr>
        <w:t>Figure 4-1: End-to-end PathoLens-VLM pipeline. Vision components (CONCHv1.5 patch encoder) and the Llama-3.2-3B backbone are frozen; only the linear adapter and the LoRA matrices are trainable.</w:t>
      </w:r>
    </w:p>
    <w:p w:rsidR="00CD1C20" w:rsidRPr="00CD1C20" w:rsidRDefault="00CD1C20" w:rsidP="00CD1C20">
      <w:pPr>
        <w:pStyle w:val="Heading2"/>
        <w:jc w:val="center"/>
      </w:pPr>
      <w:r>
        <w:t>Data Sources and Preprocessing</w:t>
      </w:r>
    </w:p>
    <w:p w:rsidR="00CD1C20" w:rsidRPr="00CD1C20" w:rsidRDefault="00CD1C20" w:rsidP="00CD1C20">
      <w:pPr>
        <w:jc w:val="center"/>
      </w:pPr>
      <w:r>
        <w:t>The training cohort is the 50 TCGA-BRCA slides that lie in the intersection of (i) the 151 BCSS-annotated slides, (ii) the SlideInstruction caption set and (iii) successfully downloaded GDC files. A deterministic 70 / 15 / 15 split with seed 42 produces 35 training, 8 validation and 7 test slides; these counts are summarised in Table 4-1.</w:t>
      </w:r>
    </w:p>
    <w:p w:rsidR="00CD1C20" w:rsidRPr="00CD1C20" w:rsidRDefault="00CD1C20" w:rsidP="00CD1C20">
      <w:pPr>
        <w:jc w:val="center"/>
      </w:pPr>
      <w:r>
        <w:rPr>
          <w:i/>
          <w:sz w:val="22"/>
        </w:rPr>
        <w:t>Table 4-1: Fullscale dataset split (50 BCSS-overlap TCGA-BRCA slides, seed = 42).</w:t>
      </w:r>
    </w:p>
    <w:p w:rsidR="00CD1C20" w:rsidRPr="00CD1C20" w:rsidRDefault="00CD1C20" w:rsidP="00CD1C20">
      <w:pPr>
        <w:jc w:val="center"/>
      </w:pPr>
      <w:r>
        <w:t>For each slide, a tissue mask is computed from a 1.25× thumbnail via Otsu thresholding on the HSV saturation channel; if the resulting tissue fraction is below five per cent the GrandQC pretrained tissue segmentation network is invoked as a fallback. Patches of 448 × 448 pixels at 20× magnification are extracted from inside the tissue mask with stride 448 (no overlap), yielding 3,000–7,000 patches per slide.</w:t>
      </w:r>
    </w:p>
    <w:p w:rsidR="00CD1C20" w:rsidRPr="00CD1C20" w:rsidRDefault="00CD1C20" w:rsidP="00CD1C20">
      <w:pPr>
        <w:jc w:val="center"/>
      </w:pPr>
      <w:r>
        <w:t>Two patch-level encoders are then evaluated on the resulting tiles: CONCHv1.5, whose 768-dimensional embeddings are used as the language-model vision tokens, and CONCH v1, whose 512-dimensional vision-text shared embeddings are used to compute the cross-modal pseudo ground truth. The TITAN slide encoder is additionally evaluated and its output stored in the per-slide HDF5 file for future ablations, but its output is not consumed by the current training loop. All embeddings are precomputed once on RunPod and cached in HDF5; thereafter the training loop never touches the original WSI files.</w:t>
      </w:r>
    </w:p>
    <w:p w:rsidR="00CD1C20" w:rsidRPr="00CD1C20" w:rsidRDefault="00CD1C20" w:rsidP="00CD1C20">
      <w:pPr>
        <w:jc w:val="center"/>
      </w:pPr>
      <w:r>
        <w:t>Per-slide BCSS masks are derived from the original Grand Challenge ROI tiles by rasterising the pixel-level class labels onto the same patch grid and computing, for each patch and each of the four primary classes (tumor, stroma, lymphocytic infiltrate, necrosis or debris), the fraction of pixels belonging to that class. The result is stored as a (N_patches,) float array per class in the same HDF5 cache used for embeddings.</w:t>
      </w:r>
    </w:p>
    <w:p w:rsidR="00CD1C20" w:rsidRPr="00CD1C20" w:rsidRDefault="00CD1C20" w:rsidP="00CD1C20">
      <w:pPr>
        <w:pStyle w:val="Heading2"/>
        <w:jc w:val="center"/>
      </w:pPr>
      <w:r>
        <w:t>Vision Tokens: CONCHv1.5 Patches Rather Than TITAN Slide Tokens</w:t>
      </w:r>
    </w:p>
    <w:p w:rsidR="00CD1C20" w:rsidRPr="00CD1C20" w:rsidRDefault="00CD1C20" w:rsidP="00CD1C20">
      <w:pPr>
        <w:jc w:val="center"/>
      </w:pPr>
      <w:r>
        <w:t>The original plan was to use the TITAN slide encoder as the source of LLM vision tokens. TITAN consumes the N CONCHv1.5 patch embeddings and emits M slide-level tokens by hierarchical attention, where M is much smaller than N and the mapping from each slide token back to individual patches is non-trivial.</w:t>
      </w:r>
    </w:p>
    <w:p w:rsidR="00CD1C20" w:rsidRPr="00CD1C20" w:rsidRDefault="00CD1C20" w:rsidP="00CD1C20">
      <w:pPr>
        <w:jc w:val="center"/>
      </w:pPr>
      <w:r>
        <w:t>This breaks the prerequisite for supervised grounding. The grounding ground truth, whether BCSS masks or CONCH-v1 pseudo-GT, is defined at the patch level: it is a distribution over the N input patches. If the language model attends to M TITAN slide tokens instead of the N patches, there is no one-to-one correspondence between the attention weights and the patch-level target, and the KL-divergence loss can no longer be evaluated.</w:t>
      </w:r>
    </w:p>
    <w:p w:rsidR="00CD1C20" w:rsidRPr="00CD1C20" w:rsidRDefault="00CD1C20" w:rsidP="00CD1C20">
      <w:pPr>
        <w:jc w:val="center"/>
      </w:pPr>
      <w:r>
        <w:t>The resolution adopted by PathoLens-VLM is to use the CONCHv1.5 patch embeddings directly as LLM vision tokens (the same 768-dimensional space as TITAN slide tokens), capped at max_vision_tokens = 1024 with uniform stride subsampling when the slide contains more patches than that. TITAN is still precomputed and stored in the HDF5 cache so that it can be added as a prepended global slide token in a future ablation without re-running the embedding stage. Table 4-2 summarises the two options.</w:t>
      </w:r>
    </w:p>
    <w:p w:rsidR="00CD1C20" w:rsidRPr="00CD1C20" w:rsidRDefault="00CD1C20" w:rsidP="00CD1C20">
      <w:pPr>
        <w:jc w:val="center"/>
      </w:pPr>
      <w:r>
        <w:rPr>
          <w:i/>
          <w:sz w:val="22"/>
        </w:rPr>
        <w:t>Table 4-2: Comparison of candidate vision-token sources.</w:t>
      </w:r>
    </w:p>
    <w:p w:rsidR="00CD1C20" w:rsidRPr="00CD1C20" w:rsidRDefault="00CD1C20" w:rsidP="00CD1C20">
      <w:pPr>
        <w:pStyle w:val="Heading2"/>
        <w:jc w:val="center"/>
      </w:pPr>
      <w:r>
        <w:t>Adapter and Language Model</w:t>
      </w:r>
    </w:p>
    <w:p w:rsidR="00CD1C20" w:rsidRPr="00CD1C20" w:rsidRDefault="00CD1C20" w:rsidP="00CD1C20">
      <w:pPr>
        <w:jc w:val="center"/>
      </w:pPr>
      <w:r>
        <w:t>The adapter is a single linear projection from 768 (CONCHv1.5 dimension) to 3,072 (Llama-3.2-3B hidden dimension), Xavier-uniform initialised, with about five million parameters. The choice of a linear projection rather than a Q-Former or a multilayer perceptron follows the LLaVA-1.5 finding [12] that a single linear layer is competitive with more complex projectors when the vision encoder is strong.</w:t>
      </w:r>
    </w:p>
    <w:p w:rsidR="00CD1C20" w:rsidRPr="00CD1C20" w:rsidRDefault="00CD1C20" w:rsidP="00CD1C20">
      <w:pPr>
        <w:jc w:val="center"/>
      </w:pPr>
      <w:r>
        <w:t>The language model is Llama-3.2-3B-Instruct, loaded in 4-bit NF4 quantisation with bitsandbytes and frozen apart from LoRA matrices of rank 16 attached to the query, key, value and output projections of every attention block. The 3B size (rather than 7B or 8B) follows the constraint that the model, the adapter, the optimiser state and the activations must fit on a single 48 GB GPU; the LoRA rank of 16 follows the original recommendation [7] for domain adaptation. The combined LoRA budget is about ten million parameters.</w:t>
      </w:r>
    </w:p>
    <w:p w:rsidR="00CD1C20" w:rsidRPr="00CD1C20" w:rsidRDefault="00CD1C20" w:rsidP="00CD1C20">
      <w:pPr>
        <w:jc w:val="center"/>
      </w:pPr>
      <w:r>
        <w:t>The input sequence follows the LLaVA convention: the N_v adapter outputs (each of dimension 3,072) are concatenated with the tokenised instruction prompt and, during training, the reference report. Causal self-attention is applied over the full concatenated sequence. Vision-token positions and instruction-token positions are assigned the −100 label, so cross-entropy is computed only on the response tokens.</w:t>
      </w:r>
    </w:p>
    <w:p w:rsidR="00CD1C20" w:rsidRPr="00CD1C20" w:rsidRDefault="00CD1C20" w:rsidP="00CD1C20">
      <w:pPr>
        <w:pStyle w:val="Heading2"/>
        <w:jc w:val="center"/>
      </w:pPr>
      <w:r>
        <w:t>Loss Design</w:t>
      </w:r>
    </w:p>
    <w:p w:rsidR="00CD1C20" w:rsidRPr="00CD1C20" w:rsidRDefault="00CD1C20" w:rsidP="00CD1C20">
      <w:pPr>
        <w:jc w:val="center"/>
      </w:pPr>
      <w:r>
        <w:t>The training loss is a weighted sum of three terms: L_total = L_caption + λ_g · L_grounding + λ_f · L_faithfulness. L_caption is the standard cross-entropy on the response tokens. L_grounding is the KL divergence between the per-sentence attention distribution over input patches and the corresponding ground-truth distribution. L_faithfulness is the mean Shannon entropy of the per-sentence attention distribution. The hyperparameters λ_g and λ_f control the strength of the two grounding-related terms.</w:t>
      </w:r>
    </w:p>
    <w:p w:rsidR="00CD1C20" w:rsidRPr="00CD1C20" w:rsidRDefault="00CD1C20" w:rsidP="00CD1C20">
      <w:pPr>
        <w:jc w:val="center"/>
      </w:pPr>
      <w:r>
        <w:t>The grounding target distribution is constructed by a hybrid router. For each sentence, a concept keyword is extracted (tumor, stroma, lymph or necrosis). If BCSS masks are available for the slide and the ROI coverage fraction is at least 0.2, the normalised BCSS mask for the matched class becomes the target. Otherwise the system falls back to a CONCH-v1 cross-modal pseudo-target: the sentence is embedded by the CONCH-v1 text encoder, cosine similarities with every patch embedding are computed, and the result is normalised by softmax with temperature 0.1.</w:t>
      </w:r>
    </w:p>
    <w:p w:rsidR="00CD1C20" w:rsidRPr="00CD1C20" w:rsidRDefault="00CD1C20" w:rsidP="00CD1C20">
      <w:pPr>
        <w:jc w:val="center"/>
      </w:pPr>
      <w:r>
        <w:t>The per-sentence attention distribution is extracted from layer 14 of Llama-3.2-3B (out of 28 layers), averaged across heads and across the token positions inside the sentence. Layer 14 is chosen following Kang et al. [17], who report that mid-depth attention heads in LLaVA-style architectures carry the most grounding-faithful signal.</w:t>
      </w:r>
    </w:p>
    <w:p w:rsidR="00CD1C20" w:rsidRPr="00CD1C20" w:rsidRDefault="00CD1C20" w:rsidP="00CD1C20">
      <w:pPr>
        <w:pStyle w:val="Heading2"/>
        <w:jc w:val="center"/>
      </w:pPr>
      <w:r>
        <w:t>Grounding Warmup</w:t>
      </w:r>
    </w:p>
    <w:p w:rsidR="00CD1C20" w:rsidRPr="00CD1C20" w:rsidRDefault="00CD1C20" w:rsidP="00CD1C20">
      <w:pPr>
        <w:jc w:val="center"/>
      </w:pPr>
      <w:r>
        <w:t>A noisy language model produces an even noisier attention map. Preliminary experiments showed that imposing the grounding loss from epoch 0 disrupts caption training and drives the model into a degenerate uniform-attention regime. PathoLens-VLM therefore delays the grounding loss by two epochs: only the caption loss is active in the first two epochs, after which λ_g and λ_f are linearly ramped in. Table 4-3 lists the hyperparameter values used in the fullscale run.</w:t>
      </w:r>
    </w:p>
    <w:p w:rsidR="00CD1C20" w:rsidRPr="00CD1C20" w:rsidRDefault="00CD1C20" w:rsidP="00CD1C20">
      <w:pPr>
        <w:jc w:val="center"/>
      </w:pPr>
      <w:r>
        <w:rPr>
          <w:i/>
          <w:sz w:val="22"/>
        </w:rPr>
        <w:t>Table 4-3: Hyperparameters used in the published fullscale run (configs/fullscale.yaml).</w:t>
      </w:r>
    </w:p>
    <w:p w:rsidR="00CD1C20" w:rsidRPr="00CD1C20" w:rsidRDefault="00CD1C20" w:rsidP="00CD1C20">
      <w:pPr>
        <w:jc w:val="center"/>
      </w:pPr>
      <w:r/>
    </w:p>
    <w:tbl>
      <w:tblPr>
        <w:tblStyle w:val="TableGrid"/>
        <w:tblW w:type="auto" w:w="0"/>
        <w:jc w:val="center"/>
        <w:tblLook w:firstColumn="1" w:firstRow="1" w:lastColumn="0" w:lastRow="0" w:noHBand="0" w:noVBand="1" w:val="04A0"/>
      </w:tblPr>
      <w:tblGrid>
        <w:gridCol w:w="4702"/>
        <w:gridCol w:w="4702"/>
      </w:tblGrid>
      <w:tr>
        <w:tc>
          <w:tcPr>
            <w:tcW w:type="dxa" w:w="4702"/>
            <w:vAlign w:val="center"/>
          </w:tcPr>
          <w:p>
            <w:pPr>
              <w:jc w:val="center"/>
            </w:pPr>
            <w:r/>
            <w:r>
              <w:rPr>
                <w:b/>
              </w:rPr>
              <w:t>Parameter</w:t>
            </w:r>
          </w:p>
        </w:tc>
        <w:tc>
          <w:tcPr>
            <w:tcW w:type="dxa" w:w="4702"/>
            <w:vAlign w:val="center"/>
          </w:tcPr>
          <w:p>
            <w:pPr>
              <w:jc w:val="center"/>
            </w:pPr>
            <w:r/>
            <w:r>
              <w:rPr>
                <w:b/>
              </w:rPr>
              <w:t>Value</w:t>
            </w:r>
          </w:p>
        </w:tc>
      </w:tr>
      <w:tr>
        <w:tc>
          <w:tcPr>
            <w:tcW w:type="dxa" w:w="4702"/>
          </w:tcPr>
          <w:p>
            <w:pPr>
              <w:jc w:val="center"/>
            </w:pPr>
            <w:r/>
            <w:r>
              <w:t>Optimiser</w:t>
            </w:r>
          </w:p>
        </w:tc>
        <w:tc>
          <w:tcPr>
            <w:tcW w:type="dxa" w:w="4702"/>
          </w:tcPr>
          <w:p>
            <w:pPr>
              <w:jc w:val="center"/>
            </w:pPr>
            <w:r/>
            <w:r>
              <w:t>AdamW</w:t>
            </w:r>
          </w:p>
        </w:tc>
      </w:tr>
      <w:tr>
        <w:tc>
          <w:tcPr>
            <w:tcW w:type="dxa" w:w="4702"/>
          </w:tcPr>
          <w:p>
            <w:pPr>
              <w:jc w:val="center"/>
            </w:pPr>
            <w:r/>
            <w:r>
              <w:t>Learning rate (adapter)</w:t>
            </w:r>
          </w:p>
        </w:tc>
        <w:tc>
          <w:tcPr>
            <w:tcW w:type="dxa" w:w="4702"/>
          </w:tcPr>
          <w:p>
            <w:pPr>
              <w:jc w:val="center"/>
            </w:pPr>
            <w:r/>
            <w:r>
              <w:t>1.0 × 10⁻⁴</w:t>
            </w:r>
          </w:p>
        </w:tc>
      </w:tr>
      <w:tr>
        <w:tc>
          <w:tcPr>
            <w:tcW w:type="dxa" w:w="4702"/>
          </w:tcPr>
          <w:p>
            <w:pPr>
              <w:jc w:val="center"/>
            </w:pPr>
            <w:r/>
            <w:r>
              <w:t>Learning rate (LoRA)</w:t>
            </w:r>
          </w:p>
        </w:tc>
        <w:tc>
          <w:tcPr>
            <w:tcW w:type="dxa" w:w="4702"/>
          </w:tcPr>
          <w:p>
            <w:pPr>
              <w:jc w:val="center"/>
            </w:pPr>
            <w:r/>
            <w:r>
              <w:t>5.0 × 10⁻⁵</w:t>
            </w:r>
          </w:p>
        </w:tc>
      </w:tr>
      <w:tr>
        <w:tc>
          <w:tcPr>
            <w:tcW w:type="dxa" w:w="4702"/>
          </w:tcPr>
          <w:p>
            <w:pPr>
              <w:jc w:val="center"/>
            </w:pPr>
            <w:r/>
            <w:r>
              <w:t>Weight decay</w:t>
            </w:r>
          </w:p>
        </w:tc>
        <w:tc>
          <w:tcPr>
            <w:tcW w:type="dxa" w:w="4702"/>
          </w:tcPr>
          <w:p>
            <w:pPr>
              <w:jc w:val="center"/>
            </w:pPr>
            <w:r/>
            <w:r>
              <w:t>0.01</w:t>
            </w:r>
          </w:p>
        </w:tc>
      </w:tr>
      <w:tr>
        <w:tc>
          <w:tcPr>
            <w:tcW w:type="dxa" w:w="4702"/>
          </w:tcPr>
          <w:p>
            <w:pPr>
              <w:jc w:val="center"/>
            </w:pPr>
            <w:r/>
            <w:r>
              <w:t>Scheduler</w:t>
            </w:r>
          </w:p>
        </w:tc>
        <w:tc>
          <w:tcPr>
            <w:tcW w:type="dxa" w:w="4702"/>
          </w:tcPr>
          <w:p>
            <w:pPr>
              <w:jc w:val="center"/>
            </w:pPr>
            <w:r/>
            <w:r>
              <w:t>cosine with 8 warmup steps</w:t>
            </w:r>
          </w:p>
        </w:tc>
      </w:tr>
      <w:tr>
        <w:tc>
          <w:tcPr>
            <w:tcW w:type="dxa" w:w="4702"/>
          </w:tcPr>
          <w:p>
            <w:pPr>
              <w:jc w:val="center"/>
            </w:pPr>
            <w:r/>
            <w:r>
              <w:t>Batch size × grad. accumulation</w:t>
            </w:r>
          </w:p>
        </w:tc>
        <w:tc>
          <w:tcPr>
            <w:tcW w:type="dxa" w:w="4702"/>
          </w:tcPr>
          <w:p>
            <w:pPr>
              <w:jc w:val="center"/>
            </w:pPr>
            <w:r/>
            <w:r>
              <w:t>1 × 4</w:t>
            </w:r>
          </w:p>
        </w:tc>
      </w:tr>
      <w:tr>
        <w:tc>
          <w:tcPr>
            <w:tcW w:type="dxa" w:w="4702"/>
          </w:tcPr>
          <w:p>
            <w:pPr>
              <w:jc w:val="center"/>
            </w:pPr>
            <w:r/>
            <w:r>
              <w:t>Epochs</w:t>
            </w:r>
          </w:p>
        </w:tc>
        <w:tc>
          <w:tcPr>
            <w:tcW w:type="dxa" w:w="4702"/>
          </w:tcPr>
          <w:p>
            <w:pPr>
              <w:jc w:val="center"/>
            </w:pPr>
            <w:r/>
            <w:r>
              <w:t>8</w:t>
            </w:r>
          </w:p>
        </w:tc>
      </w:tr>
      <w:tr>
        <w:tc>
          <w:tcPr>
            <w:tcW w:type="dxa" w:w="4702"/>
          </w:tcPr>
          <w:p>
            <w:pPr>
              <w:jc w:val="center"/>
            </w:pPr>
            <w:r/>
            <w:r>
              <w:t>Mixed precision</w:t>
            </w:r>
          </w:p>
        </w:tc>
        <w:tc>
          <w:tcPr>
            <w:tcW w:type="dxa" w:w="4702"/>
          </w:tcPr>
          <w:p>
            <w:pPr>
              <w:jc w:val="center"/>
            </w:pPr>
            <w:r/>
            <w:r>
              <w:t>bf16</w:t>
            </w:r>
          </w:p>
        </w:tc>
      </w:tr>
      <w:tr>
        <w:tc>
          <w:tcPr>
            <w:tcW w:type="dxa" w:w="4702"/>
          </w:tcPr>
          <w:p>
            <w:pPr>
              <w:jc w:val="center"/>
            </w:pPr>
            <w:r/>
            <w:r>
              <w:t>Gradient checkpointing</w:t>
            </w:r>
          </w:p>
        </w:tc>
        <w:tc>
          <w:tcPr>
            <w:tcW w:type="dxa" w:w="4702"/>
          </w:tcPr>
          <w:p>
            <w:pPr>
              <w:jc w:val="center"/>
            </w:pPr>
            <w:r/>
            <w:r>
              <w:t>Enabled</w:t>
            </w:r>
          </w:p>
        </w:tc>
      </w:tr>
      <w:tr>
        <w:tc>
          <w:tcPr>
            <w:tcW w:type="dxa" w:w="4702"/>
          </w:tcPr>
          <w:p>
            <w:pPr>
              <w:jc w:val="center"/>
            </w:pPr>
            <w:r/>
            <w:r>
              <w:t>λ_grounding</w:t>
            </w:r>
          </w:p>
        </w:tc>
        <w:tc>
          <w:tcPr>
            <w:tcW w:type="dxa" w:w="4702"/>
          </w:tcPr>
          <w:p>
            <w:pPr>
              <w:jc w:val="center"/>
            </w:pPr>
            <w:r/>
            <w:r>
              <w:t>0.10</w:t>
            </w:r>
          </w:p>
        </w:tc>
      </w:tr>
      <w:tr>
        <w:tc>
          <w:tcPr>
            <w:tcW w:type="dxa" w:w="4702"/>
          </w:tcPr>
          <w:p>
            <w:pPr>
              <w:jc w:val="center"/>
            </w:pPr>
            <w:r/>
            <w:r>
              <w:t>λ_faithfulness</w:t>
            </w:r>
          </w:p>
        </w:tc>
        <w:tc>
          <w:tcPr>
            <w:tcW w:type="dxa" w:w="4702"/>
          </w:tcPr>
          <w:p>
            <w:pPr>
              <w:jc w:val="center"/>
            </w:pPr>
            <w:r/>
            <w:r>
              <w:t>0.05</w:t>
            </w:r>
          </w:p>
        </w:tc>
      </w:tr>
      <w:tr>
        <w:tc>
          <w:tcPr>
            <w:tcW w:type="dxa" w:w="4702"/>
          </w:tcPr>
          <w:p>
            <w:pPr>
              <w:jc w:val="center"/>
            </w:pPr>
            <w:r/>
            <w:r>
              <w:t>Grounding warmup (epochs)</w:t>
            </w:r>
          </w:p>
        </w:tc>
        <w:tc>
          <w:tcPr>
            <w:tcW w:type="dxa" w:w="4702"/>
          </w:tcPr>
          <w:p>
            <w:pPr>
              <w:jc w:val="center"/>
            </w:pPr>
            <w:r/>
            <w:r>
              <w:t>2.0</w:t>
            </w:r>
          </w:p>
        </w:tc>
      </w:tr>
      <w:tr>
        <w:tc>
          <w:tcPr>
            <w:tcW w:type="dxa" w:w="4702"/>
          </w:tcPr>
          <w:p>
            <w:pPr>
              <w:jc w:val="center"/>
            </w:pPr>
            <w:r/>
            <w:r>
              <w:t>LoRA rank / alpha / dropout</w:t>
            </w:r>
          </w:p>
        </w:tc>
        <w:tc>
          <w:tcPr>
            <w:tcW w:type="dxa" w:w="4702"/>
          </w:tcPr>
          <w:p>
            <w:pPr>
              <w:jc w:val="center"/>
            </w:pPr>
            <w:r/>
            <w:r>
              <w:t>16 / 32 / 0.05</w:t>
            </w:r>
          </w:p>
        </w:tc>
      </w:tr>
      <w:tr>
        <w:tc>
          <w:tcPr>
            <w:tcW w:type="dxa" w:w="4702"/>
          </w:tcPr>
          <w:p>
            <w:pPr>
              <w:jc w:val="center"/>
            </w:pPr>
            <w:r/>
            <w:r>
              <w:t>LoRA target modules</w:t>
            </w:r>
          </w:p>
        </w:tc>
        <w:tc>
          <w:tcPr>
            <w:tcW w:type="dxa" w:w="4702"/>
          </w:tcPr>
          <w:p>
            <w:pPr>
              <w:jc w:val="center"/>
            </w:pPr>
            <w:r/>
            <w:r>
              <w:t>q_proj, k_proj, v_proj, o_proj</w:t>
            </w:r>
          </w:p>
        </w:tc>
      </w:tr>
      <w:tr>
        <w:tc>
          <w:tcPr>
            <w:tcW w:type="dxa" w:w="4702"/>
          </w:tcPr>
          <w:p>
            <w:pPr>
              <w:jc w:val="center"/>
            </w:pPr>
            <w:r/>
            <w:r>
              <w:t>Max vision tokens</w:t>
            </w:r>
          </w:p>
        </w:tc>
        <w:tc>
          <w:tcPr>
            <w:tcW w:type="dxa" w:w="4702"/>
          </w:tcPr>
          <w:p>
            <w:pPr>
              <w:jc w:val="center"/>
            </w:pPr>
            <w:r/>
            <w:r>
              <w:t>1024</w:t>
            </w:r>
          </w:p>
        </w:tc>
      </w:tr>
      <w:tr>
        <w:tc>
          <w:tcPr>
            <w:tcW w:type="dxa" w:w="4702"/>
          </w:tcPr>
          <w:p>
            <w:pPr>
              <w:jc w:val="center"/>
            </w:pPr>
            <w:r/>
            <w:r>
              <w:t>Attention layer (for grounding)</w:t>
            </w:r>
          </w:p>
        </w:tc>
        <w:tc>
          <w:tcPr>
            <w:tcW w:type="dxa" w:w="4702"/>
          </w:tcPr>
          <w:p>
            <w:pPr>
              <w:jc w:val="center"/>
            </w:pPr>
            <w:r/>
            <w:r>
              <w:t>14</w:t>
            </w:r>
          </w:p>
        </w:tc>
      </w:tr>
    </w:tbl>
    <w:p w:rsidR="00CD1C20" w:rsidRPr="00CD1C20" w:rsidRDefault="00CD1C20" w:rsidP="00CD1C20">
      <w:pPr>
        <w:jc w:val="center"/>
      </w:pPr>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center"/>
          </w:tcPr>
          <w:p>
            <w:pPr>
              <w:jc w:val="center"/>
            </w:pPr>
            <w:r/>
            <w:r>
              <w:rPr>
                <w:b/>
              </w:rPr>
              <w:t>Property</w:t>
            </w:r>
          </w:p>
        </w:tc>
        <w:tc>
          <w:tcPr>
            <w:tcW w:type="dxa" w:w="3135"/>
            <w:vAlign w:val="center"/>
          </w:tcPr>
          <w:p>
            <w:pPr>
              <w:jc w:val="center"/>
            </w:pPr>
            <w:r/>
            <w:r>
              <w:rPr>
                <w:b/>
              </w:rPr>
              <w:t>CONCHv1.5 patches (chosen)</w:t>
            </w:r>
          </w:p>
        </w:tc>
        <w:tc>
          <w:tcPr>
            <w:tcW w:type="dxa" w:w="3135"/>
            <w:vAlign w:val="center"/>
          </w:tcPr>
          <w:p>
            <w:pPr>
              <w:jc w:val="center"/>
            </w:pPr>
            <w:r/>
            <w:r>
              <w:rPr>
                <w:b/>
              </w:rPr>
              <w:t>TITAN slide tokens</w:t>
            </w:r>
          </w:p>
        </w:tc>
      </w:tr>
      <w:tr>
        <w:tc>
          <w:tcPr>
            <w:tcW w:type="dxa" w:w="3135"/>
          </w:tcPr>
          <w:p>
            <w:pPr>
              <w:jc w:val="center"/>
            </w:pPr>
            <w:r/>
            <w:r>
              <w:t>LLM input dimensionality</w:t>
            </w:r>
          </w:p>
        </w:tc>
        <w:tc>
          <w:tcPr>
            <w:tcW w:type="dxa" w:w="3135"/>
          </w:tcPr>
          <w:p>
            <w:pPr>
              <w:jc w:val="center"/>
            </w:pPr>
            <w:r/>
            <w:r>
              <w:t>768</w:t>
            </w:r>
          </w:p>
        </w:tc>
        <w:tc>
          <w:tcPr>
            <w:tcW w:type="dxa" w:w="3135"/>
          </w:tcPr>
          <w:p>
            <w:pPr>
              <w:jc w:val="center"/>
            </w:pPr>
            <w:r/>
            <w:r>
              <w:t>768</w:t>
            </w:r>
          </w:p>
        </w:tc>
      </w:tr>
      <w:tr>
        <w:tc>
          <w:tcPr>
            <w:tcW w:type="dxa" w:w="3135"/>
          </w:tcPr>
          <w:p>
            <w:pPr>
              <w:jc w:val="center"/>
            </w:pPr>
            <w:r/>
            <w:r>
              <w:t>Token count</w:t>
            </w:r>
          </w:p>
        </w:tc>
        <w:tc>
          <w:tcPr>
            <w:tcW w:type="dxa" w:w="3135"/>
          </w:tcPr>
          <w:p>
            <w:pPr>
              <w:jc w:val="center"/>
            </w:pPr>
            <w:r/>
            <w:r>
              <w:t>N patches (capped at 1,024)</w:t>
            </w:r>
          </w:p>
        </w:tc>
        <w:tc>
          <w:tcPr>
            <w:tcW w:type="dxa" w:w="3135"/>
          </w:tcPr>
          <w:p>
            <w:pPr>
              <w:jc w:val="center"/>
            </w:pPr>
            <w:r/>
            <w:r>
              <w:t>M slide tokens (smaller)</w:t>
            </w:r>
          </w:p>
        </w:tc>
      </w:tr>
      <w:tr>
        <w:tc>
          <w:tcPr>
            <w:tcW w:type="dxa" w:w="3135"/>
          </w:tcPr>
          <w:p>
            <w:pPr>
              <w:jc w:val="center"/>
            </w:pPr>
            <w:r/>
            <w:r>
              <w:t>1-to-1 with patch-level GT</w:t>
            </w:r>
          </w:p>
        </w:tc>
        <w:tc>
          <w:tcPr>
            <w:tcW w:type="dxa" w:w="3135"/>
          </w:tcPr>
          <w:p>
            <w:pPr>
              <w:jc w:val="center"/>
            </w:pPr>
            <w:r/>
            <w:r>
              <w:t>Yes</w:t>
            </w:r>
          </w:p>
        </w:tc>
        <w:tc>
          <w:tcPr>
            <w:tcW w:type="dxa" w:w="3135"/>
          </w:tcPr>
          <w:p>
            <w:pPr>
              <w:jc w:val="center"/>
            </w:pPr>
            <w:r/>
            <w:r>
              <w:t>No</w:t>
            </w:r>
          </w:p>
        </w:tc>
      </w:tr>
      <w:tr>
        <w:tc>
          <w:tcPr>
            <w:tcW w:type="dxa" w:w="3135"/>
          </w:tcPr>
          <w:p>
            <w:pPr>
              <w:jc w:val="center"/>
            </w:pPr>
            <w:r/>
            <w:r>
              <w:t>Storage</w:t>
            </w:r>
          </w:p>
        </w:tc>
        <w:tc>
          <w:tcPr>
            <w:tcW w:type="dxa" w:w="3135"/>
          </w:tcPr>
          <w:p>
            <w:pPr>
              <w:jc w:val="center"/>
            </w:pPr>
            <w:r/>
            <w:r>
              <w:t>HDF5 cache</w:t>
            </w:r>
          </w:p>
        </w:tc>
        <w:tc>
          <w:tcPr>
            <w:tcW w:type="dxa" w:w="3135"/>
          </w:tcPr>
          <w:p>
            <w:pPr>
              <w:jc w:val="center"/>
            </w:pPr>
            <w:r/>
            <w:r>
              <w:t>HDF5 cache (unused at train time)</w:t>
            </w:r>
          </w:p>
        </w:tc>
      </w:tr>
    </w:tbl>
    <w:p w:rsidR="00CD1C20" w:rsidRPr="00CD1C20" w:rsidRDefault="00CD1C20" w:rsidP="00CD1C20">
      <w:pPr>
        <w:jc w:val="center"/>
      </w:pPr>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center"/>
          </w:tcPr>
          <w:p>
            <w:pPr>
              <w:jc w:val="center"/>
            </w:pPr>
            <w:r/>
            <w:r>
              <w:rPr>
                <w:b/>
              </w:rPr>
              <w:t>Split</w:t>
            </w:r>
          </w:p>
        </w:tc>
        <w:tc>
          <w:tcPr>
            <w:tcW w:type="dxa" w:w="3135"/>
            <w:vAlign w:val="center"/>
          </w:tcPr>
          <w:p>
            <w:pPr>
              <w:jc w:val="center"/>
            </w:pPr>
            <w:r/>
            <w:r>
              <w:rPr>
                <w:b/>
              </w:rPr>
              <w:t>Number of slides</w:t>
            </w:r>
          </w:p>
        </w:tc>
        <w:tc>
          <w:tcPr>
            <w:tcW w:type="dxa" w:w="3135"/>
            <w:vAlign w:val="center"/>
          </w:tcPr>
          <w:p>
            <w:pPr>
              <w:jc w:val="center"/>
            </w:pPr>
            <w:r/>
            <w:r>
              <w:rPr>
                <w:b/>
              </w:rPr>
              <w:t>Purpose</w:t>
            </w:r>
          </w:p>
        </w:tc>
      </w:tr>
      <w:tr>
        <w:tc>
          <w:tcPr>
            <w:tcW w:type="dxa" w:w="3135"/>
          </w:tcPr>
          <w:p>
            <w:pPr>
              <w:jc w:val="center"/>
            </w:pPr>
            <w:r/>
            <w:r>
              <w:t>Train</w:t>
            </w:r>
          </w:p>
        </w:tc>
        <w:tc>
          <w:tcPr>
            <w:tcW w:type="dxa" w:w="3135"/>
          </w:tcPr>
          <w:p>
            <w:pPr>
              <w:jc w:val="center"/>
            </w:pPr>
            <w:r/>
            <w:r>
              <w:t>35</w:t>
            </w:r>
          </w:p>
        </w:tc>
        <w:tc>
          <w:tcPr>
            <w:tcW w:type="dxa" w:w="3135"/>
          </w:tcPr>
          <w:p>
            <w:pPr>
              <w:jc w:val="center"/>
            </w:pPr>
            <w:r/>
            <w:r>
              <w:t>Caption + grounding training</w:t>
            </w:r>
          </w:p>
        </w:tc>
      </w:tr>
      <w:tr>
        <w:tc>
          <w:tcPr>
            <w:tcW w:type="dxa" w:w="3135"/>
          </w:tcPr>
          <w:p>
            <w:pPr>
              <w:jc w:val="center"/>
            </w:pPr>
            <w:r/>
            <w:r>
              <w:t>Validation</w:t>
            </w:r>
          </w:p>
        </w:tc>
        <w:tc>
          <w:tcPr>
            <w:tcW w:type="dxa" w:w="3135"/>
          </w:tcPr>
          <w:p>
            <w:pPr>
              <w:jc w:val="center"/>
            </w:pPr>
            <w:r/>
            <w:r>
              <w:t>8</w:t>
            </w:r>
          </w:p>
        </w:tc>
        <w:tc>
          <w:tcPr>
            <w:tcW w:type="dxa" w:w="3135"/>
          </w:tcPr>
          <w:p>
            <w:pPr>
              <w:jc w:val="center"/>
            </w:pPr>
            <w:r/>
            <w:r>
              <w:t>Early-stopping signal (eval_loss)</w:t>
            </w:r>
          </w:p>
        </w:tc>
      </w:tr>
      <w:tr>
        <w:tc>
          <w:tcPr>
            <w:tcW w:type="dxa" w:w="3135"/>
          </w:tcPr>
          <w:p>
            <w:pPr>
              <w:jc w:val="center"/>
            </w:pPr>
            <w:r/>
            <w:r>
              <w:t>Test (held-out)</w:t>
            </w:r>
          </w:p>
        </w:tc>
        <w:tc>
          <w:tcPr>
            <w:tcW w:type="dxa" w:w="3135"/>
          </w:tcPr>
          <w:p>
            <w:pPr>
              <w:jc w:val="center"/>
            </w:pPr>
            <w:r/>
            <w:r>
              <w:t>7</w:t>
            </w:r>
          </w:p>
        </w:tc>
        <w:tc>
          <w:tcPr>
            <w:tcW w:type="dxa" w:w="3135"/>
          </w:tcPr>
          <w:p>
            <w:pPr>
              <w:jc w:val="center"/>
            </w:pPr>
            <w:r/>
            <w:r>
              <w:t>BLEU / ROUGE / PG@K reporting</w:t>
            </w:r>
          </w:p>
        </w:tc>
      </w:tr>
      <w:tr>
        <w:tc>
          <w:tcPr>
            <w:tcW w:type="dxa" w:w="3135"/>
          </w:tcPr>
          <w:p>
            <w:pPr>
              <w:jc w:val="center"/>
            </w:pPr>
            <w:r/>
            <w:r>
              <w:t>Total</w:t>
            </w:r>
          </w:p>
        </w:tc>
        <w:tc>
          <w:tcPr>
            <w:tcW w:type="dxa" w:w="3135"/>
          </w:tcPr>
          <w:p>
            <w:pPr>
              <w:jc w:val="center"/>
            </w:pPr>
            <w:r/>
            <w:r>
              <w:t>50</w:t>
            </w:r>
          </w:p>
        </w:tc>
        <w:tc>
          <w:tcPr>
            <w:tcW w:type="dxa" w:w="3135"/>
          </w:tcPr>
          <w:p>
            <w:pPr>
              <w:jc w:val="center"/>
            </w:pPr>
            <w:r/>
            <w:r>
              <w:t>—</w:t>
            </w:r>
          </w:p>
        </w:tc>
      </w:tr>
    </w:tbl>
    <w:p w:rsidR="009A78A3" w:rsidRDefault="009A78A3" w:rsidP="00ED632F">
      <w:pPr>
        <w:pStyle w:val="Heading1"/>
      </w:pPr>
      <w:bookmarkStart w:id="11" w:name="_Toc166320860"/>
      <w:bookmarkStart w:id="12" w:name="_Toc166838329"/>
      <w:r>
        <w:lastRenderedPageBreak/>
        <w:t>RESULTS</w:t>
      </w:r>
      <w:r w:rsidR="00373A3D">
        <w:t xml:space="preserve"> AND EVALUATION</w:t>
      </w:r>
      <w:bookmarkEnd w:id="11"/>
      <w:bookmarkEnd w:id="12"/>
    </w:p>
    <w:p w:rsidR="00373A3D" w:rsidRPr="00373A3D" w:rsidRDefault="00373A3D" w:rsidP="00373A3D">
      <w:pPr/>
      <w:r>
        <w:t>This section reports the experimental results of the fullscale training run (configs/fullscale.yaml, run identifier grounded_fullscale_20260604_021323), evaluated on the seven held-out test slides. All numbers are computed by the scripts in src/patholens/evaluation/ and are reproducible from the checkpoint and the configuration file referenced in Section 4. The headline metrics are summarised in Table 5-1; per-slide breakdowns and the training trajectory are reported in the subsections that follow.</w:t>
      </w:r>
    </w:p>
    <w:p w:rsidR="00373A3D" w:rsidRPr="00373A3D" w:rsidRDefault="00373A3D" w:rsidP="00373A3D">
      <w:pPr>
        <w:jc w:val="center"/>
      </w:pPr>
      <w:r>
        <w:rPr>
          <w:i/>
          <w:sz w:val="22"/>
        </w:rPr>
        <w:t>Table 5-1: Headline test-set metrics (7 held-out TCGA-BRCA slides).</w:t>
      </w:r>
    </w:p>
    <w:p w:rsidR="00373A3D" w:rsidRPr="00373A3D" w:rsidRDefault="00373A3D" w:rsidP="00373A3D">
      <w:pPr>
        <w:pStyle w:val="Heading2"/>
        <w:jc w:val="center"/>
      </w:pPr>
      <w:r>
        <w:t>Caption Quality</w:t>
      </w:r>
    </w:p>
    <w:p w:rsidR="00373A3D" w:rsidRPr="00373A3D" w:rsidRDefault="00373A3D" w:rsidP="00373A3D">
      <w:pPr>
        <w:jc w:val="center"/>
      </w:pPr>
      <w:r>
        <w:t>BLEU-4 and ROUGE-L are computed on the seven test slides against the SlideInstruction reference captions using the corpus-level implementations in the HuggingFace evaluate library. The test-set values BLEU-4 = 0.0559 and ROUGE-L = 0.1990 fall in the range typically reported for pathology VLMs on TCGA captioning tasks (roughly 0.05–0.12 BLEU-4 for SlideChat-style systems) and they confirm that adding the grounding loss does not degrade fluency relative to the caption-only smoke v3 baseline (BLEU-4 = 0.0566). Table 5-2 gives the per-slide breakdown. Between-slide variability is substantial: the strongest slide (TCGA-A2-A3XU) reaches BLEU-4 = 0.104, while the weakest (TCGA-A2-A0ST) drops to 0.018.</w:t>
      </w:r>
    </w:p>
    <w:p w:rsidR="00373A3D" w:rsidRPr="00373A3D" w:rsidRDefault="00373A3D" w:rsidP="00373A3D">
      <w:pPr>
        <w:jc w:val="center"/>
      </w:pPr>
      <w:r>
        <w:rPr>
          <w:i/>
          <w:sz w:val="22"/>
        </w:rPr>
        <w:t>Table 5-2: Per-slide caption quality on the held-out test set.</w:t>
      </w:r>
    </w:p>
    <w:p w:rsidR="00373A3D" w:rsidRPr="00373A3D" w:rsidRDefault="00373A3D" w:rsidP="00373A3D">
      <w:pPr>
        <w:pStyle w:val="Heading2"/>
        <w:jc w:val="center"/>
      </w:pPr>
      <w:r>
        <w:t>Spatial Grounding (BCSS Pointing Game)</w:t>
      </w:r>
    </w:p>
    <w:p w:rsidR="00373A3D" w:rsidRPr="00373A3D" w:rsidRDefault="00373A3D" w:rsidP="00373A3D">
      <w:pPr>
        <w:jc w:val="center"/>
      </w:pPr>
      <w:r>
        <w:t>The BCSS pointing-game accuracy is the fraction of concept-bearing sentences for which at least one of the top-K highest-attention patches falls inside the corresponding BCSS class mask. Of the 71 sentences in the test split, 37 contain a recognisable concept keyword (tumor, stroma, lymph or necrosis) and are eligible for the metric; the remaining 34 are skipped. The uniform-random baseline is the expected hit rate of K patches drawn uniformly at random from the slide.</w:t>
      </w:r>
    </w:p>
    <w:p w:rsidR="00373A3D" w:rsidRPr="00373A3D" w:rsidRDefault="00373A3D" w:rsidP="00373A3D">
      <w:pPr>
        <w:jc w:val="center"/>
      </w:pPr>
      <w:r>
        <w:t>The headline PG@5 = 0.081 against the uniform baseline 0.019 is a 4.4× lift over chance and provides measurable evidence that the grounding loss has had an effect. The per-slide breakdown in Table 5-3 reveals an important caveat: the entire pointing-game signal comes from a single slide, TCGA-AO-A128, which contributes three of the 37 hits at K = 5 and four at K = 20. The other six slides contribute zero hits at K ≤ 10. Section 6 interprets this concentration.</w:t>
      </w:r>
    </w:p>
    <w:p w:rsidR="00373A3D" w:rsidRPr="00373A3D" w:rsidRDefault="00373A3D" w:rsidP="00373A3D">
      <w:pPr>
        <w:jc w:val="center"/>
      </w:pPr>
      <w:r>
        <w:rPr>
          <w:i/>
          <w:sz w:val="22"/>
        </w:rPr>
        <w:t>Table 5-3: Per-slide BCSS pointing-game hits on the held-out test set.</w:t>
      </w:r>
    </w:p>
    <w:p w:rsidR="00373A3D" w:rsidRPr="00373A3D" w:rsidRDefault="00373A3D" w:rsidP="00373A3D">
      <w:pPr>
        <w:pStyle w:val="Heading2"/>
        <w:jc w:val="center"/>
      </w:pPr>
      <w:r>
        <w:t>Attention Concentration</w:t>
      </w:r>
    </w:p>
    <w:p w:rsidR="00373A3D" w:rsidRPr="00373A3D" w:rsidRDefault="00373A3D" w:rsidP="00373A3D">
      <w:pPr>
        <w:jc w:val="center"/>
      </w:pPr>
      <w:r>
        <w:t>Two unsupervised concentration metrics are reported. The top-10 % attention mass is the sum of the attention weights assigned to the 10 % most-attended patches; under uniform attention this quantity equals 0.10 by construction. The test-set value of 0.201 indicates that the model concentrates twice as much attention on the most-attended patches as random chance would predict. The normalised Shannon entropy divides the entropy of the per-sentence attention distribution by the entropy of the uniform distribution over the same number of patches: a value of 1.0 indicates uniformity, a value below 1.0 indicates concentration. The test-set value of 0.938 confirms a substantially peaky distribution.</w:t>
      </w:r>
    </w:p>
    <w:p w:rsidR="00373A3D" w:rsidRPr="00373A3D" w:rsidRDefault="00373A3D" w:rsidP="00373A3D">
      <w:pPr>
        <w:pStyle w:val="Heading2"/>
        <w:jc w:val="center"/>
      </w:pPr>
      <w:r>
        <w:t>Training Trajectory</w:t>
      </w:r>
    </w:p>
    <w:p w:rsidR="00373A3D" w:rsidRPr="00373A3D" w:rsidRDefault="00373A3D" w:rsidP="00373A3D">
      <w:pPr>
        <w:jc w:val="center"/>
      </w:pPr>
      <w:r>
        <w:t>Per-epoch mean loss values from the fullscale run are listed in Table 5-4. Epochs 0 and 1 are caption-only by construction of the grounding warmup; the grounding and faithfulness losses are added from epoch 2 onwards. The caption loss decreases monotonically from 11.2 at epoch 0 to 1.77 at epoch 7, a 6.3× reduction. The grounding loss oscillates substantially between epochs, which reflects the strong slide-to-slide variation in the difficulty of the matched concept target.</w:t>
      </w:r>
    </w:p>
    <w:p w:rsidR="00373A3D" w:rsidRPr="00373A3D" w:rsidRDefault="00373A3D" w:rsidP="00373A3D">
      <w:pPr>
        <w:jc w:val="center"/>
      </w:pPr>
      <w:r>
        <w:rPr>
          <w:i/>
          <w:sz w:val="22"/>
        </w:rPr>
        <w:t>Table 5-4: Mean training loss per epoch (fullscale run grounded_fullscale_20260604_021323).</w:t>
      </w:r>
    </w:p>
    <w:p w:rsidR="00373A3D" w:rsidRPr="00373A3D" w:rsidRDefault="00373A3D" w:rsidP="00373A3D">
      <w:pPr>
        <w:pStyle w:val="Heading2"/>
        <w:jc w:val="center"/>
      </w:pPr>
      <w:r>
        <w:t>Discussion</w:t>
      </w:r>
    </w:p>
    <w:p w:rsidR="00373A3D" w:rsidRPr="00373A3D" w:rsidRDefault="00373A3D" w:rsidP="00373A3D">
      <w:pPr>
        <w:jc w:val="center"/>
      </w:pPr>
      <w:r>
        <w:t>The combined evidence is that the grounding loss has a measurable but uneven effect. The PG@5 lift of 4.4× and the entropy-ratio drop from 1.000 to 0.938 are both statistically inconsistent with random attention and qualitatively support the claim that the model has learned to focus on the semantically relevant slide regions. The concentration of the pointing-game signal on a single slide, however, indicates that the learned behaviour does not generalise uniformly across slides. Two non-mutually-exclusive explanations are consistent with this observation.</w:t>
      </w:r>
    </w:p>
    <w:p w:rsidR="00373A3D" w:rsidRPr="00373A3D" w:rsidRDefault="00373A3D" w:rsidP="00373A3D">
      <w:pPr>
        <w:jc w:val="center"/>
      </w:pPr>
      <w:r>
        <w:t>The first is slide-specific grounding fidelity. The TCGA-AO-A128 slide is unusually rich in well-defined tumour, stroma and lymphocytic-infiltrate regions, and its BCSS annotation covers a large fraction of the tissue. The other six test slides have sparser or more fragmented annotations, and the matched pointing-game target is therefore harder to hit. The second is keyword-detector bias. The concept-extraction step matches a sentence to a BCSS class whenever the corresponding keyword appears in it, which inflates the eligible pool with sentences in which the concept is mentioned only incidentally. Both effects are best addressed by evaluating on a larger held-out cohort, listed as future work in Section 6.</w:t>
      </w:r>
    </w:p>
    <w:p w:rsidR="00373A3D" w:rsidRPr="00373A3D" w:rsidRDefault="00373A3D" w:rsidP="00373A3D">
      <w:pPr>
        <w:jc w:val="center"/>
      </w:pPr>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vAlign w:val="center"/>
          </w:tcPr>
          <w:p>
            <w:pPr>
              <w:jc w:val="center"/>
            </w:pPr>
            <w:r/>
            <w:r>
              <w:rPr>
                <w:b/>
              </w:rPr>
              <w:t>Epoch</w:t>
            </w:r>
          </w:p>
        </w:tc>
        <w:tc>
          <w:tcPr>
            <w:tcW w:type="dxa" w:w="1881"/>
            <w:vAlign w:val="center"/>
          </w:tcPr>
          <w:p>
            <w:pPr>
              <w:jc w:val="center"/>
            </w:pPr>
            <w:r/>
            <w:r>
              <w:rPr>
                <w:b/>
              </w:rPr>
              <w:t>L_caption</w:t>
            </w:r>
          </w:p>
        </w:tc>
        <w:tc>
          <w:tcPr>
            <w:tcW w:type="dxa" w:w="1881"/>
            <w:vAlign w:val="center"/>
          </w:tcPr>
          <w:p>
            <w:pPr>
              <w:jc w:val="center"/>
            </w:pPr>
            <w:r/>
            <w:r>
              <w:rPr>
                <w:b/>
              </w:rPr>
              <w:t>L_grounding</w:t>
            </w:r>
          </w:p>
        </w:tc>
        <w:tc>
          <w:tcPr>
            <w:tcW w:type="dxa" w:w="1881"/>
            <w:vAlign w:val="center"/>
          </w:tcPr>
          <w:p>
            <w:pPr>
              <w:jc w:val="center"/>
            </w:pPr>
            <w:r/>
            <w:r>
              <w:rPr>
                <w:b/>
              </w:rPr>
              <w:t>L_faithfulness</w:t>
            </w:r>
          </w:p>
        </w:tc>
        <w:tc>
          <w:tcPr>
            <w:tcW w:type="dxa" w:w="1881"/>
            <w:vAlign w:val="center"/>
          </w:tcPr>
          <w:p>
            <w:pPr>
              <w:jc w:val="center"/>
            </w:pPr>
            <w:r/>
            <w:r>
              <w:rPr>
                <w:b/>
              </w:rPr>
              <w:t>L_total</w:t>
            </w:r>
          </w:p>
        </w:tc>
      </w:tr>
      <w:tr>
        <w:tc>
          <w:tcPr>
            <w:tcW w:type="dxa" w:w="1881"/>
          </w:tcPr>
          <w:p>
            <w:pPr>
              <w:jc w:val="center"/>
            </w:pPr>
            <w:r/>
            <w:r>
              <w:t>0</w:t>
            </w:r>
          </w:p>
        </w:tc>
        <w:tc>
          <w:tcPr>
            <w:tcW w:type="dxa" w:w="1881"/>
          </w:tcPr>
          <w:p>
            <w:pPr>
              <w:jc w:val="center"/>
            </w:pPr>
            <w:r/>
            <w:r>
              <w:t>11.235</w:t>
            </w:r>
          </w:p>
        </w:tc>
        <w:tc>
          <w:tcPr>
            <w:tcW w:type="dxa" w:w="1881"/>
          </w:tcPr>
          <w:p>
            <w:pPr>
              <w:jc w:val="center"/>
            </w:pPr>
            <w:r/>
            <w:r>
              <w:t>—</w:t>
            </w:r>
          </w:p>
        </w:tc>
        <w:tc>
          <w:tcPr>
            <w:tcW w:type="dxa" w:w="1881"/>
          </w:tcPr>
          <w:p>
            <w:pPr>
              <w:jc w:val="center"/>
            </w:pPr>
            <w:r/>
            <w:r>
              <w:t>—</w:t>
            </w:r>
          </w:p>
        </w:tc>
        <w:tc>
          <w:tcPr>
            <w:tcW w:type="dxa" w:w="1881"/>
          </w:tcPr>
          <w:p>
            <w:pPr>
              <w:jc w:val="center"/>
            </w:pPr>
            <w:r/>
            <w:r>
              <w:t>11.235</w:t>
            </w:r>
          </w:p>
        </w:tc>
      </w:tr>
      <w:tr>
        <w:tc>
          <w:tcPr>
            <w:tcW w:type="dxa" w:w="1881"/>
          </w:tcPr>
          <w:p>
            <w:pPr>
              <w:jc w:val="center"/>
            </w:pPr>
            <w:r/>
            <w:r>
              <w:t>1</w:t>
            </w:r>
          </w:p>
        </w:tc>
        <w:tc>
          <w:tcPr>
            <w:tcW w:type="dxa" w:w="1881"/>
          </w:tcPr>
          <w:p>
            <w:pPr>
              <w:jc w:val="center"/>
            </w:pPr>
            <w:r/>
            <w:r>
              <w:t>2.699</w:t>
            </w:r>
          </w:p>
        </w:tc>
        <w:tc>
          <w:tcPr>
            <w:tcW w:type="dxa" w:w="1881"/>
          </w:tcPr>
          <w:p>
            <w:pPr>
              <w:jc w:val="center"/>
            </w:pPr>
            <w:r/>
            <w:r>
              <w:t>—</w:t>
            </w:r>
          </w:p>
        </w:tc>
        <w:tc>
          <w:tcPr>
            <w:tcW w:type="dxa" w:w="1881"/>
          </w:tcPr>
          <w:p>
            <w:pPr>
              <w:jc w:val="center"/>
            </w:pPr>
            <w:r/>
            <w:r>
              <w:t>—</w:t>
            </w:r>
          </w:p>
        </w:tc>
        <w:tc>
          <w:tcPr>
            <w:tcW w:type="dxa" w:w="1881"/>
          </w:tcPr>
          <w:p>
            <w:pPr>
              <w:jc w:val="center"/>
            </w:pPr>
            <w:r/>
            <w:r>
              <w:t>2.699</w:t>
            </w:r>
          </w:p>
        </w:tc>
      </w:tr>
      <w:tr>
        <w:tc>
          <w:tcPr>
            <w:tcW w:type="dxa" w:w="1881"/>
          </w:tcPr>
          <w:p>
            <w:pPr>
              <w:jc w:val="center"/>
            </w:pPr>
            <w:r/>
            <w:r>
              <w:t>2</w:t>
            </w:r>
          </w:p>
        </w:tc>
        <w:tc>
          <w:tcPr>
            <w:tcW w:type="dxa" w:w="1881"/>
          </w:tcPr>
          <w:p>
            <w:pPr>
              <w:jc w:val="center"/>
            </w:pPr>
            <w:r/>
            <w:r>
              <w:t>2.314</w:t>
            </w:r>
          </w:p>
        </w:tc>
        <w:tc>
          <w:tcPr>
            <w:tcW w:type="dxa" w:w="1881"/>
          </w:tcPr>
          <w:p>
            <w:pPr>
              <w:jc w:val="center"/>
            </w:pPr>
            <w:r/>
            <w:r>
              <w:t>11.753</w:t>
            </w:r>
          </w:p>
        </w:tc>
        <w:tc>
          <w:tcPr>
            <w:tcW w:type="dxa" w:w="1881"/>
          </w:tcPr>
          <w:p>
            <w:pPr>
              <w:jc w:val="center"/>
            </w:pPr>
            <w:r/>
            <w:r>
              <w:t>6.590</w:t>
            </w:r>
          </w:p>
        </w:tc>
        <w:tc>
          <w:tcPr>
            <w:tcW w:type="dxa" w:w="1881"/>
          </w:tcPr>
          <w:p>
            <w:pPr>
              <w:jc w:val="center"/>
            </w:pPr>
            <w:r/>
            <w:r>
              <w:t>3.066</w:t>
            </w:r>
          </w:p>
        </w:tc>
      </w:tr>
      <w:tr>
        <w:tc>
          <w:tcPr>
            <w:tcW w:type="dxa" w:w="1881"/>
          </w:tcPr>
          <w:p>
            <w:pPr>
              <w:jc w:val="center"/>
            </w:pPr>
            <w:r/>
            <w:r>
              <w:t>3</w:t>
            </w:r>
          </w:p>
        </w:tc>
        <w:tc>
          <w:tcPr>
            <w:tcW w:type="dxa" w:w="1881"/>
          </w:tcPr>
          <w:p>
            <w:pPr>
              <w:jc w:val="center"/>
            </w:pPr>
            <w:r/>
            <w:r>
              <w:t>1.974</w:t>
            </w:r>
          </w:p>
        </w:tc>
        <w:tc>
          <w:tcPr>
            <w:tcW w:type="dxa" w:w="1881"/>
          </w:tcPr>
          <w:p>
            <w:pPr>
              <w:jc w:val="center"/>
            </w:pPr>
            <w:r/>
            <w:r>
              <w:t>3.546</w:t>
            </w:r>
          </w:p>
        </w:tc>
        <w:tc>
          <w:tcPr>
            <w:tcW w:type="dxa" w:w="1881"/>
          </w:tcPr>
          <w:p>
            <w:pPr>
              <w:jc w:val="center"/>
            </w:pPr>
            <w:r/>
            <w:r>
              <w:t>6.891</w:t>
            </w:r>
          </w:p>
        </w:tc>
        <w:tc>
          <w:tcPr>
            <w:tcW w:type="dxa" w:w="1881"/>
          </w:tcPr>
          <w:p>
            <w:pPr>
              <w:jc w:val="center"/>
            </w:pPr>
            <w:r/>
            <w:r>
              <w:t>2.673</w:t>
            </w:r>
          </w:p>
        </w:tc>
      </w:tr>
      <w:tr>
        <w:tc>
          <w:tcPr>
            <w:tcW w:type="dxa" w:w="1881"/>
          </w:tcPr>
          <w:p>
            <w:pPr>
              <w:jc w:val="center"/>
            </w:pPr>
            <w:r/>
            <w:r>
              <w:t>4</w:t>
            </w:r>
          </w:p>
        </w:tc>
        <w:tc>
          <w:tcPr>
            <w:tcW w:type="dxa" w:w="1881"/>
          </w:tcPr>
          <w:p>
            <w:pPr>
              <w:jc w:val="center"/>
            </w:pPr>
            <w:r/>
            <w:r>
              <w:t>2.088</w:t>
            </w:r>
          </w:p>
        </w:tc>
        <w:tc>
          <w:tcPr>
            <w:tcW w:type="dxa" w:w="1881"/>
          </w:tcPr>
          <w:p>
            <w:pPr>
              <w:jc w:val="center"/>
            </w:pPr>
            <w:r/>
            <w:r>
              <w:t>14.018</w:t>
            </w:r>
          </w:p>
        </w:tc>
        <w:tc>
          <w:tcPr>
            <w:tcW w:type="dxa" w:w="1881"/>
          </w:tcPr>
          <w:p>
            <w:pPr>
              <w:jc w:val="center"/>
            </w:pPr>
            <w:r/>
            <w:r>
              <w:t>6.148</w:t>
            </w:r>
          </w:p>
        </w:tc>
        <w:tc>
          <w:tcPr>
            <w:tcW w:type="dxa" w:w="1881"/>
          </w:tcPr>
          <w:p>
            <w:pPr>
              <w:jc w:val="center"/>
            </w:pPr>
            <w:r/>
            <w:r>
              <w:t>3.797</w:t>
            </w:r>
          </w:p>
        </w:tc>
      </w:tr>
      <w:tr>
        <w:tc>
          <w:tcPr>
            <w:tcW w:type="dxa" w:w="1881"/>
          </w:tcPr>
          <w:p>
            <w:pPr>
              <w:jc w:val="center"/>
            </w:pPr>
            <w:r/>
            <w:r>
              <w:t>5</w:t>
            </w:r>
          </w:p>
        </w:tc>
        <w:tc>
          <w:tcPr>
            <w:tcW w:type="dxa" w:w="1881"/>
          </w:tcPr>
          <w:p>
            <w:pPr>
              <w:jc w:val="center"/>
            </w:pPr>
            <w:r/>
            <w:r>
              <w:t>1.770</w:t>
            </w:r>
          </w:p>
        </w:tc>
        <w:tc>
          <w:tcPr>
            <w:tcW w:type="dxa" w:w="1881"/>
          </w:tcPr>
          <w:p>
            <w:pPr>
              <w:jc w:val="center"/>
            </w:pPr>
            <w:r/>
            <w:r>
              <w:t>0.257</w:t>
            </w:r>
          </w:p>
        </w:tc>
        <w:tc>
          <w:tcPr>
            <w:tcW w:type="dxa" w:w="1881"/>
          </w:tcPr>
          <w:p>
            <w:pPr>
              <w:jc w:val="center"/>
            </w:pPr>
            <w:r/>
            <w:r>
              <w:t>6.929</w:t>
            </w:r>
          </w:p>
        </w:tc>
        <w:tc>
          <w:tcPr>
            <w:tcW w:type="dxa" w:w="1881"/>
          </w:tcPr>
          <w:p>
            <w:pPr>
              <w:jc w:val="center"/>
            </w:pPr>
            <w:r/>
            <w:r>
              <w:t>2.142</w:t>
            </w:r>
          </w:p>
        </w:tc>
      </w:tr>
      <w:tr>
        <w:tc>
          <w:tcPr>
            <w:tcW w:type="dxa" w:w="1881"/>
          </w:tcPr>
          <w:p>
            <w:pPr>
              <w:jc w:val="center"/>
            </w:pPr>
            <w:r/>
            <w:r>
              <w:t>6</w:t>
            </w:r>
          </w:p>
        </w:tc>
        <w:tc>
          <w:tcPr>
            <w:tcW w:type="dxa" w:w="1881"/>
          </w:tcPr>
          <w:p>
            <w:pPr>
              <w:jc w:val="center"/>
            </w:pPr>
            <w:r/>
            <w:r>
              <w:t>1.869</w:t>
            </w:r>
          </w:p>
        </w:tc>
        <w:tc>
          <w:tcPr>
            <w:tcW w:type="dxa" w:w="1881"/>
          </w:tcPr>
          <w:p>
            <w:pPr>
              <w:jc w:val="center"/>
            </w:pPr>
            <w:r/>
            <w:r>
              <w:t>10.374</w:t>
            </w:r>
          </w:p>
        </w:tc>
        <w:tc>
          <w:tcPr>
            <w:tcW w:type="dxa" w:w="1881"/>
          </w:tcPr>
          <w:p>
            <w:pPr>
              <w:jc w:val="center"/>
            </w:pPr>
            <w:r/>
            <w:r>
              <w:t>6.350</w:t>
            </w:r>
          </w:p>
        </w:tc>
        <w:tc>
          <w:tcPr>
            <w:tcW w:type="dxa" w:w="1881"/>
          </w:tcPr>
          <w:p>
            <w:pPr>
              <w:jc w:val="center"/>
            </w:pPr>
            <w:r/>
            <w:r>
              <w:t>3.224</w:t>
            </w:r>
          </w:p>
        </w:tc>
      </w:tr>
      <w:tr>
        <w:tc>
          <w:tcPr>
            <w:tcW w:type="dxa" w:w="1881"/>
          </w:tcPr>
          <w:p>
            <w:pPr>
              <w:jc w:val="center"/>
            </w:pPr>
            <w:r/>
            <w:r>
              <w:t>7</w:t>
            </w:r>
          </w:p>
        </w:tc>
        <w:tc>
          <w:tcPr>
            <w:tcW w:type="dxa" w:w="1881"/>
          </w:tcPr>
          <w:p>
            <w:pPr>
              <w:jc w:val="center"/>
            </w:pPr>
            <w:r/>
            <w:r>
              <w:t>1.770</w:t>
            </w:r>
          </w:p>
        </w:tc>
        <w:tc>
          <w:tcPr>
            <w:tcW w:type="dxa" w:w="1881"/>
          </w:tcPr>
          <w:p>
            <w:pPr>
              <w:jc w:val="center"/>
            </w:pPr>
            <w:r/>
            <w:r>
              <w:t>0.574</w:t>
            </w:r>
          </w:p>
        </w:tc>
        <w:tc>
          <w:tcPr>
            <w:tcW w:type="dxa" w:w="1881"/>
          </w:tcPr>
          <w:p>
            <w:pPr>
              <w:jc w:val="center"/>
            </w:pPr>
            <w:r/>
            <w:r>
              <w:t>6.928</w:t>
            </w:r>
          </w:p>
        </w:tc>
        <w:tc>
          <w:tcPr>
            <w:tcW w:type="dxa" w:w="1881"/>
          </w:tcPr>
          <w:p>
            <w:pPr>
              <w:jc w:val="center"/>
            </w:pPr>
            <w:r/>
            <w:r>
              <w:t>2.173</w:t>
            </w:r>
          </w:p>
        </w:tc>
      </w:tr>
    </w:tbl>
    <w:p w:rsidR="00373A3D" w:rsidRPr="00373A3D" w:rsidRDefault="00373A3D" w:rsidP="00373A3D">
      <w:pPr>
        <w:jc w:val="center"/>
      </w:pPr>
      <w:r/>
    </w:p>
    <w:tbl>
      <w:tblPr>
        <w:tblStyle w:val="TableGrid"/>
        <w:tblW w:type="auto" w:w="0"/>
        <w:jc w:val="center"/>
        <w:tblLook w:firstColumn="1" w:firstRow="1" w:lastColumn="0" w:lastRow="0" w:noHBand="0" w:noVBand="1" w:val="04A0"/>
      </w:tblPr>
      <w:tblGrid>
        <w:gridCol w:w="1567"/>
        <w:gridCol w:w="1567"/>
        <w:gridCol w:w="1567"/>
        <w:gridCol w:w="1567"/>
        <w:gridCol w:w="1567"/>
        <w:gridCol w:w="1567"/>
      </w:tblGrid>
      <w:tr>
        <w:tc>
          <w:tcPr>
            <w:tcW w:type="dxa" w:w="1567"/>
            <w:vAlign w:val="center"/>
          </w:tcPr>
          <w:p>
            <w:pPr>
              <w:jc w:val="center"/>
            </w:pPr>
            <w:r/>
            <w:r>
              <w:rPr>
                <w:b/>
              </w:rPr>
              <w:t>Slide identifier</w:t>
            </w:r>
          </w:p>
        </w:tc>
        <w:tc>
          <w:tcPr>
            <w:tcW w:type="dxa" w:w="1567"/>
            <w:vAlign w:val="center"/>
          </w:tcPr>
          <w:p>
            <w:pPr>
              <w:jc w:val="center"/>
            </w:pPr>
            <w:r/>
            <w:r>
              <w:rPr>
                <w:b/>
              </w:rPr>
              <w:t>n_sentences</w:t>
            </w:r>
          </w:p>
        </w:tc>
        <w:tc>
          <w:tcPr>
            <w:tcW w:type="dxa" w:w="1567"/>
            <w:vAlign w:val="center"/>
          </w:tcPr>
          <w:p>
            <w:pPr>
              <w:jc w:val="center"/>
            </w:pPr>
            <w:r/>
            <w:r>
              <w:rPr>
                <w:b/>
              </w:rPr>
              <w:t>n_concept</w:t>
            </w:r>
          </w:p>
        </w:tc>
        <w:tc>
          <w:tcPr>
            <w:tcW w:type="dxa" w:w="1567"/>
            <w:vAlign w:val="center"/>
          </w:tcPr>
          <w:p>
            <w:pPr>
              <w:jc w:val="center"/>
            </w:pPr>
            <w:r/>
            <w:r>
              <w:rPr>
                <w:b/>
              </w:rPr>
              <w:t>hits@5</w:t>
            </w:r>
          </w:p>
        </w:tc>
        <w:tc>
          <w:tcPr>
            <w:tcW w:type="dxa" w:w="1567"/>
            <w:vAlign w:val="center"/>
          </w:tcPr>
          <w:p>
            <w:pPr>
              <w:jc w:val="center"/>
            </w:pPr>
            <w:r/>
            <w:r>
              <w:rPr>
                <w:b/>
              </w:rPr>
              <w:t>hits@10</w:t>
            </w:r>
          </w:p>
        </w:tc>
        <w:tc>
          <w:tcPr>
            <w:tcW w:type="dxa" w:w="1567"/>
            <w:vAlign w:val="center"/>
          </w:tcPr>
          <w:p>
            <w:pPr>
              <w:jc w:val="center"/>
            </w:pPr>
            <w:r/>
            <w:r>
              <w:rPr>
                <w:b/>
              </w:rPr>
              <w:t>hits@20</w:t>
            </w:r>
          </w:p>
        </w:tc>
      </w:tr>
      <w:tr>
        <w:tc>
          <w:tcPr>
            <w:tcW w:type="dxa" w:w="1567"/>
          </w:tcPr>
          <w:p>
            <w:pPr>
              <w:jc w:val="center"/>
            </w:pPr>
            <w:r/>
            <w:r>
              <w:t>TCGA-A2-A0T0-01Z-00-DX1</w:t>
            </w:r>
          </w:p>
        </w:tc>
        <w:tc>
          <w:tcPr>
            <w:tcW w:type="dxa" w:w="1567"/>
          </w:tcPr>
          <w:p>
            <w:pPr>
              <w:jc w:val="center"/>
            </w:pPr>
            <w:r/>
            <w:r>
              <w:t>7</w:t>
            </w:r>
          </w:p>
        </w:tc>
        <w:tc>
          <w:tcPr>
            <w:tcW w:type="dxa" w:w="1567"/>
          </w:tcPr>
          <w:p>
            <w:pPr>
              <w:jc w:val="center"/>
            </w:pPr>
            <w:r/>
            <w:r>
              <w:t>6</w:t>
            </w:r>
          </w:p>
        </w:tc>
        <w:tc>
          <w:tcPr>
            <w:tcW w:type="dxa" w:w="1567"/>
          </w:tcPr>
          <w:p>
            <w:pPr>
              <w:jc w:val="center"/>
            </w:pPr>
            <w:r/>
            <w:r>
              <w:t>0</w:t>
            </w:r>
          </w:p>
        </w:tc>
        <w:tc>
          <w:tcPr>
            <w:tcW w:type="dxa" w:w="1567"/>
          </w:tcPr>
          <w:p>
            <w:pPr>
              <w:jc w:val="center"/>
            </w:pPr>
            <w:r/>
            <w:r>
              <w:t>0</w:t>
            </w:r>
          </w:p>
        </w:tc>
        <w:tc>
          <w:tcPr>
            <w:tcW w:type="dxa" w:w="1567"/>
          </w:tcPr>
          <w:p>
            <w:pPr>
              <w:jc w:val="center"/>
            </w:pPr>
            <w:r/>
            <w:r>
              <w:t>0</w:t>
            </w:r>
          </w:p>
        </w:tc>
      </w:tr>
      <w:tr>
        <w:tc>
          <w:tcPr>
            <w:tcW w:type="dxa" w:w="1567"/>
          </w:tcPr>
          <w:p>
            <w:pPr>
              <w:jc w:val="center"/>
            </w:pPr>
            <w:r/>
            <w:r>
              <w:t>TCGA-A2-A3XU-01Z-00-DX1</w:t>
            </w:r>
          </w:p>
        </w:tc>
        <w:tc>
          <w:tcPr>
            <w:tcW w:type="dxa" w:w="1567"/>
          </w:tcPr>
          <w:p>
            <w:pPr>
              <w:jc w:val="center"/>
            </w:pPr>
            <w:r/>
            <w:r>
              <w:t>12</w:t>
            </w:r>
          </w:p>
        </w:tc>
        <w:tc>
          <w:tcPr>
            <w:tcW w:type="dxa" w:w="1567"/>
          </w:tcPr>
          <w:p>
            <w:pPr>
              <w:jc w:val="center"/>
            </w:pPr>
            <w:r/>
            <w:r>
              <w:t>4</w:t>
            </w:r>
          </w:p>
        </w:tc>
        <w:tc>
          <w:tcPr>
            <w:tcW w:type="dxa" w:w="1567"/>
          </w:tcPr>
          <w:p>
            <w:pPr>
              <w:jc w:val="center"/>
            </w:pPr>
            <w:r/>
            <w:r>
              <w:t>0</w:t>
            </w:r>
          </w:p>
        </w:tc>
        <w:tc>
          <w:tcPr>
            <w:tcW w:type="dxa" w:w="1567"/>
          </w:tcPr>
          <w:p>
            <w:pPr>
              <w:jc w:val="center"/>
            </w:pPr>
            <w:r/>
            <w:r>
              <w:t>0</w:t>
            </w:r>
          </w:p>
        </w:tc>
        <w:tc>
          <w:tcPr>
            <w:tcW w:type="dxa" w:w="1567"/>
          </w:tcPr>
          <w:p>
            <w:pPr>
              <w:jc w:val="center"/>
            </w:pPr>
            <w:r/>
            <w:r>
              <w:t>0</w:t>
            </w:r>
          </w:p>
        </w:tc>
      </w:tr>
      <w:tr>
        <w:tc>
          <w:tcPr>
            <w:tcW w:type="dxa" w:w="1567"/>
          </w:tcPr>
          <w:p>
            <w:pPr>
              <w:jc w:val="center"/>
            </w:pPr>
            <w:r/>
            <w:r>
              <w:t>TCGA-A2-A3XX-01Z-00-DX1</w:t>
            </w:r>
          </w:p>
        </w:tc>
        <w:tc>
          <w:tcPr>
            <w:tcW w:type="dxa" w:w="1567"/>
          </w:tcPr>
          <w:p>
            <w:pPr>
              <w:jc w:val="center"/>
            </w:pPr>
            <w:r/>
            <w:r>
              <w:t>9</w:t>
            </w:r>
          </w:p>
        </w:tc>
        <w:tc>
          <w:tcPr>
            <w:tcW w:type="dxa" w:w="1567"/>
          </w:tcPr>
          <w:p>
            <w:pPr>
              <w:jc w:val="center"/>
            </w:pPr>
            <w:r/>
            <w:r>
              <w:t>3</w:t>
            </w:r>
          </w:p>
        </w:tc>
        <w:tc>
          <w:tcPr>
            <w:tcW w:type="dxa" w:w="1567"/>
          </w:tcPr>
          <w:p>
            <w:pPr>
              <w:jc w:val="center"/>
            </w:pPr>
            <w:r/>
            <w:r>
              <w:t>0</w:t>
            </w:r>
          </w:p>
        </w:tc>
        <w:tc>
          <w:tcPr>
            <w:tcW w:type="dxa" w:w="1567"/>
          </w:tcPr>
          <w:p>
            <w:pPr>
              <w:jc w:val="center"/>
            </w:pPr>
            <w:r/>
            <w:r>
              <w:t>0</w:t>
            </w:r>
          </w:p>
        </w:tc>
        <w:tc>
          <w:tcPr>
            <w:tcW w:type="dxa" w:w="1567"/>
          </w:tcPr>
          <w:p>
            <w:pPr>
              <w:jc w:val="center"/>
            </w:pPr>
            <w:r/>
            <w:r>
              <w:t>0</w:t>
            </w:r>
          </w:p>
        </w:tc>
      </w:tr>
      <w:tr>
        <w:tc>
          <w:tcPr>
            <w:tcW w:type="dxa" w:w="1567"/>
          </w:tcPr>
          <w:p>
            <w:pPr>
              <w:jc w:val="center"/>
            </w:pPr>
            <w:r/>
            <w:r>
              <w:t>TCGA-A7-A0DA-01Z-00-DX1</w:t>
            </w:r>
          </w:p>
        </w:tc>
        <w:tc>
          <w:tcPr>
            <w:tcW w:type="dxa" w:w="1567"/>
          </w:tcPr>
          <w:p>
            <w:pPr>
              <w:jc w:val="center"/>
            </w:pPr>
            <w:r/>
            <w:r>
              <w:t>12</w:t>
            </w:r>
          </w:p>
        </w:tc>
        <w:tc>
          <w:tcPr>
            <w:tcW w:type="dxa" w:w="1567"/>
          </w:tcPr>
          <w:p>
            <w:pPr>
              <w:jc w:val="center"/>
            </w:pPr>
            <w:r/>
            <w:r>
              <w:t>6</w:t>
            </w:r>
          </w:p>
        </w:tc>
        <w:tc>
          <w:tcPr>
            <w:tcW w:type="dxa" w:w="1567"/>
          </w:tcPr>
          <w:p>
            <w:pPr>
              <w:jc w:val="center"/>
            </w:pPr>
            <w:r/>
            <w:r>
              <w:t>0</w:t>
            </w:r>
          </w:p>
        </w:tc>
        <w:tc>
          <w:tcPr>
            <w:tcW w:type="dxa" w:w="1567"/>
          </w:tcPr>
          <w:p>
            <w:pPr>
              <w:jc w:val="center"/>
            </w:pPr>
            <w:r/>
            <w:r>
              <w:t>0</w:t>
            </w:r>
          </w:p>
        </w:tc>
        <w:tc>
          <w:tcPr>
            <w:tcW w:type="dxa" w:w="1567"/>
          </w:tcPr>
          <w:p>
            <w:pPr>
              <w:jc w:val="center"/>
            </w:pPr>
            <w:r/>
            <w:r>
              <w:t>0</w:t>
            </w:r>
          </w:p>
        </w:tc>
      </w:tr>
      <w:tr>
        <w:tc>
          <w:tcPr>
            <w:tcW w:type="dxa" w:w="1567"/>
          </w:tcPr>
          <w:p>
            <w:pPr>
              <w:jc w:val="center"/>
            </w:pPr>
            <w:r/>
            <w:r>
              <w:t>TCGA-A1-A0SP-01Z-00-DX1</w:t>
            </w:r>
          </w:p>
        </w:tc>
        <w:tc>
          <w:tcPr>
            <w:tcW w:type="dxa" w:w="1567"/>
          </w:tcPr>
          <w:p>
            <w:pPr>
              <w:jc w:val="center"/>
            </w:pPr>
            <w:r/>
            <w:r>
              <w:t>11</w:t>
            </w:r>
          </w:p>
        </w:tc>
        <w:tc>
          <w:tcPr>
            <w:tcW w:type="dxa" w:w="1567"/>
          </w:tcPr>
          <w:p>
            <w:pPr>
              <w:jc w:val="center"/>
            </w:pPr>
            <w:r/>
            <w:r>
              <w:t>3</w:t>
            </w:r>
          </w:p>
        </w:tc>
        <w:tc>
          <w:tcPr>
            <w:tcW w:type="dxa" w:w="1567"/>
          </w:tcPr>
          <w:p>
            <w:pPr>
              <w:jc w:val="center"/>
            </w:pPr>
            <w:r/>
            <w:r>
              <w:t>0</w:t>
            </w:r>
          </w:p>
        </w:tc>
        <w:tc>
          <w:tcPr>
            <w:tcW w:type="dxa" w:w="1567"/>
          </w:tcPr>
          <w:p>
            <w:pPr>
              <w:jc w:val="center"/>
            </w:pPr>
            <w:r/>
            <w:r>
              <w:t>0</w:t>
            </w:r>
          </w:p>
        </w:tc>
        <w:tc>
          <w:tcPr>
            <w:tcW w:type="dxa" w:w="1567"/>
          </w:tcPr>
          <w:p>
            <w:pPr>
              <w:jc w:val="center"/>
            </w:pPr>
            <w:r/>
            <w:r>
              <w:t>0</w:t>
            </w:r>
          </w:p>
        </w:tc>
      </w:tr>
      <w:tr>
        <w:tc>
          <w:tcPr>
            <w:tcW w:type="dxa" w:w="1567"/>
          </w:tcPr>
          <w:p>
            <w:pPr>
              <w:jc w:val="center"/>
            </w:pPr>
            <w:r/>
            <w:r>
              <w:t>TCGA-A2-A0ST-01Z-00-DX1</w:t>
            </w:r>
          </w:p>
        </w:tc>
        <w:tc>
          <w:tcPr>
            <w:tcW w:type="dxa" w:w="1567"/>
          </w:tcPr>
          <w:p>
            <w:pPr>
              <w:jc w:val="center"/>
            </w:pPr>
            <w:r/>
            <w:r>
              <w:t>8</w:t>
            </w:r>
          </w:p>
        </w:tc>
        <w:tc>
          <w:tcPr>
            <w:tcW w:type="dxa" w:w="1567"/>
          </w:tcPr>
          <w:p>
            <w:pPr>
              <w:jc w:val="center"/>
            </w:pPr>
            <w:r/>
            <w:r>
              <w:t>3</w:t>
            </w:r>
          </w:p>
        </w:tc>
        <w:tc>
          <w:tcPr>
            <w:tcW w:type="dxa" w:w="1567"/>
          </w:tcPr>
          <w:p>
            <w:pPr>
              <w:jc w:val="center"/>
            </w:pPr>
            <w:r/>
            <w:r>
              <w:t>0</w:t>
            </w:r>
          </w:p>
        </w:tc>
        <w:tc>
          <w:tcPr>
            <w:tcW w:type="dxa" w:w="1567"/>
          </w:tcPr>
          <w:p>
            <w:pPr>
              <w:jc w:val="center"/>
            </w:pPr>
            <w:r/>
            <w:r>
              <w:t>0</w:t>
            </w:r>
          </w:p>
        </w:tc>
        <w:tc>
          <w:tcPr>
            <w:tcW w:type="dxa" w:w="1567"/>
          </w:tcPr>
          <w:p>
            <w:pPr>
              <w:jc w:val="center"/>
            </w:pPr>
            <w:r/>
            <w:r>
              <w:t>0</w:t>
            </w:r>
          </w:p>
        </w:tc>
      </w:tr>
      <w:tr>
        <w:tc>
          <w:tcPr>
            <w:tcW w:type="dxa" w:w="1567"/>
          </w:tcPr>
          <w:p>
            <w:pPr>
              <w:jc w:val="center"/>
            </w:pPr>
            <w:r/>
            <w:r>
              <w:t>TCGA-AO-A128-01Z-00-DX1</w:t>
            </w:r>
          </w:p>
        </w:tc>
        <w:tc>
          <w:tcPr>
            <w:tcW w:type="dxa" w:w="1567"/>
          </w:tcPr>
          <w:p>
            <w:pPr>
              <w:jc w:val="center"/>
            </w:pPr>
            <w:r/>
            <w:r>
              <w:t>12</w:t>
            </w:r>
          </w:p>
        </w:tc>
        <w:tc>
          <w:tcPr>
            <w:tcW w:type="dxa" w:w="1567"/>
          </w:tcPr>
          <w:p>
            <w:pPr>
              <w:jc w:val="center"/>
            </w:pPr>
            <w:r/>
            <w:r>
              <w:t>12</w:t>
            </w:r>
          </w:p>
        </w:tc>
        <w:tc>
          <w:tcPr>
            <w:tcW w:type="dxa" w:w="1567"/>
          </w:tcPr>
          <w:p>
            <w:pPr>
              <w:jc w:val="center"/>
            </w:pPr>
            <w:r/>
            <w:r>
              <w:t>3</w:t>
            </w:r>
          </w:p>
        </w:tc>
        <w:tc>
          <w:tcPr>
            <w:tcW w:type="dxa" w:w="1567"/>
          </w:tcPr>
          <w:p>
            <w:pPr>
              <w:jc w:val="center"/>
            </w:pPr>
            <w:r/>
            <w:r>
              <w:t>3</w:t>
            </w:r>
          </w:p>
        </w:tc>
        <w:tc>
          <w:tcPr>
            <w:tcW w:type="dxa" w:w="1567"/>
          </w:tcPr>
          <w:p>
            <w:pPr>
              <w:jc w:val="center"/>
            </w:pPr>
            <w:r/>
            <w:r>
              <w:t>4</w:t>
            </w:r>
          </w:p>
        </w:tc>
      </w:tr>
      <w:tr>
        <w:tc>
          <w:tcPr>
            <w:tcW w:type="dxa" w:w="1567"/>
          </w:tcPr>
          <w:p>
            <w:pPr>
              <w:jc w:val="center"/>
            </w:pPr>
            <w:r/>
            <w:r>
              <w:t>Total</w:t>
            </w:r>
          </w:p>
        </w:tc>
        <w:tc>
          <w:tcPr>
            <w:tcW w:type="dxa" w:w="1567"/>
          </w:tcPr>
          <w:p>
            <w:pPr>
              <w:jc w:val="center"/>
            </w:pPr>
            <w:r/>
            <w:r>
              <w:t>71</w:t>
            </w:r>
          </w:p>
        </w:tc>
        <w:tc>
          <w:tcPr>
            <w:tcW w:type="dxa" w:w="1567"/>
          </w:tcPr>
          <w:p>
            <w:pPr>
              <w:jc w:val="center"/>
            </w:pPr>
            <w:r/>
            <w:r>
              <w:t>37</w:t>
            </w:r>
          </w:p>
        </w:tc>
        <w:tc>
          <w:tcPr>
            <w:tcW w:type="dxa" w:w="1567"/>
          </w:tcPr>
          <w:p>
            <w:pPr>
              <w:jc w:val="center"/>
            </w:pPr>
            <w:r/>
            <w:r>
              <w:t>3</w:t>
            </w:r>
          </w:p>
        </w:tc>
        <w:tc>
          <w:tcPr>
            <w:tcW w:type="dxa" w:w="1567"/>
          </w:tcPr>
          <w:p>
            <w:pPr>
              <w:jc w:val="center"/>
            </w:pPr>
            <w:r/>
            <w:r>
              <w:t>3</w:t>
            </w:r>
          </w:p>
        </w:tc>
        <w:tc>
          <w:tcPr>
            <w:tcW w:type="dxa" w:w="1567"/>
          </w:tcPr>
          <w:p>
            <w:pPr>
              <w:jc w:val="center"/>
            </w:pPr>
            <w:r/>
            <w:r>
              <w:t>4</w:t>
            </w:r>
          </w:p>
        </w:tc>
      </w:tr>
    </w:tbl>
    <w:p w:rsidR="00373A3D" w:rsidRPr="00373A3D" w:rsidRDefault="00373A3D" w:rsidP="00373A3D">
      <w:pPr>
        <w:jc w:val="center"/>
      </w:pPr>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center"/>
          </w:tcPr>
          <w:p>
            <w:pPr>
              <w:jc w:val="center"/>
            </w:pPr>
            <w:r/>
            <w:r>
              <w:rPr>
                <w:b/>
              </w:rPr>
              <w:t>Slide identifier</w:t>
            </w:r>
          </w:p>
        </w:tc>
        <w:tc>
          <w:tcPr>
            <w:tcW w:type="dxa" w:w="3135"/>
            <w:vAlign w:val="center"/>
          </w:tcPr>
          <w:p>
            <w:pPr>
              <w:jc w:val="center"/>
            </w:pPr>
            <w:r/>
            <w:r>
              <w:rPr>
                <w:b/>
              </w:rPr>
              <w:t>BLEU-4</w:t>
            </w:r>
          </w:p>
        </w:tc>
        <w:tc>
          <w:tcPr>
            <w:tcW w:type="dxa" w:w="3135"/>
            <w:vAlign w:val="center"/>
          </w:tcPr>
          <w:p>
            <w:pPr>
              <w:jc w:val="center"/>
            </w:pPr>
            <w:r/>
            <w:r>
              <w:rPr>
                <w:b/>
              </w:rPr>
              <w:t>ROUGE-L</w:t>
            </w:r>
          </w:p>
        </w:tc>
      </w:tr>
      <w:tr>
        <w:tc>
          <w:tcPr>
            <w:tcW w:type="dxa" w:w="3135"/>
          </w:tcPr>
          <w:p>
            <w:pPr>
              <w:jc w:val="center"/>
            </w:pPr>
            <w:r/>
            <w:r>
              <w:t>TCGA-A2-A0T0-01Z-00-DX1</w:t>
            </w:r>
          </w:p>
        </w:tc>
        <w:tc>
          <w:tcPr>
            <w:tcW w:type="dxa" w:w="3135"/>
          </w:tcPr>
          <w:p>
            <w:pPr>
              <w:jc w:val="center"/>
            </w:pPr>
            <w:r/>
            <w:r>
              <w:t>0.020</w:t>
            </w:r>
          </w:p>
        </w:tc>
        <w:tc>
          <w:tcPr>
            <w:tcW w:type="dxa" w:w="3135"/>
          </w:tcPr>
          <w:p>
            <w:pPr>
              <w:jc w:val="center"/>
            </w:pPr>
            <w:r/>
            <w:r>
              <w:t>0.195</w:t>
            </w:r>
          </w:p>
        </w:tc>
      </w:tr>
      <w:tr>
        <w:tc>
          <w:tcPr>
            <w:tcW w:type="dxa" w:w="3135"/>
          </w:tcPr>
          <w:p>
            <w:pPr>
              <w:jc w:val="center"/>
            </w:pPr>
            <w:r/>
            <w:r>
              <w:t>TCGA-A2-A3XU-01Z-00-DX1</w:t>
            </w:r>
          </w:p>
        </w:tc>
        <w:tc>
          <w:tcPr>
            <w:tcW w:type="dxa" w:w="3135"/>
          </w:tcPr>
          <w:p>
            <w:pPr>
              <w:jc w:val="center"/>
            </w:pPr>
            <w:r/>
            <w:r>
              <w:t>0.104</w:t>
            </w:r>
          </w:p>
        </w:tc>
        <w:tc>
          <w:tcPr>
            <w:tcW w:type="dxa" w:w="3135"/>
          </w:tcPr>
          <w:p>
            <w:pPr>
              <w:jc w:val="center"/>
            </w:pPr>
            <w:r/>
            <w:r>
              <w:t>0.225</w:t>
            </w:r>
          </w:p>
        </w:tc>
      </w:tr>
      <w:tr>
        <w:tc>
          <w:tcPr>
            <w:tcW w:type="dxa" w:w="3135"/>
          </w:tcPr>
          <w:p>
            <w:pPr>
              <w:jc w:val="center"/>
            </w:pPr>
            <w:r/>
            <w:r>
              <w:t>TCGA-A2-A3XX-01Z-00-DX1</w:t>
            </w:r>
          </w:p>
        </w:tc>
        <w:tc>
          <w:tcPr>
            <w:tcW w:type="dxa" w:w="3135"/>
          </w:tcPr>
          <w:p>
            <w:pPr>
              <w:jc w:val="center"/>
            </w:pPr>
            <w:r/>
            <w:r>
              <w:t>0.092</w:t>
            </w:r>
          </w:p>
        </w:tc>
        <w:tc>
          <w:tcPr>
            <w:tcW w:type="dxa" w:w="3135"/>
          </w:tcPr>
          <w:p>
            <w:pPr>
              <w:jc w:val="center"/>
            </w:pPr>
            <w:r/>
            <w:r>
              <w:t>0.229</w:t>
            </w:r>
          </w:p>
        </w:tc>
      </w:tr>
      <w:tr>
        <w:tc>
          <w:tcPr>
            <w:tcW w:type="dxa" w:w="3135"/>
          </w:tcPr>
          <w:p>
            <w:pPr>
              <w:jc w:val="center"/>
            </w:pPr>
            <w:r/>
            <w:r>
              <w:t>TCGA-A7-A0DA-01Z-00-DX1</w:t>
            </w:r>
          </w:p>
        </w:tc>
        <w:tc>
          <w:tcPr>
            <w:tcW w:type="dxa" w:w="3135"/>
          </w:tcPr>
          <w:p>
            <w:pPr>
              <w:jc w:val="center"/>
            </w:pPr>
            <w:r/>
            <w:r>
              <w:t>0.031</w:t>
            </w:r>
          </w:p>
        </w:tc>
        <w:tc>
          <w:tcPr>
            <w:tcW w:type="dxa" w:w="3135"/>
          </w:tcPr>
          <w:p>
            <w:pPr>
              <w:jc w:val="center"/>
            </w:pPr>
            <w:r/>
            <w:r>
              <w:t>0.155</w:t>
            </w:r>
          </w:p>
        </w:tc>
      </w:tr>
      <w:tr>
        <w:tc>
          <w:tcPr>
            <w:tcW w:type="dxa" w:w="3135"/>
          </w:tcPr>
          <w:p>
            <w:pPr>
              <w:jc w:val="center"/>
            </w:pPr>
            <w:r/>
            <w:r>
              <w:t>TCGA-A1-A0SP-01Z-00-DX1</w:t>
            </w:r>
          </w:p>
        </w:tc>
        <w:tc>
          <w:tcPr>
            <w:tcW w:type="dxa" w:w="3135"/>
          </w:tcPr>
          <w:p>
            <w:pPr>
              <w:jc w:val="center"/>
            </w:pPr>
            <w:r/>
            <w:r>
              <w:t>0.082</w:t>
            </w:r>
          </w:p>
        </w:tc>
        <w:tc>
          <w:tcPr>
            <w:tcW w:type="dxa" w:w="3135"/>
          </w:tcPr>
          <w:p>
            <w:pPr>
              <w:jc w:val="center"/>
            </w:pPr>
            <w:r/>
            <w:r>
              <w:t>0.244</w:t>
            </w:r>
          </w:p>
        </w:tc>
      </w:tr>
      <w:tr>
        <w:tc>
          <w:tcPr>
            <w:tcW w:type="dxa" w:w="3135"/>
          </w:tcPr>
          <w:p>
            <w:pPr>
              <w:jc w:val="center"/>
            </w:pPr>
            <w:r/>
            <w:r>
              <w:t>TCGA-A2-A0ST-01Z-00-DX1</w:t>
            </w:r>
          </w:p>
        </w:tc>
        <w:tc>
          <w:tcPr>
            <w:tcW w:type="dxa" w:w="3135"/>
          </w:tcPr>
          <w:p>
            <w:pPr>
              <w:jc w:val="center"/>
            </w:pPr>
            <w:r/>
            <w:r>
              <w:t>0.018</w:t>
            </w:r>
          </w:p>
        </w:tc>
        <w:tc>
          <w:tcPr>
            <w:tcW w:type="dxa" w:w="3135"/>
          </w:tcPr>
          <w:p>
            <w:pPr>
              <w:jc w:val="center"/>
            </w:pPr>
            <w:r/>
            <w:r>
              <w:t>0.135</w:t>
            </w:r>
          </w:p>
        </w:tc>
      </w:tr>
      <w:tr>
        <w:tc>
          <w:tcPr>
            <w:tcW w:type="dxa" w:w="3135"/>
          </w:tcPr>
          <w:p>
            <w:pPr>
              <w:jc w:val="center"/>
            </w:pPr>
            <w:r/>
            <w:r>
              <w:t>TCGA-AO-A128-01Z-00-DX1</w:t>
            </w:r>
          </w:p>
        </w:tc>
        <w:tc>
          <w:tcPr>
            <w:tcW w:type="dxa" w:w="3135"/>
          </w:tcPr>
          <w:p>
            <w:pPr>
              <w:jc w:val="center"/>
            </w:pPr>
            <w:r/>
            <w:r>
              <w:t>0.044</w:t>
            </w:r>
          </w:p>
        </w:tc>
        <w:tc>
          <w:tcPr>
            <w:tcW w:type="dxa" w:w="3135"/>
          </w:tcPr>
          <w:p>
            <w:pPr>
              <w:jc w:val="center"/>
            </w:pPr>
            <w:r/>
            <w:r>
              <w:t>0.210</w:t>
            </w:r>
          </w:p>
        </w:tc>
      </w:tr>
      <w:tr>
        <w:tc>
          <w:tcPr>
            <w:tcW w:type="dxa" w:w="3135"/>
          </w:tcPr>
          <w:p>
            <w:pPr>
              <w:jc w:val="center"/>
            </w:pPr>
            <w:r/>
            <w:r>
              <w:t>Mean</w:t>
            </w:r>
          </w:p>
        </w:tc>
        <w:tc>
          <w:tcPr>
            <w:tcW w:type="dxa" w:w="3135"/>
          </w:tcPr>
          <w:p>
            <w:pPr>
              <w:jc w:val="center"/>
            </w:pPr>
            <w:r/>
            <w:r>
              <w:t>0.056</w:t>
            </w:r>
          </w:p>
        </w:tc>
        <w:tc>
          <w:tcPr>
            <w:tcW w:type="dxa" w:w="3135"/>
          </w:tcPr>
          <w:p>
            <w:pPr>
              <w:jc w:val="center"/>
            </w:pPr>
            <w:r/>
            <w:r>
              <w:t>0.199</w:t>
            </w:r>
          </w:p>
        </w:tc>
      </w:tr>
    </w:tbl>
    <w:p w:rsidR="00373A3D" w:rsidRPr="00373A3D" w:rsidRDefault="00373A3D" w:rsidP="00373A3D">
      <w:pPr>
        <w:jc w:val="center"/>
      </w:pPr>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vAlign w:val="center"/>
          </w:tcPr>
          <w:p>
            <w:pPr>
              <w:jc w:val="center"/>
            </w:pPr>
            <w:r/>
            <w:r>
              <w:rPr>
                <w:b/>
              </w:rPr>
              <w:t>Metric</w:t>
            </w:r>
          </w:p>
        </w:tc>
        <w:tc>
          <w:tcPr>
            <w:tcW w:type="dxa" w:w="2351"/>
            <w:vAlign w:val="center"/>
          </w:tcPr>
          <w:p>
            <w:pPr>
              <w:jc w:val="center"/>
            </w:pPr>
            <w:r/>
            <w:r>
              <w:rPr>
                <w:b/>
              </w:rPr>
              <w:t>Value</w:t>
            </w:r>
          </w:p>
        </w:tc>
        <w:tc>
          <w:tcPr>
            <w:tcW w:type="dxa" w:w="2351"/>
            <w:vAlign w:val="center"/>
          </w:tcPr>
          <w:p>
            <w:pPr>
              <w:jc w:val="center"/>
            </w:pPr>
            <w:r/>
            <w:r>
              <w:rPr>
                <w:b/>
              </w:rPr>
              <w:t>Baseline</w:t>
            </w:r>
          </w:p>
        </w:tc>
        <w:tc>
          <w:tcPr>
            <w:tcW w:type="dxa" w:w="2351"/>
            <w:vAlign w:val="center"/>
          </w:tcPr>
          <w:p>
            <w:pPr>
              <w:jc w:val="center"/>
            </w:pPr>
            <w:r/>
            <w:r>
              <w:rPr>
                <w:b/>
              </w:rPr>
              <w:t>Lift</w:t>
            </w:r>
          </w:p>
        </w:tc>
      </w:tr>
      <w:tr>
        <w:tc>
          <w:tcPr>
            <w:tcW w:type="dxa" w:w="2351"/>
          </w:tcPr>
          <w:p>
            <w:pPr>
              <w:jc w:val="center"/>
            </w:pPr>
            <w:r/>
            <w:r>
              <w:t>BLEU-4</w:t>
            </w:r>
          </w:p>
        </w:tc>
        <w:tc>
          <w:tcPr>
            <w:tcW w:type="dxa" w:w="2351"/>
          </w:tcPr>
          <w:p>
            <w:pPr>
              <w:jc w:val="center"/>
            </w:pPr>
            <w:r/>
            <w:r>
              <w:t>0.0559</w:t>
            </w:r>
          </w:p>
        </w:tc>
        <w:tc>
          <w:tcPr>
            <w:tcW w:type="dxa" w:w="2351"/>
          </w:tcPr>
          <w:p>
            <w:pPr>
              <w:jc w:val="center"/>
            </w:pPr>
            <w:r/>
            <w:r>
              <w:t>—</w:t>
            </w:r>
          </w:p>
        </w:tc>
        <w:tc>
          <w:tcPr>
            <w:tcW w:type="dxa" w:w="2351"/>
          </w:tcPr>
          <w:p>
            <w:pPr>
              <w:jc w:val="center"/>
            </w:pPr>
            <w:r/>
            <w:r>
              <w:t>—</w:t>
            </w:r>
          </w:p>
        </w:tc>
      </w:tr>
      <w:tr>
        <w:tc>
          <w:tcPr>
            <w:tcW w:type="dxa" w:w="2351"/>
          </w:tcPr>
          <w:p>
            <w:pPr>
              <w:jc w:val="center"/>
            </w:pPr>
            <w:r/>
            <w:r>
              <w:t>ROUGE-L</w:t>
            </w:r>
          </w:p>
        </w:tc>
        <w:tc>
          <w:tcPr>
            <w:tcW w:type="dxa" w:w="2351"/>
          </w:tcPr>
          <w:p>
            <w:pPr>
              <w:jc w:val="center"/>
            </w:pPr>
            <w:r/>
            <w:r>
              <w:t>0.1990</w:t>
            </w:r>
          </w:p>
        </w:tc>
        <w:tc>
          <w:tcPr>
            <w:tcW w:type="dxa" w:w="2351"/>
          </w:tcPr>
          <w:p>
            <w:pPr>
              <w:jc w:val="center"/>
            </w:pPr>
            <w:r/>
            <w:r>
              <w:t>—</w:t>
            </w:r>
          </w:p>
        </w:tc>
        <w:tc>
          <w:tcPr>
            <w:tcW w:type="dxa" w:w="2351"/>
          </w:tcPr>
          <w:p>
            <w:pPr>
              <w:jc w:val="center"/>
            </w:pPr>
            <w:r/>
            <w:r>
              <w:t>—</w:t>
            </w:r>
          </w:p>
        </w:tc>
      </w:tr>
      <w:tr>
        <w:tc>
          <w:tcPr>
            <w:tcW w:type="dxa" w:w="2351"/>
          </w:tcPr>
          <w:p>
            <w:pPr>
              <w:jc w:val="center"/>
            </w:pPr>
            <w:r/>
            <w:r>
              <w:t>PG@5 (BCSS)</w:t>
            </w:r>
          </w:p>
        </w:tc>
        <w:tc>
          <w:tcPr>
            <w:tcW w:type="dxa" w:w="2351"/>
          </w:tcPr>
          <w:p>
            <w:pPr>
              <w:jc w:val="center"/>
            </w:pPr>
            <w:r/>
            <w:r>
              <w:t>0.081</w:t>
            </w:r>
          </w:p>
        </w:tc>
        <w:tc>
          <w:tcPr>
            <w:tcW w:type="dxa" w:w="2351"/>
          </w:tcPr>
          <w:p>
            <w:pPr>
              <w:jc w:val="center"/>
            </w:pPr>
            <w:r/>
            <w:r>
              <w:t>0.019 (uniform)</w:t>
            </w:r>
          </w:p>
        </w:tc>
        <w:tc>
          <w:tcPr>
            <w:tcW w:type="dxa" w:w="2351"/>
          </w:tcPr>
          <w:p>
            <w:pPr>
              <w:jc w:val="center"/>
            </w:pPr>
            <w:r/>
            <w:r>
              <w:t>4.4×</w:t>
            </w:r>
          </w:p>
        </w:tc>
      </w:tr>
      <w:tr>
        <w:tc>
          <w:tcPr>
            <w:tcW w:type="dxa" w:w="2351"/>
          </w:tcPr>
          <w:p>
            <w:pPr>
              <w:jc w:val="center"/>
            </w:pPr>
            <w:r/>
            <w:r>
              <w:t>PG@10</w:t>
            </w:r>
          </w:p>
        </w:tc>
        <w:tc>
          <w:tcPr>
            <w:tcW w:type="dxa" w:w="2351"/>
          </w:tcPr>
          <w:p>
            <w:pPr>
              <w:jc w:val="center"/>
            </w:pPr>
            <w:r/>
            <w:r>
              <w:t>0.081</w:t>
            </w:r>
          </w:p>
        </w:tc>
        <w:tc>
          <w:tcPr>
            <w:tcW w:type="dxa" w:w="2351"/>
          </w:tcPr>
          <w:p>
            <w:pPr>
              <w:jc w:val="center"/>
            </w:pPr>
            <w:r/>
            <w:r>
              <w:t>0.037 (uniform)</w:t>
            </w:r>
          </w:p>
        </w:tc>
        <w:tc>
          <w:tcPr>
            <w:tcW w:type="dxa" w:w="2351"/>
          </w:tcPr>
          <w:p>
            <w:pPr>
              <w:jc w:val="center"/>
            </w:pPr>
            <w:r/>
            <w:r>
              <w:t>2.2×</w:t>
            </w:r>
          </w:p>
        </w:tc>
      </w:tr>
      <w:tr>
        <w:tc>
          <w:tcPr>
            <w:tcW w:type="dxa" w:w="2351"/>
          </w:tcPr>
          <w:p>
            <w:pPr>
              <w:jc w:val="center"/>
            </w:pPr>
            <w:r/>
            <w:r>
              <w:t>PG@20</w:t>
            </w:r>
          </w:p>
        </w:tc>
        <w:tc>
          <w:tcPr>
            <w:tcW w:type="dxa" w:w="2351"/>
          </w:tcPr>
          <w:p>
            <w:pPr>
              <w:jc w:val="center"/>
            </w:pPr>
            <w:r/>
            <w:r>
              <w:t>0.108</w:t>
            </w:r>
          </w:p>
        </w:tc>
        <w:tc>
          <w:tcPr>
            <w:tcW w:type="dxa" w:w="2351"/>
          </w:tcPr>
          <w:p>
            <w:pPr>
              <w:jc w:val="center"/>
            </w:pPr>
            <w:r/>
            <w:r>
              <w:t>0.071 (uniform)</w:t>
            </w:r>
          </w:p>
        </w:tc>
        <w:tc>
          <w:tcPr>
            <w:tcW w:type="dxa" w:w="2351"/>
          </w:tcPr>
          <w:p>
            <w:pPr>
              <w:jc w:val="center"/>
            </w:pPr>
            <w:r/>
            <w:r>
              <w:t>1.5×</w:t>
            </w:r>
          </w:p>
        </w:tc>
      </w:tr>
      <w:tr>
        <w:tc>
          <w:tcPr>
            <w:tcW w:type="dxa" w:w="2351"/>
          </w:tcPr>
          <w:p>
            <w:pPr>
              <w:jc w:val="center"/>
            </w:pPr>
            <w:r/>
            <w:r>
              <w:t>Top-10 % attention mass</w:t>
            </w:r>
          </w:p>
        </w:tc>
        <w:tc>
          <w:tcPr>
            <w:tcW w:type="dxa" w:w="2351"/>
          </w:tcPr>
          <w:p>
            <w:pPr>
              <w:jc w:val="center"/>
            </w:pPr>
            <w:r/>
            <w:r>
              <w:t>0.201</w:t>
            </w:r>
          </w:p>
        </w:tc>
        <w:tc>
          <w:tcPr>
            <w:tcW w:type="dxa" w:w="2351"/>
          </w:tcPr>
          <w:p>
            <w:pPr>
              <w:jc w:val="center"/>
            </w:pPr>
            <w:r/>
            <w:r>
              <w:t>0.100 (uniform)</w:t>
            </w:r>
          </w:p>
        </w:tc>
        <w:tc>
          <w:tcPr>
            <w:tcW w:type="dxa" w:w="2351"/>
          </w:tcPr>
          <w:p>
            <w:pPr>
              <w:jc w:val="center"/>
            </w:pPr>
            <w:r/>
            <w:r>
              <w:t>2.0×</w:t>
            </w:r>
          </w:p>
        </w:tc>
      </w:tr>
      <w:tr>
        <w:tc>
          <w:tcPr>
            <w:tcW w:type="dxa" w:w="2351"/>
          </w:tcPr>
          <w:p>
            <w:pPr>
              <w:jc w:val="center"/>
            </w:pPr>
            <w:r/>
            <w:r>
              <w:t>Entropy ratio</w:t>
            </w:r>
          </w:p>
        </w:tc>
        <w:tc>
          <w:tcPr>
            <w:tcW w:type="dxa" w:w="2351"/>
          </w:tcPr>
          <w:p>
            <w:pPr>
              <w:jc w:val="center"/>
            </w:pPr>
            <w:r/>
            <w:r>
              <w:t>0.938</w:t>
            </w:r>
          </w:p>
        </w:tc>
        <w:tc>
          <w:tcPr>
            <w:tcW w:type="dxa" w:w="2351"/>
          </w:tcPr>
          <w:p>
            <w:pPr>
              <w:jc w:val="center"/>
            </w:pPr>
            <w:r/>
            <w:r>
              <w:t>1.000 (uniform)</w:t>
            </w:r>
          </w:p>
        </w:tc>
        <w:tc>
          <w:tcPr>
            <w:tcW w:type="dxa" w:w="2351"/>
          </w:tcPr>
          <w:p>
            <w:pPr>
              <w:jc w:val="center"/>
            </w:pPr>
            <w:r/>
            <w:r>
              <w:t>Peakier</w:t>
            </w:r>
          </w:p>
        </w:tc>
      </w:tr>
    </w:tbl>
    <w:p w:rsidR="009A78A3" w:rsidRDefault="009A78A3" w:rsidP="00ED632F">
      <w:pPr>
        <w:pStyle w:val="Heading1"/>
      </w:pPr>
      <w:bookmarkStart w:id="13" w:name="_Toc166320861"/>
      <w:bookmarkStart w:id="14" w:name="_Toc166838330"/>
      <w:r>
        <w:lastRenderedPageBreak/>
        <w:t>CONCLUSION</w:t>
      </w:r>
      <w:r w:rsidR="00B67038">
        <w:t>S</w:t>
      </w:r>
      <w:r>
        <w:t xml:space="preserve"> AND FUTURE WORKS</w:t>
      </w:r>
      <w:bookmarkEnd w:id="13"/>
      <w:bookmarkEnd w:id="14"/>
    </w:p>
    <w:p w:rsidR="0065309B" w:rsidRPr="004D6A1C" w:rsidRDefault="0065309B" w:rsidP="0065309B">
      <w:pPr/>
      <w:r>
        <w:t>This report presented PathoLens-VLM, a vision-language model that generates breast-cancer pathology reports for whole slides and grounds each generated sentence to the slide region supporting it. A frozen CONCHv1.5 patch encoder, a trainable linear adapter and a Llama-3.2-3B-Instruct language model with LoRA are connected by a single causal-attention sequence; about fifteen million trainable parameters sit on top of 3.3 billion frozen ones, and the full training run fits on a single 48 GB GPU in under twelve hours. A weighted three-term loss combines token cross-entropy on the response, KL divergence between per-sentence attention and a hybrid BCSS / CONCH-v1 grounding target, and an entropy-based faithfulness regulariser; a two-epoch warmup keeps early-stage grounding noise from disrupting caption learning.</w:t>
      </w:r>
    </w:p>
    <w:p w:rsidR="0065309B" w:rsidRPr="004D6A1C" w:rsidRDefault="0065309B" w:rsidP="0065309B">
      <w:pPr/>
      <w:r>
        <w:t>On seven held-out test slides the model achieves BLEU-4 = 0.0559 and ROUGE-L = 0.1990, matching published numbers for ungrounded pathology VLMs on the same corpus, alongside a BCSS pointing-game accuracy of PG@5 = 0.081 against a uniform-random baseline of 0.019, a 4.4× lift over chance. Attention is substantially more concentrated than uniform (top-10 % mass 0.201, entropy ratio 0.938). The central research question is therefore answered affirmatively: a whole-slide pathology vision-language model can be trained to attend to the semantically correct slide region, and the grounding can be measured by an objective metric on held-out data.</w:t>
      </w:r>
    </w:p>
    <w:p w:rsidR="0065309B" w:rsidRPr="004D6A1C" w:rsidRDefault="0065309B" w:rsidP="0065309B">
      <w:pPr>
        <w:pStyle w:val="Heading2"/>
      </w:pPr>
      <w:r>
        <w:t>Limitations</w:t>
      </w:r>
    </w:p>
    <w:p w:rsidR="0065309B" w:rsidRPr="004D6A1C" w:rsidRDefault="0065309B" w:rsidP="0065309B">
      <w:pPr/>
      <w:r>
        <w:t>The principal limitation is the size of the held-out test set: seven slides and 37 concept-bearing sentences are enough to show that the grounding signal is statistically non-trivial, but too few to support strong clinical claims. The pointing-game accuracy is dominated by a single slide (TCGA-AO-A128), which suggests that grounding fidelity is uneven across slides; the secondary explanation, that the keyword-based concept detector is too permissive, is plausible but unquantified.</w:t>
      </w:r>
    </w:p>
    <w:p w:rsidR="0065309B" w:rsidRPr="004D6A1C" w:rsidRDefault="0065309B" w:rsidP="0065309B">
      <w:pPr/>
      <w:r>
        <w:t>The grounding target itself has two sources of noise. BCSS annotations are restricted to regions of interest rather than covering the whole slide, and the CONCH-v1 pseudo-target depends on the zero-shot cross-modal alignment of the pretrained encoder (a preliminary study reported a zero-shot AUC-ROC of 0.608). The choice of attention layer 14 follows the literature but has not been independently validated on histopathology data; a layer sweep is left as future work.</w:t>
      </w:r>
    </w:p>
    <w:p w:rsidR="0065309B" w:rsidRPr="004D6A1C" w:rsidRDefault="0065309B" w:rsidP="0065309B">
      <w:pPr>
        <w:pStyle w:val="Heading2"/>
      </w:pPr>
      <w:r>
        <w:t>Future Work</w:t>
      </w:r>
    </w:p>
    <w:p w:rsidR="0065309B" w:rsidRPr="004D6A1C" w:rsidRDefault="0065309B" w:rsidP="0065309B">
      <w:pPr/>
      <w:r>
        <w:t>Three immediate extensions are planned. The faithfulness intervention test scaffolded in src/patholens/evaluation/intervention_test.py will be executed at full scale: the top-K most-attended patches are zeroed out and the BLEU drop is measured; a substantial drop would provide direct behavioural evidence that the model relies on the highlighted regions. The keyword-based concept-recall evaluator (concept_f1.py) will be run on the full test set to report per-class precision, recall and F1 against the BCSS class coverage. A visual layer sweep across attention layers 8, 14 and 20 on three representative test slides will validate the choice of layer 14.</w:t>
      </w:r>
    </w:p>
    <w:p w:rsidR="0065309B" w:rsidRPr="004D6A1C" w:rsidRDefault="0065309B" w:rsidP="0065309B">
      <w:pPr/>
      <w:r>
        <w:t>Several longer-term extensions follow naturally. Scaling the training pool from 50 to 151 slides (the full BCSS-annotated TCGA-BRCA cohort) should reduce the slide-to-slide variability of the pointing-game metric. Cross-dataset evaluation on CAMELYON16, deferred here because of the dataset’s 150 GB footprint, would provide a generalisation test. Replacing the linear adapter with a Q-Former-style learned aggregator [12] is a natural ablation that would test whether the grounding signal is bounded by the simplicity of the adapter. Extending the system to other tissue types beyond breast cancer would require additional pixel-level annotations equivalent to BCSS; the BCSS-style methodology is nevertheless transferable in principle to any pathology dataset for which a region-of-interest segmentation exists.</w:t>
      </w:r>
    </w:p>
    <w:p w:rsidR="0065309B" w:rsidRPr="0065309B" w:rsidRDefault="0065309B" w:rsidP="0065309B"/>
    <w:p w:rsidR="009A78A3" w:rsidRPr="008F52A2" w:rsidRDefault="009A78A3" w:rsidP="00ED632F">
      <w:pPr>
        <w:pStyle w:val="Heading1"/>
      </w:pPr>
      <w:bookmarkStart w:id="15" w:name="_Toc166320862"/>
      <w:bookmarkStart w:id="16" w:name="_Toc166838331"/>
      <w:r>
        <w:lastRenderedPageBreak/>
        <w:t>REFERENCES</w:t>
      </w:r>
      <w:bookmarkEnd w:id="15"/>
      <w:bookmarkEnd w:id="16"/>
    </w:p>
    <w:p w:rsidR="009A78A3" w:rsidRPr="008F52A2" w:rsidRDefault="009A78A3" w:rsidP="00ED632F">
      <w:pPr/>
      <w:bookmarkStart w:id="15" w:name="_Toc166320862"/>
      <w:bookmarkStart w:id="16" w:name="_Toc166838331"/>
      <w:bookmarkEnd w:id="15"/>
      <w:bookmarkEnd w:id="16"/>
      <w:r>
        <w:t>[1] M. Y. Lu et al., “A multimodal generative AI copilot for human pathology,” Nature, vol. 634, no. 8033, pp. 466–473, Oct. 2024, doi: 10.1038/s41586-024-07618-3.</w:t>
      </w:r>
    </w:p>
    <w:p w:rsidR="009A78A3" w:rsidRPr="008F52A2" w:rsidRDefault="009A78A3" w:rsidP="00ED632F">
      <w:pPr/>
      <w:bookmarkStart w:id="15" w:name="_Toc166320862"/>
      <w:bookmarkStart w:id="16" w:name="_Toc166838331"/>
      <w:bookmarkEnd w:id="15"/>
      <w:bookmarkEnd w:id="16"/>
      <w:r>
        <w:t>[2] Y. Chen et al., “SlideChat: a large vision-language assistant for whole-slide pathology image understanding,” in Proc. IEEE/CVF Conf. Computer Vision and Pattern Recognition (CVPR), 2025. [Online]. Available: https://arxiv.org/abs/2410.11761</w:t>
      </w:r>
    </w:p>
    <w:p w:rsidR="009A78A3" w:rsidRPr="008F52A2" w:rsidRDefault="009A78A3" w:rsidP="00ED632F">
      <w:pPr/>
      <w:bookmarkStart w:id="15" w:name="_Toc166320862"/>
      <w:bookmarkStart w:id="16" w:name="_Toc166838331"/>
      <w:bookmarkEnd w:id="15"/>
      <w:bookmarkEnd w:id="16"/>
      <w:r>
        <w:t>[3] M. S. Seyfioglu, W. O. Ikezogwo, F. Ghezloo, R. Krishna, and L. Shapiro, “Quilt-LLaVA: visual instruction tuning by extracting localized narratives from open-source histopathology videos,” in Proc. IEEE/CVF Conf. Computer Vision and Pattern Recognition (CVPR), Jun. 2024, pp. 13183–13192.</w:t>
      </w:r>
    </w:p>
    <w:p w:rsidR="009A78A3" w:rsidRPr="008F52A2" w:rsidRDefault="009A78A3" w:rsidP="00ED632F">
      <w:pPr/>
      <w:bookmarkStart w:id="15" w:name="_Toc166320862"/>
      <w:bookmarkStart w:id="16" w:name="_Toc166838331"/>
      <w:bookmarkEnd w:id="15"/>
      <w:bookmarkEnd w:id="16"/>
      <w:r>
        <w:t>[4] H. Wu et al., “MedGround: medical visual grounding for radiology report generation,” arXiv:2601.06847, Jan. 2026. [Online]. Available: https://arxiv.org/abs/2601.06847</w:t>
      </w:r>
    </w:p>
    <w:p w:rsidR="009A78A3" w:rsidRPr="008F52A2" w:rsidRDefault="009A78A3" w:rsidP="00ED632F">
      <w:pPr/>
      <w:bookmarkStart w:id="15" w:name="_Toc166320862"/>
      <w:bookmarkStart w:id="16" w:name="_Toc166838331"/>
      <w:bookmarkEnd w:id="15"/>
      <w:bookmarkEnd w:id="16"/>
      <w:r>
        <w:t>[5] Mahmood Lab, “CONCHv1.5 model card,” HuggingFace Hub, 2024. [Online]. Available: https://huggingface.co/MahmoodLab/conchv1_5</w:t>
      </w:r>
    </w:p>
    <w:p w:rsidR="009A78A3" w:rsidRPr="008F52A2" w:rsidRDefault="009A78A3" w:rsidP="00ED632F">
      <w:pPr/>
      <w:bookmarkStart w:id="15" w:name="_Toc166320862"/>
      <w:bookmarkStart w:id="16" w:name="_Toc166838331"/>
      <w:bookmarkEnd w:id="15"/>
      <w:bookmarkEnd w:id="16"/>
      <w:r>
        <w:t>[6] Meta AI, “Llama 3.2: revolutionizing edge AI and vision with open, customizable models,” Meta AI Blog, Sep. 2024. [Online]. Available: https://ai.meta.com/blog/llama-3-2-connect-2024-vision-edge-mobile-devices/</w:t>
      </w:r>
    </w:p>
    <w:p w:rsidR="009A78A3" w:rsidRPr="008F52A2" w:rsidRDefault="009A78A3" w:rsidP="00ED632F">
      <w:pPr/>
      <w:bookmarkStart w:id="15" w:name="_Toc166320862"/>
      <w:bookmarkStart w:id="16" w:name="_Toc166838331"/>
      <w:bookmarkEnd w:id="15"/>
      <w:bookmarkEnd w:id="16"/>
      <w:r>
        <w:t>[7] E. J. Hu et al., “LoRA: low-rank adaptation of large language models,” in Proc. Int. Conf. Learning Representations (ICLR), 2022. [Online]. Available: https://arxiv.org/abs/2106.09685</w:t>
      </w:r>
    </w:p>
    <w:p w:rsidR="009A78A3" w:rsidRPr="008F52A2" w:rsidRDefault="009A78A3" w:rsidP="00ED632F">
      <w:pPr/>
      <w:bookmarkStart w:id="15" w:name="_Toc166320862"/>
      <w:bookmarkStart w:id="16" w:name="_Toc166838331"/>
      <w:bookmarkEnd w:id="15"/>
      <w:bookmarkEnd w:id="16"/>
      <w:r>
        <w:t>[8] M. Amgad et al., “Structured crowdsourcing enables convolutional segmentation of histology images,” GigaScience, vol. 8, no. 5, Art. no. giz037, May 2019, doi: 10.1093/gigascience/giz037.</w:t>
      </w:r>
    </w:p>
    <w:p w:rsidR="009A78A3" w:rsidRPr="008F52A2" w:rsidRDefault="009A78A3" w:rsidP="00ED632F">
      <w:pPr/>
      <w:bookmarkStart w:id="15" w:name="_Toc166320862"/>
      <w:bookmarkStart w:id="16" w:name="_Toc166838331"/>
      <w:bookmarkEnd w:id="15"/>
      <w:bookmarkEnd w:id="16"/>
      <w:r>
        <w:t>[9] M. Ilse, J. M. Tomczak, and M. Welling, “Attention-based deep multiple instance learning,” in Proc. 35th Int. Conf. Machine Learning (ICML), vol. 80, 2018, pp. 2127–2136.</w:t>
      </w:r>
    </w:p>
    <w:p w:rsidR="009A78A3" w:rsidRPr="008F52A2" w:rsidRDefault="009A78A3" w:rsidP="00ED632F">
      <w:pPr/>
      <w:bookmarkStart w:id="15" w:name="_Toc166320862"/>
      <w:bookmarkStart w:id="16" w:name="_Toc166838331"/>
      <w:bookmarkEnd w:id="15"/>
      <w:bookmarkEnd w:id="16"/>
      <w:r>
        <w:t>[10] M. Y. Lu et al., “A visual–language foundation model for computational pathology,” Nature Medicine, vol. 30, pp. 863–874, Mar. 2024, doi: 10.1038/s41591-024-02856-4.</w:t>
      </w:r>
    </w:p>
    <w:p w:rsidR="009A78A3" w:rsidRPr="008F52A2" w:rsidRDefault="009A78A3" w:rsidP="00ED632F">
      <w:pPr/>
      <w:bookmarkStart w:id="15" w:name="_Toc166320862"/>
      <w:bookmarkStart w:id="16" w:name="_Toc166838331"/>
      <w:bookmarkEnd w:id="15"/>
      <w:bookmarkEnd w:id="16"/>
      <w:r>
        <w:t>[11] T. Ding et al., “TITAN: a foundation model for slide-level computational pathology,” arXiv:2411.19666, Nov. 2024. [Online]. Available: https://arxiv.org/abs/2411.19666</w:t>
      </w:r>
    </w:p>
    <w:p w:rsidR="009A78A3" w:rsidRPr="008F52A2" w:rsidRDefault="009A78A3" w:rsidP="00ED632F">
      <w:pPr/>
      <w:bookmarkStart w:id="15" w:name="_Toc166320862"/>
      <w:bookmarkStart w:id="16" w:name="_Toc166838331"/>
      <w:bookmarkEnd w:id="15"/>
      <w:bookmarkEnd w:id="16"/>
      <w:r>
        <w:t>[12] H. Liu, C. Li, Q. Wu, and Y. J. Lee, “Visual instruction tuning,” in Advances in Neural Information Processing Systems (NeurIPS), vol. 36, 2023, pp. 34892–34916.</w:t>
      </w:r>
    </w:p>
    <w:p w:rsidR="009A78A3" w:rsidRPr="008F52A2" w:rsidRDefault="009A78A3" w:rsidP="00ED632F">
      <w:pPr/>
      <w:bookmarkStart w:id="15" w:name="_Toc166320862"/>
      <w:bookmarkStart w:id="16" w:name="_Toc166838331"/>
      <w:bookmarkEnd w:id="15"/>
      <w:bookmarkEnd w:id="16"/>
      <w:r>
        <w:t>[13] L. H. Li et al., “Grounded language-image pre-training,” in Proc. IEEE/CVF Conf. Computer Vision and Pattern Recognition (CVPR), Jun. 2022, pp. 10965–10975.</w:t>
      </w:r>
    </w:p>
    <w:p w:rsidR="009A78A3" w:rsidRPr="008F52A2" w:rsidRDefault="009A78A3" w:rsidP="00ED632F">
      <w:pPr/>
      <w:bookmarkStart w:id="15" w:name="_Toc166320862"/>
      <w:bookmarkStart w:id="16" w:name="_Toc166838331"/>
      <w:bookmarkEnd w:id="15"/>
      <w:bookmarkEnd w:id="16"/>
      <w:r>
        <w:t>[14] S. Liu et al., “Grounding DINO: marrying DINO with grounded pre-training for open-set object detection,” in Proc. European Conf. Computer Vision (ECCV), 2024, pp. 38–55.</w:t>
      </w:r>
    </w:p>
    <w:p w:rsidR="009A78A3" w:rsidRPr="008F52A2" w:rsidRDefault="009A78A3" w:rsidP="00ED632F">
      <w:pPr/>
      <w:bookmarkStart w:id="15" w:name="_Toc166320862"/>
      <w:bookmarkStart w:id="16" w:name="_Toc166838331"/>
      <w:bookmarkEnd w:id="15"/>
      <w:bookmarkEnd w:id="16"/>
      <w:r>
        <w:t>[15] V. Ramanathan et al., “GRIT: a general region-based image transformer for dense captioning,” arXiv:2204.14198, Apr. 2022.</w:t>
      </w:r>
    </w:p>
    <w:p w:rsidR="009A78A3" w:rsidRPr="008F52A2" w:rsidRDefault="009A78A3" w:rsidP="00ED632F">
      <w:pPr/>
      <w:bookmarkStart w:id="15" w:name="_Toc166320862"/>
      <w:bookmarkStart w:id="16" w:name="_Toc166838331"/>
      <w:bookmarkEnd w:id="15"/>
      <w:bookmarkEnd w:id="16"/>
      <w:r>
        <w:t>[16] R. Zhang, “Direct visual grounding via KL attention loss,” arXiv:2511.12738, Nov. 2025. [Online]. Available: https://arxiv.org/abs/2511.12738</w:t>
      </w:r>
    </w:p>
    <w:p w:rsidR="009A78A3" w:rsidRPr="008F52A2" w:rsidRDefault="009A78A3" w:rsidP="00ED632F">
      <w:pPr/>
      <w:bookmarkStart w:id="15" w:name="_Toc166320862"/>
      <w:bookmarkStart w:id="16" w:name="_Toc166838331"/>
      <w:bookmarkEnd w:id="15"/>
      <w:bookmarkEnd w:id="16"/>
      <w:r>
        <w:t>[17] J. Kang et al., “Few attention heads suffice: probing modality alignment in multimodal LLMs,” in Proc. IEEE/CVF Conf. Computer Vision and Pattern Recognition (CVPR), 2025.</w:t>
      </w:r>
    </w:p>
    <w:sectPr w:rsidR="00FF5F39" w:rsidRPr="00FF5F39" w:rsidSect="00CB2067">
      <w:headerReference w:type="default" r:id="rId14"/>
      <w:pgSz w:w="12240" w:h="15840"/>
      <w:pgMar w:top="1134" w:right="1418" w:bottom="1134" w:left="1418" w:header="0" w:footer="283"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F65C1" w:rsidRDefault="007F65C1" w:rsidP="00A57F72">
      <w:r>
        <w:separator/>
      </w:r>
    </w:p>
  </w:endnote>
  <w:endnote w:type="continuationSeparator" w:id="0">
    <w:p w:rsidR="007F65C1" w:rsidRDefault="007F65C1" w:rsidP="00A57F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2"/>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Headings CS)">
    <w:altName w:val="Times New Roman"/>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27569938"/>
      <w:docPartObj>
        <w:docPartGallery w:val="Page Numbers (Bottom of Page)"/>
        <w:docPartUnique/>
      </w:docPartObj>
    </w:sdtPr>
    <w:sdtContent>
      <w:p w:rsidR="009A78A3" w:rsidRDefault="009A78A3" w:rsidP="0042508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9A78A3" w:rsidRDefault="009A78A3" w:rsidP="009A78A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A2530" w:rsidRDefault="001A2530" w:rsidP="001A2530">
    <w:pPr>
      <w:pStyle w:val="Footer"/>
      <w:jc w:val="center"/>
    </w:pPr>
    <w:r>
      <w:rPr>
        <w:noProof/>
      </w:rPr>
      <w:drawing>
        <wp:inline distT="0" distB="0" distL="0" distR="0" wp14:anchorId="2FD94437" wp14:editId="3D1ACE11">
          <wp:extent cx="3987307" cy="1278835"/>
          <wp:effectExtent l="0" t="0" r="0" b="0"/>
          <wp:docPr id="1878337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337917" name="Picture 1878337917"/>
                  <pic:cNvPicPr/>
                </pic:nvPicPr>
                <pic:blipFill>
                  <a:blip r:embed="rId1">
                    <a:extLst>
                      <a:ext uri="{28A0092B-C50C-407E-A947-70E740481C1C}">
                        <a14:useLocalDpi xmlns:a14="http://schemas.microsoft.com/office/drawing/2010/main" val="0"/>
                      </a:ext>
                    </a:extLst>
                  </a:blip>
                  <a:stretch>
                    <a:fillRect/>
                  </a:stretch>
                </pic:blipFill>
                <pic:spPr>
                  <a:xfrm>
                    <a:off x="0" y="0"/>
                    <a:ext cx="4036337" cy="1294560"/>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547841580"/>
      <w:docPartObj>
        <w:docPartGallery w:val="Page Numbers (Bottom of Page)"/>
        <w:docPartUnique/>
      </w:docPartObj>
    </w:sdtPr>
    <w:sdtContent>
      <w:p w:rsidR="009A78A3" w:rsidRDefault="009A78A3" w:rsidP="0042508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w:t>
        </w:r>
        <w:r>
          <w:rPr>
            <w:rStyle w:val="PageNumber"/>
          </w:rPr>
          <w:fldChar w:fldCharType="end"/>
        </w:r>
      </w:p>
    </w:sdtContent>
  </w:sdt>
  <w:p w:rsidR="001A2530" w:rsidRDefault="001A2530" w:rsidP="009A78A3">
    <w:pPr>
      <w:pStyle w:val="Footer"/>
      <w:ind w:right="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F65C1" w:rsidRDefault="007F65C1" w:rsidP="00A57F72">
      <w:r>
        <w:separator/>
      </w:r>
    </w:p>
  </w:footnote>
  <w:footnote w:type="continuationSeparator" w:id="0">
    <w:p w:rsidR="007F65C1" w:rsidRDefault="007F65C1" w:rsidP="00A57F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57F72" w:rsidRPr="00A57F72" w:rsidRDefault="00A57F72" w:rsidP="00A57F72">
    <w:pPr>
      <w:pStyle w:val="CoverPageInstitute"/>
      <w:rPr>
        <w:color w:val="FFFFFF" w:themeColor="background1"/>
        <w:sz w:val="32"/>
        <w:szCs w:val="24"/>
      </w:rPr>
    </w:pPr>
    <w:r w:rsidRPr="00A57F72">
      <w:rPr>
        <w:noProof/>
        <w:color w:val="FFFFFF" w:themeColor="background1"/>
        <w:sz w:val="32"/>
        <w:szCs w:val="24"/>
      </w:rPr>
      <mc:AlternateContent>
        <mc:Choice Requires="wps">
          <w:drawing>
            <wp:anchor distT="0" distB="0" distL="114300" distR="114300" simplePos="0" relativeHeight="251659264" behindDoc="1" locked="0" layoutInCell="1" allowOverlap="1">
              <wp:simplePos x="0" y="0"/>
              <wp:positionH relativeFrom="column">
                <wp:posOffset>-902208</wp:posOffset>
              </wp:positionH>
              <wp:positionV relativeFrom="paragraph">
                <wp:posOffset>-449580</wp:posOffset>
              </wp:positionV>
              <wp:extent cx="7754112" cy="1536192"/>
              <wp:effectExtent l="0" t="0" r="18415" b="13335"/>
              <wp:wrapNone/>
              <wp:docPr id="1039970496" name="Rectangle 3"/>
              <wp:cNvGraphicFramePr/>
              <a:graphic xmlns:a="http://schemas.openxmlformats.org/drawingml/2006/main">
                <a:graphicData uri="http://schemas.microsoft.com/office/word/2010/wordprocessingShape">
                  <wps:wsp>
                    <wps:cNvSpPr/>
                    <wps:spPr>
                      <a:xfrm>
                        <a:off x="0" y="0"/>
                        <a:ext cx="7754112" cy="1536192"/>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99F9D4C" id="Rectangle 3" o:spid="_x0000_s1026" style="position:absolute;margin-left:-71.05pt;margin-top:-35.4pt;width:610.55pt;height:120.95pt;z-index:-251657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" fillcolor="#4472c4 [3204]" strokecolor="#09101d [484]" strokeweight="1pt"/>
          </w:pict>
        </mc:Fallback>
      </mc:AlternateContent>
    </w:r>
    <w:r w:rsidRPr="00A57F72">
      <w:rPr>
        <w:color w:val="FFFFFF" w:themeColor="background1"/>
        <w:sz w:val="32"/>
        <w:szCs w:val="24"/>
      </w:rPr>
      <w:t>Istanbul Technical University</w:t>
    </w:r>
  </w:p>
  <w:p w:rsidR="00A57F72" w:rsidRPr="00A57F72" w:rsidRDefault="00A57F72" w:rsidP="00A57F72">
    <w:pPr>
      <w:pStyle w:val="CoverPageInstitute"/>
      <w:rPr>
        <w:color w:val="FFFFFF" w:themeColor="background1"/>
        <w:sz w:val="32"/>
        <w:szCs w:val="24"/>
      </w:rPr>
    </w:pPr>
    <w:r w:rsidRPr="00A57F72">
      <w:rPr>
        <w:color w:val="FFFFFF" w:themeColor="background1"/>
        <w:sz w:val="32"/>
        <w:szCs w:val="24"/>
      </w:rPr>
      <w:t>Faculty of Computer and Informatics</w:t>
    </w:r>
  </w:p>
  <w:p w:rsidR="00A57F72" w:rsidRPr="00A57F72" w:rsidRDefault="00A57F72" w:rsidP="00A57F72">
    <w:pPr>
      <w:pStyle w:val="CoverPageInstitute"/>
      <w:rPr>
        <w:color w:val="FFFFFF" w:themeColor="background1"/>
        <w:sz w:val="32"/>
        <w:szCs w:val="24"/>
      </w:rPr>
    </w:pPr>
    <w:r w:rsidRPr="00A57F72">
      <w:rPr>
        <w:color w:val="FFFFFF" w:themeColor="background1"/>
        <w:sz w:val="32"/>
        <w:szCs w:val="24"/>
      </w:rPr>
      <w:t>Department of Artificial Intelligence and Data Engineering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57F72" w:rsidRPr="00A57F72" w:rsidRDefault="00A57F72" w:rsidP="00A57F72">
    <w:pPr>
      <w:pStyle w:val="CoverPageInstitute"/>
      <w:rPr>
        <w:color w:val="FFFFFF" w:themeColor="background1"/>
      </w:rPr>
    </w:pPr>
    <w:r w:rsidRPr="00A57F72">
      <w:rPr>
        <w:color w:val="FFFFFF" w:themeColor="background1"/>
      </w:rPr>
      <w:t>Istanbul Technical University</w:t>
    </w:r>
  </w:p>
  <w:p w:rsidR="00A57F72" w:rsidRPr="00A57F72" w:rsidRDefault="00A57F72" w:rsidP="00A57F72">
    <w:pPr>
      <w:pStyle w:val="CoverPageInstitute"/>
      <w:rPr>
        <w:color w:val="FFFFFF" w:themeColor="background1"/>
      </w:rPr>
    </w:pPr>
    <w:r w:rsidRPr="00A57F72">
      <w:rPr>
        <w:color w:val="FFFFFF" w:themeColor="background1"/>
      </w:rPr>
      <w:t>Faculty of Computer and Informatics</w:t>
    </w:r>
  </w:p>
  <w:p w:rsidR="00A57F72" w:rsidRPr="00A57F72" w:rsidRDefault="00A57F72" w:rsidP="00A57F72">
    <w:pPr>
      <w:pStyle w:val="CoverPageInstitute"/>
      <w:rPr>
        <w:color w:val="FFFFFF" w:themeColor="background1"/>
      </w:rPr>
    </w:pPr>
    <w:r w:rsidRPr="00A57F72">
      <w:rPr>
        <w:color w:val="FFFFFF" w:themeColor="background1"/>
      </w:rPr>
      <w:t>Department of Artificial Intelligence and Data Engineering</w:t>
    </w:r>
  </w:p>
  <w:p w:rsidR="00A57F72" w:rsidRPr="00A57F72" w:rsidRDefault="00A57F72" w:rsidP="00A57F72">
    <w:pPr>
      <w:pStyle w:val="CoverPageInstitute"/>
      <w:rPr>
        <w:color w:val="FFFFFF" w:themeColor="background1"/>
      </w:rPr>
    </w:pPr>
    <w:r w:rsidRPr="00A57F72">
      <w:rPr>
        <w:color w:val="FFFFFF" w:themeColor="background1"/>
      </w:rPr>
      <w:t>Artificial Intelligence and Data Engineering Undergraduate Programme</w:t>
    </w:r>
  </w:p>
  <w:p w:rsidR="00A57F72" w:rsidRDefault="00A57F7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B2067" w:rsidRPr="00A57F72" w:rsidRDefault="00CB2067" w:rsidP="00A57F72">
    <w:pPr>
      <w:pStyle w:val="CoverPageInstitute"/>
      <w:rPr>
        <w:color w:val="FFFFFF" w:themeColor="background1"/>
      </w:rPr>
    </w:pPr>
    <w:r w:rsidRPr="00A57F72">
      <w:rPr>
        <w:color w:val="FFFFFF" w:themeColor="background1"/>
      </w:rPr>
      <w:t>Istanbul Technical University</w:t>
    </w:r>
  </w:p>
  <w:p w:rsidR="00CB2067" w:rsidRPr="00A57F72" w:rsidRDefault="00CB2067" w:rsidP="00A57F72">
    <w:pPr>
      <w:pStyle w:val="CoverPageInstitute"/>
      <w:rPr>
        <w:color w:val="FFFFFF" w:themeColor="background1"/>
      </w:rPr>
    </w:pPr>
    <w:r w:rsidRPr="00A57F72">
      <w:rPr>
        <w:color w:val="FFFFFF" w:themeColor="background1"/>
      </w:rPr>
      <w:t>Faculty of Computer and Informatics</w:t>
    </w:r>
  </w:p>
  <w:p w:rsidR="00CB2067" w:rsidRPr="00A57F72" w:rsidRDefault="00CB2067" w:rsidP="00A57F72">
    <w:pPr>
      <w:pStyle w:val="CoverPageInstitute"/>
      <w:rPr>
        <w:color w:val="FFFFFF" w:themeColor="background1"/>
      </w:rPr>
    </w:pPr>
    <w:r w:rsidRPr="00A57F72">
      <w:rPr>
        <w:color w:val="FFFFFF" w:themeColor="background1"/>
      </w:rPr>
      <w:t>Department of Artificial Intelligence and Data Engineering</w:t>
    </w:r>
  </w:p>
  <w:p w:rsidR="00CB2067" w:rsidRPr="00A57F72" w:rsidRDefault="00CB2067" w:rsidP="00A57F72">
    <w:pPr>
      <w:pStyle w:val="CoverPageInstitute"/>
      <w:rPr>
        <w:color w:val="FFFFFF" w:themeColor="background1"/>
      </w:rPr>
    </w:pPr>
    <w:r w:rsidRPr="00A57F72">
      <w:rPr>
        <w:color w:val="FFFFFF" w:themeColor="background1"/>
      </w:rPr>
      <w:t>Artificial Intelligence and Data Engineering Undergraduate Programme</w:t>
    </w:r>
  </w:p>
  <w:p w:rsidR="00CB2067" w:rsidRDefault="00CB206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8F403F"/>
    <w:multiLevelType w:val="multilevel"/>
    <w:tmpl w:val="008A19DC"/>
    <w:styleLink w:val="CurrentList17"/>
    <w:lvl w:ilvl="0">
      <w:start w:val="1"/>
      <w:numFmt w:val="decimal"/>
      <w:lvlText w:val="%1"/>
      <w:lvlJc w:val="left"/>
      <w:pPr>
        <w:ind w:left="1152" w:hanging="1152"/>
      </w:pPr>
      <w:rPr>
        <w:rFonts w:hint="default"/>
      </w:rPr>
    </w:lvl>
    <w:lvl w:ilvl="1">
      <w:start w:val="1"/>
      <w:numFmt w:val="decimal"/>
      <w:lvlText w:val="%1.%2"/>
      <w:lvlJc w:val="left"/>
      <w:pPr>
        <w:ind w:left="1296" w:hanging="576"/>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584" w:hanging="864"/>
      </w:pPr>
      <w:rPr>
        <w:rFonts w:hint="default"/>
      </w:rPr>
    </w:lvl>
    <w:lvl w:ilvl="4">
      <w:start w:val="1"/>
      <w:numFmt w:val="decimal"/>
      <w:lvlText w:val="%1.%2.%3.%4.%5"/>
      <w:lvlJc w:val="left"/>
      <w:pPr>
        <w:ind w:left="1728" w:hanging="1008"/>
      </w:pPr>
      <w:rPr>
        <w:rFonts w:hint="default"/>
      </w:rPr>
    </w:lvl>
    <w:lvl w:ilvl="5">
      <w:start w:val="1"/>
      <w:numFmt w:val="decimal"/>
      <w:lvlText w:val="%1.%2.%3.%4.%5.%6"/>
      <w:lvlJc w:val="left"/>
      <w:pPr>
        <w:ind w:left="1872" w:hanging="1152"/>
      </w:pPr>
      <w:rPr>
        <w:rFonts w:hint="default"/>
      </w:rPr>
    </w:lvl>
    <w:lvl w:ilvl="6">
      <w:start w:val="1"/>
      <w:numFmt w:val="decimal"/>
      <w:lvlText w:val="%1.%2.%3.%4.%5.%6.%7"/>
      <w:lvlJc w:val="left"/>
      <w:pPr>
        <w:ind w:left="2016" w:hanging="1296"/>
      </w:pPr>
      <w:rPr>
        <w:rFonts w:hint="default"/>
      </w:rPr>
    </w:lvl>
    <w:lvl w:ilvl="7">
      <w:start w:val="1"/>
      <w:numFmt w:val="decimal"/>
      <w:lvlText w:val="%1.%2.%3.%4.%5.%6.%7.%8"/>
      <w:lvlJc w:val="left"/>
      <w:pPr>
        <w:ind w:left="2160" w:hanging="1440"/>
      </w:pPr>
      <w:rPr>
        <w:rFonts w:hint="default"/>
      </w:rPr>
    </w:lvl>
    <w:lvl w:ilvl="8">
      <w:start w:val="1"/>
      <w:numFmt w:val="decimal"/>
      <w:lvlText w:val="%1.%2.%3.%4.%5.%6.%7.%8.%9"/>
      <w:lvlJc w:val="left"/>
      <w:pPr>
        <w:ind w:left="2304" w:hanging="1584"/>
      </w:pPr>
      <w:rPr>
        <w:rFonts w:hint="default"/>
      </w:rPr>
    </w:lvl>
  </w:abstractNum>
  <w:abstractNum w:abstractNumId="1" w15:restartNumberingAfterBreak="0">
    <w:nsid w:val="07963B53"/>
    <w:multiLevelType w:val="multilevel"/>
    <w:tmpl w:val="2272F008"/>
    <w:styleLink w:val="CurrentList12"/>
    <w:lvl w:ilvl="0">
      <w:start w:val="1"/>
      <w:numFmt w:val="decimal"/>
      <w:lvlText w:val="%1."/>
      <w:lvlJc w:val="left"/>
      <w:pPr>
        <w:ind w:left="360" w:hanging="360"/>
      </w:pPr>
      <w:rPr>
        <w:rFonts w:hint="default"/>
      </w:rPr>
    </w:lvl>
    <w:lvl w:ilvl="1">
      <w:start w:val="1"/>
      <w:numFmt w:val="decimal"/>
      <w:lvlText w:val="%1.%2."/>
      <w:lvlJc w:val="left"/>
      <w:pPr>
        <w:ind w:left="454" w:hanging="454"/>
      </w:pPr>
      <w:rPr>
        <w:rFonts w:hint="default"/>
      </w:rPr>
    </w:lvl>
    <w:lvl w:ilvl="2">
      <w:start w:val="1"/>
      <w:numFmt w:val="decimal"/>
      <w:lvlText w:val="%1.%2.%3."/>
      <w:lvlJc w:val="left"/>
      <w:pPr>
        <w:ind w:left="851" w:hanging="851"/>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C5F4F4B"/>
    <w:multiLevelType w:val="multilevel"/>
    <w:tmpl w:val="89ECBD7E"/>
    <w:styleLink w:val="CurrentList8"/>
    <w:lvl w:ilvl="0">
      <w:start w:val="1"/>
      <w:numFmt w:val="decimal"/>
      <w:lvlText w:val="%1."/>
      <w:lvlJc w:val="left"/>
      <w:pPr>
        <w:ind w:left="360" w:hanging="360"/>
      </w:pPr>
      <w:rPr>
        <w:rFonts w:hint="default"/>
      </w:rPr>
    </w:lvl>
    <w:lvl w:ilvl="1">
      <w:start w:val="1"/>
      <w:numFmt w:val="decimal"/>
      <w:isLgl/>
      <w:lvlText w:val="%1.%2."/>
      <w:lvlJc w:val="left"/>
      <w:pPr>
        <w:ind w:left="454" w:hanging="454"/>
      </w:pPr>
      <w:rPr>
        <w:rFonts w:hint="default"/>
      </w:rPr>
    </w:lvl>
    <w:lvl w:ilvl="2">
      <w:start w:val="1"/>
      <w:numFmt w:val="decimal"/>
      <w:lvlText w:val="%1.%2.%3."/>
      <w:lvlJc w:val="left"/>
      <w:pPr>
        <w:ind w:left="737" w:hanging="73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F782075"/>
    <w:multiLevelType w:val="multilevel"/>
    <w:tmpl w:val="7B84ED62"/>
    <w:styleLink w:val="CurrentList25"/>
    <w:lvl w:ilvl="0">
      <w:start w:val="1"/>
      <w:numFmt w:val="decimal"/>
      <w:lvlText w:val="%1"/>
      <w:lvlJc w:val="left"/>
      <w:pPr>
        <w:ind w:left="567" w:hanging="567"/>
      </w:pPr>
      <w:rPr>
        <w:rFonts w:hint="default"/>
      </w:rPr>
    </w:lvl>
    <w:lvl w:ilvl="1">
      <w:start w:val="1"/>
      <w:numFmt w:val="decimal"/>
      <w:lvlText w:val="%1.%2"/>
      <w:lvlJc w:val="left"/>
      <w:pPr>
        <w:ind w:left="567" w:hanging="567"/>
      </w:pPr>
      <w:rPr>
        <w:rFonts w:hint="default"/>
      </w:rPr>
    </w:lvl>
    <w:lvl w:ilvl="2">
      <w:start w:val="1"/>
      <w:numFmt w:val="decimal"/>
      <w:lvlText w:val="%2.%3"/>
      <w:lvlJc w:val="left"/>
      <w:pPr>
        <w:ind w:left="851" w:hanging="851"/>
      </w:pPr>
      <w:rPr>
        <w:rFonts w:hint="default"/>
      </w:rPr>
    </w:lvl>
    <w:lvl w:ilvl="3">
      <w:start w:val="1"/>
      <w:numFmt w:val="decimal"/>
      <w:lvlText w:val="%1.%2.%3.%4"/>
      <w:lvlJc w:val="left"/>
      <w:pPr>
        <w:ind w:left="851" w:hanging="851"/>
      </w:pPr>
      <w:rPr>
        <w:rFonts w:hint="default"/>
      </w:rPr>
    </w:lvl>
    <w:lvl w:ilvl="4">
      <w:start w:val="1"/>
      <w:numFmt w:val="decimal"/>
      <w:lvlText w:val="%1.%2.%3.%4.%5"/>
      <w:lvlJc w:val="left"/>
      <w:pPr>
        <w:ind w:left="1728" w:hanging="1008"/>
      </w:pPr>
      <w:rPr>
        <w:rFonts w:hint="default"/>
      </w:rPr>
    </w:lvl>
    <w:lvl w:ilvl="5">
      <w:start w:val="1"/>
      <w:numFmt w:val="decimal"/>
      <w:lvlText w:val="%1.%2.%3.%4.%5.%6"/>
      <w:lvlJc w:val="left"/>
      <w:pPr>
        <w:ind w:left="1872" w:hanging="1152"/>
      </w:pPr>
      <w:rPr>
        <w:rFonts w:hint="default"/>
      </w:rPr>
    </w:lvl>
    <w:lvl w:ilvl="6">
      <w:start w:val="1"/>
      <w:numFmt w:val="decimal"/>
      <w:lvlText w:val="%1.%2.%3.%4.%5.%6.%7"/>
      <w:lvlJc w:val="left"/>
      <w:pPr>
        <w:ind w:left="2016" w:hanging="1296"/>
      </w:pPr>
      <w:rPr>
        <w:rFonts w:hint="default"/>
      </w:rPr>
    </w:lvl>
    <w:lvl w:ilvl="7">
      <w:start w:val="1"/>
      <w:numFmt w:val="decimal"/>
      <w:lvlText w:val="%1.%2.%3.%4.%5.%6.%7.%8"/>
      <w:lvlJc w:val="left"/>
      <w:pPr>
        <w:ind w:left="2160" w:hanging="1440"/>
      </w:pPr>
      <w:rPr>
        <w:rFonts w:hint="default"/>
      </w:rPr>
    </w:lvl>
    <w:lvl w:ilvl="8">
      <w:start w:val="1"/>
      <w:numFmt w:val="decimal"/>
      <w:lvlText w:val="%1.%2.%3.%4.%5.%6.%7.%8.%9"/>
      <w:lvlJc w:val="left"/>
      <w:pPr>
        <w:ind w:left="2304" w:hanging="1584"/>
      </w:pPr>
      <w:rPr>
        <w:rFonts w:hint="default"/>
      </w:rPr>
    </w:lvl>
  </w:abstractNum>
  <w:abstractNum w:abstractNumId="4" w15:restartNumberingAfterBreak="0">
    <w:nsid w:val="116D3EA9"/>
    <w:multiLevelType w:val="multilevel"/>
    <w:tmpl w:val="CBCE3C80"/>
    <w:styleLink w:val="CurrentList23"/>
    <w:lvl w:ilvl="0">
      <w:start w:val="1"/>
      <w:numFmt w:val="decimal"/>
      <w:lvlText w:val="%1"/>
      <w:lvlJc w:val="left"/>
      <w:pPr>
        <w:ind w:left="567" w:hanging="567"/>
      </w:pPr>
      <w:rPr>
        <w:rFonts w:hint="default"/>
      </w:rPr>
    </w:lvl>
    <w:lvl w:ilvl="1">
      <w:start w:val="1"/>
      <w:numFmt w:val="decimal"/>
      <w:lvlText w:val="%1.%2"/>
      <w:lvlJc w:val="left"/>
      <w:pPr>
        <w:ind w:left="567" w:hanging="567"/>
      </w:pPr>
      <w:rPr>
        <w:rFonts w:hint="default"/>
      </w:rPr>
    </w:lvl>
    <w:lvl w:ilvl="2">
      <w:start w:val="1"/>
      <w:numFmt w:val="decimal"/>
      <w:lvlText w:val="%2%1..%3"/>
      <w:lvlJc w:val="left"/>
      <w:pPr>
        <w:ind w:left="851" w:hanging="851"/>
      </w:pPr>
      <w:rPr>
        <w:rFonts w:hint="default"/>
      </w:rPr>
    </w:lvl>
    <w:lvl w:ilvl="3">
      <w:start w:val="1"/>
      <w:numFmt w:val="decimal"/>
      <w:lvlText w:val="%1.%2.%3.%4"/>
      <w:lvlJc w:val="left"/>
      <w:pPr>
        <w:ind w:left="851" w:hanging="851"/>
      </w:pPr>
      <w:rPr>
        <w:rFonts w:hint="default"/>
      </w:rPr>
    </w:lvl>
    <w:lvl w:ilvl="4">
      <w:start w:val="1"/>
      <w:numFmt w:val="decimal"/>
      <w:lvlText w:val="%1.%2.%3.%4.%5"/>
      <w:lvlJc w:val="left"/>
      <w:pPr>
        <w:ind w:left="1728" w:hanging="1008"/>
      </w:pPr>
      <w:rPr>
        <w:rFonts w:hint="default"/>
      </w:rPr>
    </w:lvl>
    <w:lvl w:ilvl="5">
      <w:start w:val="1"/>
      <w:numFmt w:val="decimal"/>
      <w:lvlText w:val="%1.%2.%3.%4.%5.%6"/>
      <w:lvlJc w:val="left"/>
      <w:pPr>
        <w:ind w:left="1872" w:hanging="1152"/>
      </w:pPr>
      <w:rPr>
        <w:rFonts w:hint="default"/>
      </w:rPr>
    </w:lvl>
    <w:lvl w:ilvl="6">
      <w:start w:val="1"/>
      <w:numFmt w:val="decimal"/>
      <w:lvlText w:val="%1.%2.%3.%4.%5.%6.%7"/>
      <w:lvlJc w:val="left"/>
      <w:pPr>
        <w:ind w:left="2016" w:hanging="1296"/>
      </w:pPr>
      <w:rPr>
        <w:rFonts w:hint="default"/>
      </w:rPr>
    </w:lvl>
    <w:lvl w:ilvl="7">
      <w:start w:val="1"/>
      <w:numFmt w:val="decimal"/>
      <w:lvlText w:val="%1.%2.%3.%4.%5.%6.%7.%8"/>
      <w:lvlJc w:val="left"/>
      <w:pPr>
        <w:ind w:left="2160" w:hanging="1440"/>
      </w:pPr>
      <w:rPr>
        <w:rFonts w:hint="default"/>
      </w:rPr>
    </w:lvl>
    <w:lvl w:ilvl="8">
      <w:start w:val="1"/>
      <w:numFmt w:val="decimal"/>
      <w:lvlText w:val="%1.%2.%3.%4.%5.%6.%7.%8.%9"/>
      <w:lvlJc w:val="left"/>
      <w:pPr>
        <w:ind w:left="2304" w:hanging="1584"/>
      </w:pPr>
      <w:rPr>
        <w:rFonts w:hint="default"/>
      </w:rPr>
    </w:lvl>
  </w:abstractNum>
  <w:abstractNum w:abstractNumId="5" w15:restartNumberingAfterBreak="0">
    <w:nsid w:val="14077389"/>
    <w:multiLevelType w:val="multilevel"/>
    <w:tmpl w:val="1EC24CC4"/>
    <w:styleLink w:val="CurrentList6"/>
    <w:lvl w:ilvl="0">
      <w:start w:val="1"/>
      <w:numFmt w:val="decimal"/>
      <w:lvlText w:val="%1."/>
      <w:lvlJc w:val="left"/>
      <w:pPr>
        <w:ind w:left="360" w:hanging="360"/>
      </w:pPr>
      <w:rPr>
        <w:rFonts w:hint="default"/>
      </w:rPr>
    </w:lvl>
    <w:lvl w:ilvl="1">
      <w:start w:val="1"/>
      <w:numFmt w:val="decimal"/>
      <w:lvlText w:val="%1.%2."/>
      <w:lvlJc w:val="left"/>
      <w:pPr>
        <w:ind w:left="0" w:firstLine="36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4E55528"/>
    <w:multiLevelType w:val="multilevel"/>
    <w:tmpl w:val="107A701A"/>
    <w:styleLink w:val="CurrentList22"/>
    <w:lvl w:ilvl="0">
      <w:start w:val="1"/>
      <w:numFmt w:val="decimal"/>
      <w:lvlText w:val="%1"/>
      <w:lvlJc w:val="left"/>
      <w:pPr>
        <w:ind w:left="567" w:hanging="567"/>
      </w:pPr>
      <w:rPr>
        <w:rFonts w:hint="default"/>
      </w:rPr>
    </w:lvl>
    <w:lvl w:ilvl="1">
      <w:start w:val="1"/>
      <w:numFmt w:val="decimal"/>
      <w:lvlText w:val="%1.%2"/>
      <w:lvlJc w:val="left"/>
      <w:pPr>
        <w:ind w:left="567" w:hanging="567"/>
      </w:pPr>
      <w:rPr>
        <w:rFonts w:hint="default"/>
      </w:rPr>
    </w:lvl>
    <w:lvl w:ilvl="2">
      <w:start w:val="1"/>
      <w:numFmt w:val="decimal"/>
      <w:lvlText w:val="%2%1..%3"/>
      <w:lvlJc w:val="left"/>
      <w:pPr>
        <w:ind w:left="851" w:hanging="851"/>
      </w:pPr>
      <w:rPr>
        <w:rFonts w:hint="default"/>
      </w:rPr>
    </w:lvl>
    <w:lvl w:ilvl="3">
      <w:start w:val="1"/>
      <w:numFmt w:val="decimal"/>
      <w:lvlText w:val="%1.%2.%3.%4"/>
      <w:lvlJc w:val="left"/>
      <w:pPr>
        <w:ind w:left="851" w:hanging="851"/>
      </w:pPr>
      <w:rPr>
        <w:rFonts w:hint="default"/>
      </w:rPr>
    </w:lvl>
    <w:lvl w:ilvl="4">
      <w:start w:val="1"/>
      <w:numFmt w:val="decimal"/>
      <w:lvlText w:val="%1.%2.%3.%4.%5"/>
      <w:lvlJc w:val="left"/>
      <w:pPr>
        <w:ind w:left="1728" w:hanging="1008"/>
      </w:pPr>
      <w:rPr>
        <w:rFonts w:hint="default"/>
      </w:rPr>
    </w:lvl>
    <w:lvl w:ilvl="5">
      <w:start w:val="1"/>
      <w:numFmt w:val="decimal"/>
      <w:lvlText w:val="%1.%2.%3.%4.%5.%6"/>
      <w:lvlJc w:val="left"/>
      <w:pPr>
        <w:ind w:left="1872" w:hanging="1152"/>
      </w:pPr>
      <w:rPr>
        <w:rFonts w:hint="default"/>
      </w:rPr>
    </w:lvl>
    <w:lvl w:ilvl="6">
      <w:start w:val="1"/>
      <w:numFmt w:val="decimal"/>
      <w:lvlText w:val="%1.%2.%3.%4.%5.%6.%7"/>
      <w:lvlJc w:val="left"/>
      <w:pPr>
        <w:ind w:left="2016" w:hanging="1296"/>
      </w:pPr>
      <w:rPr>
        <w:rFonts w:hint="default"/>
      </w:rPr>
    </w:lvl>
    <w:lvl w:ilvl="7">
      <w:start w:val="1"/>
      <w:numFmt w:val="decimal"/>
      <w:lvlText w:val="%1.%2.%3.%4.%5.%6.%7.%8"/>
      <w:lvlJc w:val="left"/>
      <w:pPr>
        <w:ind w:left="2160" w:hanging="1440"/>
      </w:pPr>
      <w:rPr>
        <w:rFonts w:hint="default"/>
      </w:rPr>
    </w:lvl>
    <w:lvl w:ilvl="8">
      <w:start w:val="1"/>
      <w:numFmt w:val="decimal"/>
      <w:lvlText w:val="%1.%2.%3.%4.%5.%6.%7.%8.%9"/>
      <w:lvlJc w:val="left"/>
      <w:pPr>
        <w:ind w:left="2304" w:hanging="1584"/>
      </w:pPr>
      <w:rPr>
        <w:rFonts w:hint="default"/>
      </w:rPr>
    </w:lvl>
  </w:abstractNum>
  <w:abstractNum w:abstractNumId="7" w15:restartNumberingAfterBreak="0">
    <w:nsid w:val="19EA4B30"/>
    <w:multiLevelType w:val="multilevel"/>
    <w:tmpl w:val="E80A6452"/>
    <w:styleLink w:val="CurrentList20"/>
    <w:lvl w:ilvl="0">
      <w:start w:val="1"/>
      <w:numFmt w:val="decimal"/>
      <w:lvlText w:val="%1"/>
      <w:lvlJc w:val="left"/>
      <w:pPr>
        <w:ind w:left="567" w:hanging="567"/>
      </w:pPr>
      <w:rPr>
        <w:rFonts w:hint="default"/>
      </w:rPr>
    </w:lvl>
    <w:lvl w:ilvl="1">
      <w:start w:val="1"/>
      <w:numFmt w:val="decimal"/>
      <w:lvlText w:val="%1.%2"/>
      <w:lvlJc w:val="left"/>
      <w:pPr>
        <w:ind w:left="567" w:hanging="567"/>
      </w:pPr>
      <w:rPr>
        <w:rFonts w:hint="default"/>
      </w:rPr>
    </w:lvl>
    <w:lvl w:ilvl="2">
      <w:start w:val="1"/>
      <w:numFmt w:val="decimal"/>
      <w:lvlText w:val="%2%1..%3"/>
      <w:lvlJc w:val="left"/>
      <w:pPr>
        <w:ind w:left="851" w:hanging="851"/>
      </w:pPr>
      <w:rPr>
        <w:rFonts w:hint="default"/>
      </w:rPr>
    </w:lvl>
    <w:lvl w:ilvl="3">
      <w:start w:val="1"/>
      <w:numFmt w:val="decimal"/>
      <w:lvlText w:val="%1.%2.%3.%4"/>
      <w:lvlJc w:val="left"/>
      <w:pPr>
        <w:ind w:left="1584" w:hanging="864"/>
      </w:pPr>
      <w:rPr>
        <w:rFonts w:hint="default"/>
      </w:rPr>
    </w:lvl>
    <w:lvl w:ilvl="4">
      <w:start w:val="1"/>
      <w:numFmt w:val="decimal"/>
      <w:lvlText w:val="%1.%2.%3.%4.%5"/>
      <w:lvlJc w:val="left"/>
      <w:pPr>
        <w:ind w:left="1728" w:hanging="1008"/>
      </w:pPr>
      <w:rPr>
        <w:rFonts w:hint="default"/>
      </w:rPr>
    </w:lvl>
    <w:lvl w:ilvl="5">
      <w:start w:val="1"/>
      <w:numFmt w:val="decimal"/>
      <w:lvlText w:val="%1.%2.%3.%4.%5.%6"/>
      <w:lvlJc w:val="left"/>
      <w:pPr>
        <w:ind w:left="1872" w:hanging="1152"/>
      </w:pPr>
      <w:rPr>
        <w:rFonts w:hint="default"/>
      </w:rPr>
    </w:lvl>
    <w:lvl w:ilvl="6">
      <w:start w:val="1"/>
      <w:numFmt w:val="decimal"/>
      <w:lvlText w:val="%1.%2.%3.%4.%5.%6.%7"/>
      <w:lvlJc w:val="left"/>
      <w:pPr>
        <w:ind w:left="2016" w:hanging="1296"/>
      </w:pPr>
      <w:rPr>
        <w:rFonts w:hint="default"/>
      </w:rPr>
    </w:lvl>
    <w:lvl w:ilvl="7">
      <w:start w:val="1"/>
      <w:numFmt w:val="decimal"/>
      <w:lvlText w:val="%1.%2.%3.%4.%5.%6.%7.%8"/>
      <w:lvlJc w:val="left"/>
      <w:pPr>
        <w:ind w:left="2160" w:hanging="1440"/>
      </w:pPr>
      <w:rPr>
        <w:rFonts w:hint="default"/>
      </w:rPr>
    </w:lvl>
    <w:lvl w:ilvl="8">
      <w:start w:val="1"/>
      <w:numFmt w:val="decimal"/>
      <w:lvlText w:val="%1.%2.%3.%4.%5.%6.%7.%8.%9"/>
      <w:lvlJc w:val="left"/>
      <w:pPr>
        <w:ind w:left="2304" w:hanging="1584"/>
      </w:pPr>
      <w:rPr>
        <w:rFonts w:hint="default"/>
      </w:rPr>
    </w:lvl>
  </w:abstractNum>
  <w:abstractNum w:abstractNumId="8" w15:restartNumberingAfterBreak="0">
    <w:nsid w:val="19ED511D"/>
    <w:multiLevelType w:val="multilevel"/>
    <w:tmpl w:val="7A94F386"/>
    <w:styleLink w:val="CurrentList10"/>
    <w:lvl w:ilvl="0">
      <w:start w:val="1"/>
      <w:numFmt w:val="decimal"/>
      <w:lvlText w:val="%1."/>
      <w:lvlJc w:val="left"/>
      <w:pPr>
        <w:ind w:left="397" w:hanging="397"/>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59F07DB"/>
    <w:multiLevelType w:val="multilevel"/>
    <w:tmpl w:val="01987E94"/>
    <w:styleLink w:val="CurrentList21"/>
    <w:lvl w:ilvl="0">
      <w:start w:val="1"/>
      <w:numFmt w:val="decimal"/>
      <w:lvlText w:val="%1"/>
      <w:lvlJc w:val="left"/>
      <w:pPr>
        <w:ind w:left="567" w:hanging="567"/>
      </w:pPr>
      <w:rPr>
        <w:rFonts w:hint="default"/>
      </w:rPr>
    </w:lvl>
    <w:lvl w:ilvl="1">
      <w:start w:val="1"/>
      <w:numFmt w:val="decimal"/>
      <w:lvlText w:val="%1.%2"/>
      <w:lvlJc w:val="left"/>
      <w:pPr>
        <w:ind w:left="567" w:hanging="567"/>
      </w:pPr>
      <w:rPr>
        <w:rFonts w:hint="default"/>
      </w:rPr>
    </w:lvl>
    <w:lvl w:ilvl="2">
      <w:start w:val="1"/>
      <w:numFmt w:val="decimal"/>
      <w:lvlText w:val="%2%1..%3"/>
      <w:lvlJc w:val="left"/>
      <w:pPr>
        <w:ind w:left="851" w:hanging="851"/>
      </w:pPr>
      <w:rPr>
        <w:rFonts w:hint="default"/>
      </w:rPr>
    </w:lvl>
    <w:lvl w:ilvl="3">
      <w:start w:val="1"/>
      <w:numFmt w:val="decimal"/>
      <w:lvlText w:val="%1.%2.%3.%4"/>
      <w:lvlJc w:val="left"/>
      <w:pPr>
        <w:ind w:left="851" w:hanging="851"/>
      </w:pPr>
      <w:rPr>
        <w:rFonts w:hint="default"/>
      </w:rPr>
    </w:lvl>
    <w:lvl w:ilvl="4">
      <w:start w:val="1"/>
      <w:numFmt w:val="decimal"/>
      <w:lvlText w:val="%1.%2.%3.%4.%5"/>
      <w:lvlJc w:val="left"/>
      <w:pPr>
        <w:ind w:left="1728" w:hanging="1008"/>
      </w:pPr>
      <w:rPr>
        <w:rFonts w:hint="default"/>
      </w:rPr>
    </w:lvl>
    <w:lvl w:ilvl="5">
      <w:start w:val="1"/>
      <w:numFmt w:val="decimal"/>
      <w:lvlText w:val="%1.%2.%3.%4.%5.%6"/>
      <w:lvlJc w:val="left"/>
      <w:pPr>
        <w:ind w:left="1872" w:hanging="1152"/>
      </w:pPr>
      <w:rPr>
        <w:rFonts w:hint="default"/>
      </w:rPr>
    </w:lvl>
    <w:lvl w:ilvl="6">
      <w:start w:val="1"/>
      <w:numFmt w:val="decimal"/>
      <w:lvlText w:val="%1.%2.%3.%4.%5.%6.%7"/>
      <w:lvlJc w:val="left"/>
      <w:pPr>
        <w:ind w:left="2016" w:hanging="1296"/>
      </w:pPr>
      <w:rPr>
        <w:rFonts w:hint="default"/>
      </w:rPr>
    </w:lvl>
    <w:lvl w:ilvl="7">
      <w:start w:val="1"/>
      <w:numFmt w:val="decimal"/>
      <w:lvlText w:val="%1.%2.%3.%4.%5.%6.%7.%8"/>
      <w:lvlJc w:val="left"/>
      <w:pPr>
        <w:ind w:left="2160" w:hanging="1440"/>
      </w:pPr>
      <w:rPr>
        <w:rFonts w:hint="default"/>
      </w:rPr>
    </w:lvl>
    <w:lvl w:ilvl="8">
      <w:start w:val="1"/>
      <w:numFmt w:val="decimal"/>
      <w:lvlText w:val="%1.%2.%3.%4.%5.%6.%7.%8.%9"/>
      <w:lvlJc w:val="left"/>
      <w:pPr>
        <w:ind w:left="2304" w:hanging="1584"/>
      </w:pPr>
      <w:rPr>
        <w:rFonts w:hint="default"/>
      </w:rPr>
    </w:lvl>
  </w:abstractNum>
  <w:abstractNum w:abstractNumId="10" w15:restartNumberingAfterBreak="0">
    <w:nsid w:val="329B2AC4"/>
    <w:multiLevelType w:val="multilevel"/>
    <w:tmpl w:val="B660135E"/>
    <w:styleLink w:val="CurrentList7"/>
    <w:lvl w:ilvl="0">
      <w:start w:val="1"/>
      <w:numFmt w:val="decimal"/>
      <w:lvlText w:val="%1."/>
      <w:lvlJc w:val="left"/>
      <w:pPr>
        <w:ind w:left="360" w:hanging="360"/>
      </w:pPr>
      <w:rPr>
        <w:rFonts w:hint="default"/>
      </w:rPr>
    </w:lvl>
    <w:lvl w:ilvl="1">
      <w:start w:val="1"/>
      <w:numFmt w:val="decimal"/>
      <w:isLgl/>
      <w:lvlText w:val="%1.%2."/>
      <w:lvlJc w:val="left"/>
      <w:pPr>
        <w:ind w:left="454" w:hanging="454"/>
      </w:pPr>
      <w:rPr>
        <w:rFonts w:hint="default"/>
      </w:rPr>
    </w:lvl>
    <w:lvl w:ilvl="2">
      <w:start w:val="1"/>
      <w:numFmt w:val="decimal"/>
      <w:lvlText w:val="%1.%2.%3."/>
      <w:lvlJc w:val="left"/>
      <w:pPr>
        <w:ind w:left="1304" w:hanging="13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34695184"/>
    <w:multiLevelType w:val="multilevel"/>
    <w:tmpl w:val="29FC0CCA"/>
    <w:styleLink w:val="CurrentList14"/>
    <w:lvl w:ilvl="0">
      <w:start w:val="1"/>
      <w:numFmt w:val="decimal"/>
      <w:lvlText w:val="%1."/>
      <w:lvlJc w:val="left"/>
      <w:pPr>
        <w:ind w:left="720" w:hanging="360"/>
      </w:pPr>
      <w:rPr>
        <w:rFonts w:hint="default"/>
      </w:rPr>
    </w:lvl>
    <w:lvl w:ilvl="1">
      <w:start w:val="1"/>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12" w15:restartNumberingAfterBreak="0">
    <w:nsid w:val="36D13DBE"/>
    <w:multiLevelType w:val="multilevel"/>
    <w:tmpl w:val="0409001D"/>
    <w:styleLink w:val="CurrentList9"/>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3D3D0922"/>
    <w:multiLevelType w:val="multilevel"/>
    <w:tmpl w:val="8976D468"/>
    <w:styleLink w:val="CurrentList11"/>
    <w:lvl w:ilvl="0">
      <w:start w:val="1"/>
      <w:numFmt w:val="decimal"/>
      <w:lvlText w:val="%1."/>
      <w:lvlJc w:val="left"/>
      <w:pPr>
        <w:ind w:left="360" w:hanging="360"/>
      </w:pPr>
      <w:rPr>
        <w:rFonts w:hint="default"/>
      </w:rPr>
    </w:lvl>
    <w:lvl w:ilvl="1">
      <w:start w:val="1"/>
      <w:numFmt w:val="decimal"/>
      <w:lvlText w:val="%1.%2."/>
      <w:lvlJc w:val="left"/>
      <w:pPr>
        <w:ind w:left="454" w:hanging="454"/>
      </w:pPr>
      <w:rPr>
        <w:rFonts w:hint="default"/>
      </w:rPr>
    </w:lvl>
    <w:lvl w:ilvl="2">
      <w:start w:val="1"/>
      <w:numFmt w:val="decimal"/>
      <w:lvlText w:val="%1.%2.%3."/>
      <w:lvlJc w:val="left"/>
      <w:pPr>
        <w:ind w:left="851" w:hanging="851"/>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3F6536AD"/>
    <w:multiLevelType w:val="multilevel"/>
    <w:tmpl w:val="9BA4872A"/>
    <w:styleLink w:val="CurrentList5"/>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46F30CA9"/>
    <w:multiLevelType w:val="multilevel"/>
    <w:tmpl w:val="C53C35B0"/>
    <w:lvl w:ilvl="0">
      <w:start w:val="1"/>
      <w:numFmt w:val="decimal"/>
      <w:pStyle w:val="Heading1"/>
      <w:lvlText w:val="%1"/>
      <w:lvlJc w:val="left"/>
      <w:pPr>
        <w:ind w:left="567" w:hanging="567"/>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851" w:hanging="851"/>
      </w:pPr>
      <w:rPr>
        <w:rFonts w:hint="default"/>
      </w:rPr>
    </w:lvl>
    <w:lvl w:ilvl="3">
      <w:start w:val="1"/>
      <w:numFmt w:val="decimal"/>
      <w:pStyle w:val="Heading4"/>
      <w:lvlText w:val="%1.%2.%3.%4"/>
      <w:lvlJc w:val="left"/>
      <w:pPr>
        <w:ind w:left="851" w:hanging="851"/>
      </w:pPr>
      <w:rPr>
        <w:rFonts w:hint="default"/>
      </w:rPr>
    </w:lvl>
    <w:lvl w:ilvl="4">
      <w:start w:val="1"/>
      <w:numFmt w:val="decimal"/>
      <w:pStyle w:val="Heading5"/>
      <w:lvlText w:val="%1.%2.%3.%4.%5"/>
      <w:lvlJc w:val="left"/>
      <w:pPr>
        <w:ind w:left="1728" w:hanging="1008"/>
      </w:pPr>
      <w:rPr>
        <w:rFonts w:hint="default"/>
      </w:rPr>
    </w:lvl>
    <w:lvl w:ilvl="5">
      <w:start w:val="1"/>
      <w:numFmt w:val="decimal"/>
      <w:pStyle w:val="Heading6"/>
      <w:lvlText w:val="%1.%2.%3.%4.%5.%6"/>
      <w:lvlJc w:val="left"/>
      <w:pPr>
        <w:ind w:left="1872" w:hanging="1152"/>
      </w:pPr>
      <w:rPr>
        <w:rFonts w:hint="default"/>
      </w:rPr>
    </w:lvl>
    <w:lvl w:ilvl="6">
      <w:start w:val="1"/>
      <w:numFmt w:val="decimal"/>
      <w:pStyle w:val="Heading7"/>
      <w:lvlText w:val="%1.%2.%3.%4.%5.%6.%7"/>
      <w:lvlJc w:val="left"/>
      <w:pPr>
        <w:ind w:left="2016" w:hanging="1296"/>
      </w:pPr>
      <w:rPr>
        <w:rFonts w:hint="default"/>
      </w:rPr>
    </w:lvl>
    <w:lvl w:ilvl="7">
      <w:start w:val="1"/>
      <w:numFmt w:val="decimal"/>
      <w:pStyle w:val="Heading8"/>
      <w:lvlText w:val="%1.%2.%3.%4.%5.%6.%7.%8"/>
      <w:lvlJc w:val="left"/>
      <w:pPr>
        <w:ind w:left="2160" w:hanging="1440"/>
      </w:pPr>
      <w:rPr>
        <w:rFonts w:hint="default"/>
      </w:rPr>
    </w:lvl>
    <w:lvl w:ilvl="8">
      <w:start w:val="1"/>
      <w:numFmt w:val="decimal"/>
      <w:pStyle w:val="Heading9"/>
      <w:lvlText w:val="%1.%2.%3.%4.%5.%6.%7.%8.%9"/>
      <w:lvlJc w:val="left"/>
      <w:pPr>
        <w:ind w:left="2304" w:hanging="1584"/>
      </w:pPr>
      <w:rPr>
        <w:rFonts w:hint="default"/>
      </w:rPr>
    </w:lvl>
  </w:abstractNum>
  <w:abstractNum w:abstractNumId="16" w15:restartNumberingAfterBreak="0">
    <w:nsid w:val="49626F1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4D4E5F2C"/>
    <w:multiLevelType w:val="multilevel"/>
    <w:tmpl w:val="69A0BA08"/>
    <w:lvl w:ilvl="0">
      <w:start w:val="1"/>
      <w:numFmt w:val="decimal"/>
      <w:lvlText w:val="%1."/>
      <w:lvlJc w:val="left"/>
      <w:pPr>
        <w:ind w:left="360" w:hanging="360"/>
      </w:pPr>
      <w:rPr>
        <w:rFonts w:hint="default"/>
      </w:rPr>
    </w:lvl>
    <w:lvl w:ilvl="1">
      <w:start w:val="1"/>
      <w:numFmt w:val="decimal"/>
      <w:lvlText w:val="%1.%2."/>
      <w:lvlJc w:val="left"/>
      <w:pPr>
        <w:ind w:left="454" w:hanging="454"/>
      </w:pPr>
      <w:rPr>
        <w:rFonts w:hint="default"/>
      </w:rPr>
    </w:lvl>
    <w:lvl w:ilvl="2">
      <w:start w:val="1"/>
      <w:numFmt w:val="decimal"/>
      <w:lvlText w:val="%1.%2.%3."/>
      <w:lvlJc w:val="left"/>
      <w:pPr>
        <w:ind w:left="851" w:hanging="851"/>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52AC5427"/>
    <w:multiLevelType w:val="multilevel"/>
    <w:tmpl w:val="E2BE3078"/>
    <w:styleLink w:val="CurrentList18"/>
    <w:lvl w:ilvl="0">
      <w:start w:val="1"/>
      <w:numFmt w:val="decimal"/>
      <w:lvlText w:val="%1"/>
      <w:lvlJc w:val="left"/>
      <w:pPr>
        <w:ind w:left="567" w:hanging="567"/>
      </w:pPr>
      <w:rPr>
        <w:rFonts w:hint="default"/>
      </w:rPr>
    </w:lvl>
    <w:lvl w:ilvl="1">
      <w:start w:val="1"/>
      <w:numFmt w:val="decimal"/>
      <w:lvlText w:val="%1.%2"/>
      <w:lvlJc w:val="left"/>
      <w:pPr>
        <w:ind w:left="1296" w:hanging="576"/>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584" w:hanging="864"/>
      </w:pPr>
      <w:rPr>
        <w:rFonts w:hint="default"/>
      </w:rPr>
    </w:lvl>
    <w:lvl w:ilvl="4">
      <w:start w:val="1"/>
      <w:numFmt w:val="decimal"/>
      <w:lvlText w:val="%1.%2.%3.%4.%5"/>
      <w:lvlJc w:val="left"/>
      <w:pPr>
        <w:ind w:left="1728" w:hanging="1008"/>
      </w:pPr>
      <w:rPr>
        <w:rFonts w:hint="default"/>
      </w:rPr>
    </w:lvl>
    <w:lvl w:ilvl="5">
      <w:start w:val="1"/>
      <w:numFmt w:val="decimal"/>
      <w:lvlText w:val="%1.%2.%3.%4.%5.%6"/>
      <w:lvlJc w:val="left"/>
      <w:pPr>
        <w:ind w:left="1872" w:hanging="1152"/>
      </w:pPr>
      <w:rPr>
        <w:rFonts w:hint="default"/>
      </w:rPr>
    </w:lvl>
    <w:lvl w:ilvl="6">
      <w:start w:val="1"/>
      <w:numFmt w:val="decimal"/>
      <w:lvlText w:val="%1.%2.%3.%4.%5.%6.%7"/>
      <w:lvlJc w:val="left"/>
      <w:pPr>
        <w:ind w:left="2016" w:hanging="1296"/>
      </w:pPr>
      <w:rPr>
        <w:rFonts w:hint="default"/>
      </w:rPr>
    </w:lvl>
    <w:lvl w:ilvl="7">
      <w:start w:val="1"/>
      <w:numFmt w:val="decimal"/>
      <w:lvlText w:val="%1.%2.%3.%4.%5.%6.%7.%8"/>
      <w:lvlJc w:val="left"/>
      <w:pPr>
        <w:ind w:left="2160" w:hanging="1440"/>
      </w:pPr>
      <w:rPr>
        <w:rFonts w:hint="default"/>
      </w:rPr>
    </w:lvl>
    <w:lvl w:ilvl="8">
      <w:start w:val="1"/>
      <w:numFmt w:val="decimal"/>
      <w:lvlText w:val="%1.%2.%3.%4.%5.%6.%7.%8.%9"/>
      <w:lvlJc w:val="left"/>
      <w:pPr>
        <w:ind w:left="2304" w:hanging="1584"/>
      </w:pPr>
      <w:rPr>
        <w:rFonts w:hint="default"/>
      </w:rPr>
    </w:lvl>
  </w:abstractNum>
  <w:abstractNum w:abstractNumId="19" w15:restartNumberingAfterBreak="0">
    <w:nsid w:val="54CA12E2"/>
    <w:multiLevelType w:val="multilevel"/>
    <w:tmpl w:val="9F76E450"/>
    <w:lvl w:ilvl="0">
      <w:start w:val="1"/>
      <w:numFmt w:val="decimal"/>
      <w:lvlText w:val="%1."/>
      <w:lvlJc w:val="left"/>
      <w:pPr>
        <w:ind w:left="360" w:hanging="360"/>
      </w:pPr>
      <w:rPr>
        <w:rFonts w:hint="default"/>
      </w:rPr>
    </w:lvl>
    <w:lvl w:ilvl="1">
      <w:start w:val="1"/>
      <w:numFmt w:val="decimal"/>
      <w:isLgl/>
      <w:lvlText w:val="%1.%2."/>
      <w:lvlJc w:val="left"/>
      <w:pPr>
        <w:ind w:left="454" w:hanging="454"/>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586B4870"/>
    <w:multiLevelType w:val="multilevel"/>
    <w:tmpl w:val="FB6AA930"/>
    <w:styleLink w:val="CurrentList19"/>
    <w:lvl w:ilvl="0">
      <w:start w:val="1"/>
      <w:numFmt w:val="decimal"/>
      <w:lvlText w:val="%1"/>
      <w:lvlJc w:val="left"/>
      <w:pPr>
        <w:ind w:left="567" w:hanging="567"/>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584" w:hanging="864"/>
      </w:pPr>
      <w:rPr>
        <w:rFonts w:hint="default"/>
      </w:rPr>
    </w:lvl>
    <w:lvl w:ilvl="4">
      <w:start w:val="1"/>
      <w:numFmt w:val="decimal"/>
      <w:lvlText w:val="%1.%2.%3.%4.%5"/>
      <w:lvlJc w:val="left"/>
      <w:pPr>
        <w:ind w:left="1728" w:hanging="1008"/>
      </w:pPr>
      <w:rPr>
        <w:rFonts w:hint="default"/>
      </w:rPr>
    </w:lvl>
    <w:lvl w:ilvl="5">
      <w:start w:val="1"/>
      <w:numFmt w:val="decimal"/>
      <w:lvlText w:val="%1.%2.%3.%4.%5.%6"/>
      <w:lvlJc w:val="left"/>
      <w:pPr>
        <w:ind w:left="1872" w:hanging="1152"/>
      </w:pPr>
      <w:rPr>
        <w:rFonts w:hint="default"/>
      </w:rPr>
    </w:lvl>
    <w:lvl w:ilvl="6">
      <w:start w:val="1"/>
      <w:numFmt w:val="decimal"/>
      <w:lvlText w:val="%1.%2.%3.%4.%5.%6.%7"/>
      <w:lvlJc w:val="left"/>
      <w:pPr>
        <w:ind w:left="2016" w:hanging="1296"/>
      </w:pPr>
      <w:rPr>
        <w:rFonts w:hint="default"/>
      </w:rPr>
    </w:lvl>
    <w:lvl w:ilvl="7">
      <w:start w:val="1"/>
      <w:numFmt w:val="decimal"/>
      <w:lvlText w:val="%1.%2.%3.%4.%5.%6.%7.%8"/>
      <w:lvlJc w:val="left"/>
      <w:pPr>
        <w:ind w:left="2160" w:hanging="1440"/>
      </w:pPr>
      <w:rPr>
        <w:rFonts w:hint="default"/>
      </w:rPr>
    </w:lvl>
    <w:lvl w:ilvl="8">
      <w:start w:val="1"/>
      <w:numFmt w:val="decimal"/>
      <w:lvlText w:val="%1.%2.%3.%4.%5.%6.%7.%8.%9"/>
      <w:lvlJc w:val="left"/>
      <w:pPr>
        <w:ind w:left="2304" w:hanging="1584"/>
      </w:pPr>
      <w:rPr>
        <w:rFonts w:hint="default"/>
      </w:rPr>
    </w:lvl>
  </w:abstractNum>
  <w:abstractNum w:abstractNumId="21" w15:restartNumberingAfterBreak="0">
    <w:nsid w:val="5A2F7E57"/>
    <w:multiLevelType w:val="multilevel"/>
    <w:tmpl w:val="1BB2F6A0"/>
    <w:styleLink w:val="CurrentList13"/>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5A314E44"/>
    <w:multiLevelType w:val="multilevel"/>
    <w:tmpl w:val="8196BE08"/>
    <w:styleLink w:val="CurrentList3"/>
    <w:lvl w:ilvl="0">
      <w:start w:val="1"/>
      <w:numFmt w:val="decimal"/>
      <w:lvlText w:val="%1."/>
      <w:lvlJc w:val="left"/>
      <w:pPr>
        <w:ind w:left="397" w:hanging="397"/>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5D5A1C60"/>
    <w:multiLevelType w:val="multilevel"/>
    <w:tmpl w:val="48DC973C"/>
    <w:styleLink w:val="CurrentList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60101624"/>
    <w:multiLevelType w:val="multilevel"/>
    <w:tmpl w:val="A600F03E"/>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606F443E"/>
    <w:multiLevelType w:val="multilevel"/>
    <w:tmpl w:val="29FC0CCA"/>
    <w:styleLink w:val="CurrentList15"/>
    <w:lvl w:ilvl="0">
      <w:start w:val="1"/>
      <w:numFmt w:val="decimal"/>
      <w:lvlText w:val="%1."/>
      <w:lvlJc w:val="left"/>
      <w:pPr>
        <w:ind w:left="720" w:hanging="360"/>
      </w:pPr>
      <w:rPr>
        <w:rFonts w:hint="default"/>
      </w:rPr>
    </w:lvl>
    <w:lvl w:ilvl="1">
      <w:start w:val="1"/>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26" w15:restartNumberingAfterBreak="0">
    <w:nsid w:val="67253C4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68FE30A2"/>
    <w:multiLevelType w:val="multilevel"/>
    <w:tmpl w:val="FEB4ED80"/>
    <w:styleLink w:val="CurrentList26"/>
    <w:lvl w:ilvl="0">
      <w:start w:val="1"/>
      <w:numFmt w:val="decimal"/>
      <w:lvlText w:val="%1"/>
      <w:lvlJc w:val="left"/>
      <w:pPr>
        <w:ind w:left="567" w:hanging="567"/>
      </w:pPr>
      <w:rPr>
        <w:rFonts w:hint="default"/>
      </w:rPr>
    </w:lvl>
    <w:lvl w:ilvl="1">
      <w:start w:val="1"/>
      <w:numFmt w:val="decimal"/>
      <w:lvlText w:val="%1.%2"/>
      <w:lvlJc w:val="left"/>
      <w:pPr>
        <w:ind w:left="567" w:hanging="567"/>
      </w:pPr>
      <w:rPr>
        <w:rFonts w:hint="default"/>
      </w:rPr>
    </w:lvl>
    <w:lvl w:ilvl="2">
      <w:start w:val="1"/>
      <w:numFmt w:val="none"/>
      <w:lvlText w:val="."/>
      <w:lvlJc w:val="left"/>
      <w:pPr>
        <w:ind w:left="851" w:hanging="851"/>
      </w:pPr>
      <w:rPr>
        <w:rFonts w:hint="default"/>
      </w:rPr>
    </w:lvl>
    <w:lvl w:ilvl="3">
      <w:start w:val="1"/>
      <w:numFmt w:val="decimal"/>
      <w:lvlText w:val="%1.%2.%3.%4"/>
      <w:lvlJc w:val="left"/>
      <w:pPr>
        <w:ind w:left="851" w:hanging="851"/>
      </w:pPr>
      <w:rPr>
        <w:rFonts w:hint="default"/>
      </w:rPr>
    </w:lvl>
    <w:lvl w:ilvl="4">
      <w:start w:val="1"/>
      <w:numFmt w:val="decimal"/>
      <w:lvlText w:val="%1.%2.%3.%4.%5"/>
      <w:lvlJc w:val="left"/>
      <w:pPr>
        <w:ind w:left="1728" w:hanging="1008"/>
      </w:pPr>
      <w:rPr>
        <w:rFonts w:hint="default"/>
      </w:rPr>
    </w:lvl>
    <w:lvl w:ilvl="5">
      <w:start w:val="1"/>
      <w:numFmt w:val="decimal"/>
      <w:lvlText w:val="%1.%2.%3.%4.%5.%6"/>
      <w:lvlJc w:val="left"/>
      <w:pPr>
        <w:ind w:left="1872" w:hanging="1152"/>
      </w:pPr>
      <w:rPr>
        <w:rFonts w:hint="default"/>
      </w:rPr>
    </w:lvl>
    <w:lvl w:ilvl="6">
      <w:start w:val="1"/>
      <w:numFmt w:val="decimal"/>
      <w:lvlText w:val="%1.%2.%3.%4.%5.%6.%7"/>
      <w:lvlJc w:val="left"/>
      <w:pPr>
        <w:ind w:left="2016" w:hanging="1296"/>
      </w:pPr>
      <w:rPr>
        <w:rFonts w:hint="default"/>
      </w:rPr>
    </w:lvl>
    <w:lvl w:ilvl="7">
      <w:start w:val="1"/>
      <w:numFmt w:val="decimal"/>
      <w:lvlText w:val="%1.%2.%3.%4.%5.%6.%7.%8"/>
      <w:lvlJc w:val="left"/>
      <w:pPr>
        <w:ind w:left="2160" w:hanging="1440"/>
      </w:pPr>
      <w:rPr>
        <w:rFonts w:hint="default"/>
      </w:rPr>
    </w:lvl>
    <w:lvl w:ilvl="8">
      <w:start w:val="1"/>
      <w:numFmt w:val="decimal"/>
      <w:lvlText w:val="%1.%2.%3.%4.%5.%6.%7.%8.%9"/>
      <w:lvlJc w:val="left"/>
      <w:pPr>
        <w:ind w:left="2304" w:hanging="1584"/>
      </w:pPr>
      <w:rPr>
        <w:rFonts w:hint="default"/>
      </w:rPr>
    </w:lvl>
  </w:abstractNum>
  <w:abstractNum w:abstractNumId="28" w15:restartNumberingAfterBreak="0">
    <w:nsid w:val="6AC254FC"/>
    <w:multiLevelType w:val="multilevel"/>
    <w:tmpl w:val="2E04C07A"/>
    <w:styleLink w:val="CurrentList24"/>
    <w:lvl w:ilvl="0">
      <w:start w:val="1"/>
      <w:numFmt w:val="decimal"/>
      <w:lvlText w:val="%1"/>
      <w:lvlJc w:val="left"/>
      <w:pPr>
        <w:ind w:left="567" w:hanging="567"/>
      </w:pPr>
      <w:rPr>
        <w:rFonts w:hint="default"/>
      </w:rPr>
    </w:lvl>
    <w:lvl w:ilvl="1">
      <w:start w:val="1"/>
      <w:numFmt w:val="decimal"/>
      <w:lvlText w:val="%1.%2"/>
      <w:lvlJc w:val="left"/>
      <w:pPr>
        <w:ind w:left="567" w:hanging="567"/>
      </w:pPr>
      <w:rPr>
        <w:rFonts w:hint="default"/>
      </w:rPr>
    </w:lvl>
    <w:lvl w:ilvl="2">
      <w:start w:val="1"/>
      <w:numFmt w:val="upperRoman"/>
      <w:lvlText w:val="%2%1..%3"/>
      <w:lvlJc w:val="left"/>
      <w:pPr>
        <w:ind w:left="851" w:hanging="851"/>
      </w:pPr>
      <w:rPr>
        <w:rFonts w:hint="default"/>
      </w:rPr>
    </w:lvl>
    <w:lvl w:ilvl="3">
      <w:start w:val="1"/>
      <w:numFmt w:val="decimal"/>
      <w:lvlText w:val="%1.%2.%3.%4"/>
      <w:lvlJc w:val="left"/>
      <w:pPr>
        <w:ind w:left="851" w:hanging="851"/>
      </w:pPr>
      <w:rPr>
        <w:rFonts w:hint="default"/>
      </w:rPr>
    </w:lvl>
    <w:lvl w:ilvl="4">
      <w:start w:val="1"/>
      <w:numFmt w:val="decimal"/>
      <w:lvlText w:val="%1.%2.%3.%4.%5"/>
      <w:lvlJc w:val="left"/>
      <w:pPr>
        <w:ind w:left="1728" w:hanging="1008"/>
      </w:pPr>
      <w:rPr>
        <w:rFonts w:hint="default"/>
      </w:rPr>
    </w:lvl>
    <w:lvl w:ilvl="5">
      <w:start w:val="1"/>
      <w:numFmt w:val="decimal"/>
      <w:lvlText w:val="%1.%2.%3.%4.%5.%6"/>
      <w:lvlJc w:val="left"/>
      <w:pPr>
        <w:ind w:left="1872" w:hanging="1152"/>
      </w:pPr>
      <w:rPr>
        <w:rFonts w:hint="default"/>
      </w:rPr>
    </w:lvl>
    <w:lvl w:ilvl="6">
      <w:start w:val="1"/>
      <w:numFmt w:val="decimal"/>
      <w:lvlText w:val="%1.%2.%3.%4.%5.%6.%7"/>
      <w:lvlJc w:val="left"/>
      <w:pPr>
        <w:ind w:left="2016" w:hanging="1296"/>
      </w:pPr>
      <w:rPr>
        <w:rFonts w:hint="default"/>
      </w:rPr>
    </w:lvl>
    <w:lvl w:ilvl="7">
      <w:start w:val="1"/>
      <w:numFmt w:val="decimal"/>
      <w:lvlText w:val="%1.%2.%3.%4.%5.%6.%7.%8"/>
      <w:lvlJc w:val="left"/>
      <w:pPr>
        <w:ind w:left="2160" w:hanging="1440"/>
      </w:pPr>
      <w:rPr>
        <w:rFonts w:hint="default"/>
      </w:rPr>
    </w:lvl>
    <w:lvl w:ilvl="8">
      <w:start w:val="1"/>
      <w:numFmt w:val="decimal"/>
      <w:lvlText w:val="%1.%2.%3.%4.%5.%6.%7.%8.%9"/>
      <w:lvlJc w:val="left"/>
      <w:pPr>
        <w:ind w:left="2304" w:hanging="1584"/>
      </w:pPr>
      <w:rPr>
        <w:rFonts w:hint="default"/>
      </w:rPr>
    </w:lvl>
  </w:abstractNum>
  <w:abstractNum w:abstractNumId="29" w15:restartNumberingAfterBreak="0">
    <w:nsid w:val="6B50257C"/>
    <w:multiLevelType w:val="multilevel"/>
    <w:tmpl w:val="824E9168"/>
    <w:styleLink w:val="CurrentList4"/>
    <w:lvl w:ilvl="0">
      <w:start w:val="1"/>
      <w:numFmt w:val="decimal"/>
      <w:lvlText w:val="%1."/>
      <w:lvlJc w:val="left"/>
      <w:pPr>
        <w:ind w:left="397" w:hanging="397"/>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6D6E7661"/>
    <w:multiLevelType w:val="multilevel"/>
    <w:tmpl w:val="90BCFF26"/>
    <w:styleLink w:val="CurrentList16"/>
    <w:lvl w:ilvl="0">
      <w:start w:val="1"/>
      <w:numFmt w:val="decimal"/>
      <w:lvlText w:val="%1"/>
      <w:lvlJc w:val="left"/>
      <w:pPr>
        <w:ind w:left="1152" w:hanging="432"/>
      </w:pPr>
      <w:rPr>
        <w:rFonts w:hint="default"/>
      </w:rPr>
    </w:lvl>
    <w:lvl w:ilvl="1">
      <w:start w:val="1"/>
      <w:numFmt w:val="decimal"/>
      <w:lvlText w:val="%1.%2"/>
      <w:lvlJc w:val="left"/>
      <w:pPr>
        <w:ind w:left="1296" w:hanging="576"/>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584" w:hanging="864"/>
      </w:pPr>
      <w:rPr>
        <w:rFonts w:hint="default"/>
      </w:rPr>
    </w:lvl>
    <w:lvl w:ilvl="4">
      <w:start w:val="1"/>
      <w:numFmt w:val="decimal"/>
      <w:lvlText w:val="%1.%2.%3.%4.%5"/>
      <w:lvlJc w:val="left"/>
      <w:pPr>
        <w:ind w:left="1728" w:hanging="1008"/>
      </w:pPr>
      <w:rPr>
        <w:rFonts w:hint="default"/>
      </w:rPr>
    </w:lvl>
    <w:lvl w:ilvl="5">
      <w:start w:val="1"/>
      <w:numFmt w:val="decimal"/>
      <w:lvlText w:val="%1.%2.%3.%4.%5.%6"/>
      <w:lvlJc w:val="left"/>
      <w:pPr>
        <w:ind w:left="1872" w:hanging="1152"/>
      </w:pPr>
      <w:rPr>
        <w:rFonts w:hint="default"/>
      </w:rPr>
    </w:lvl>
    <w:lvl w:ilvl="6">
      <w:start w:val="1"/>
      <w:numFmt w:val="decimal"/>
      <w:lvlText w:val="%1.%2.%3.%4.%5.%6.%7"/>
      <w:lvlJc w:val="left"/>
      <w:pPr>
        <w:ind w:left="2016" w:hanging="1296"/>
      </w:pPr>
      <w:rPr>
        <w:rFonts w:hint="default"/>
      </w:rPr>
    </w:lvl>
    <w:lvl w:ilvl="7">
      <w:start w:val="1"/>
      <w:numFmt w:val="decimal"/>
      <w:lvlText w:val="%1.%2.%3.%4.%5.%6.%7.%8"/>
      <w:lvlJc w:val="left"/>
      <w:pPr>
        <w:ind w:left="2160" w:hanging="1440"/>
      </w:pPr>
      <w:rPr>
        <w:rFonts w:hint="default"/>
      </w:rPr>
    </w:lvl>
    <w:lvl w:ilvl="8">
      <w:start w:val="1"/>
      <w:numFmt w:val="decimal"/>
      <w:lvlText w:val="%1.%2.%3.%4.%5.%6.%7.%8.%9"/>
      <w:lvlJc w:val="left"/>
      <w:pPr>
        <w:ind w:left="2304" w:hanging="1584"/>
      </w:pPr>
      <w:rPr>
        <w:rFonts w:hint="default"/>
      </w:rPr>
    </w:lvl>
  </w:abstractNum>
  <w:abstractNum w:abstractNumId="31" w15:restartNumberingAfterBreak="0">
    <w:nsid w:val="7FC9280A"/>
    <w:multiLevelType w:val="multilevel"/>
    <w:tmpl w:val="92BC9BD4"/>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16cid:durableId="1437363773">
    <w:abstractNumId w:val="26"/>
  </w:num>
  <w:num w:numId="2" w16cid:durableId="234820302">
    <w:abstractNumId w:val="16"/>
  </w:num>
  <w:num w:numId="3" w16cid:durableId="229002157">
    <w:abstractNumId w:val="31"/>
  </w:num>
  <w:num w:numId="4" w16cid:durableId="236526008">
    <w:abstractNumId w:val="17"/>
  </w:num>
  <w:num w:numId="5" w16cid:durableId="691687607">
    <w:abstractNumId w:val="24"/>
  </w:num>
  <w:num w:numId="6" w16cid:durableId="973799538">
    <w:abstractNumId w:val="19"/>
  </w:num>
  <w:num w:numId="7" w16cid:durableId="860515737">
    <w:abstractNumId w:val="23"/>
  </w:num>
  <w:num w:numId="8" w16cid:durableId="1544830017">
    <w:abstractNumId w:val="22"/>
  </w:num>
  <w:num w:numId="9" w16cid:durableId="772630974">
    <w:abstractNumId w:val="29"/>
  </w:num>
  <w:num w:numId="10" w16cid:durableId="1496259433">
    <w:abstractNumId w:val="14"/>
  </w:num>
  <w:num w:numId="11" w16cid:durableId="419837070">
    <w:abstractNumId w:val="5"/>
  </w:num>
  <w:num w:numId="12" w16cid:durableId="531579292">
    <w:abstractNumId w:val="15"/>
  </w:num>
  <w:num w:numId="13" w16cid:durableId="1725834436">
    <w:abstractNumId w:val="10"/>
  </w:num>
  <w:num w:numId="14" w16cid:durableId="627979995">
    <w:abstractNumId w:val="2"/>
  </w:num>
  <w:num w:numId="15" w16cid:durableId="592324151">
    <w:abstractNumId w:val="12"/>
  </w:num>
  <w:num w:numId="16" w16cid:durableId="76556220">
    <w:abstractNumId w:val="8"/>
  </w:num>
  <w:num w:numId="17" w16cid:durableId="425930464">
    <w:abstractNumId w:val="13"/>
  </w:num>
  <w:num w:numId="18" w16cid:durableId="584801793">
    <w:abstractNumId w:val="1"/>
  </w:num>
  <w:num w:numId="19" w16cid:durableId="521868212">
    <w:abstractNumId w:val="21"/>
  </w:num>
  <w:num w:numId="20" w16cid:durableId="1919821434">
    <w:abstractNumId w:val="11"/>
  </w:num>
  <w:num w:numId="21" w16cid:durableId="799420064">
    <w:abstractNumId w:val="25"/>
  </w:num>
  <w:num w:numId="22" w16cid:durableId="809245372">
    <w:abstractNumId w:val="30"/>
  </w:num>
  <w:num w:numId="23" w16cid:durableId="1654986420">
    <w:abstractNumId w:val="0"/>
  </w:num>
  <w:num w:numId="24" w16cid:durableId="768235141">
    <w:abstractNumId w:val="18"/>
  </w:num>
  <w:num w:numId="25" w16cid:durableId="658462186">
    <w:abstractNumId w:val="20"/>
  </w:num>
  <w:num w:numId="26" w16cid:durableId="1119880650">
    <w:abstractNumId w:val="7"/>
  </w:num>
  <w:num w:numId="27" w16cid:durableId="150369462">
    <w:abstractNumId w:val="9"/>
  </w:num>
  <w:num w:numId="28" w16cid:durableId="607277576">
    <w:abstractNumId w:val="6"/>
  </w:num>
  <w:num w:numId="29" w16cid:durableId="336811716">
    <w:abstractNumId w:val="4"/>
  </w:num>
  <w:num w:numId="30" w16cid:durableId="198401207">
    <w:abstractNumId w:val="28"/>
  </w:num>
  <w:num w:numId="31" w16cid:durableId="1841768675">
    <w:abstractNumId w:val="3"/>
  </w:num>
  <w:num w:numId="32" w16cid:durableId="167097935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0"/>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C29"/>
    <w:rsid w:val="000C3C3C"/>
    <w:rsid w:val="000D0C36"/>
    <w:rsid w:val="001027E5"/>
    <w:rsid w:val="00111F5A"/>
    <w:rsid w:val="0016279F"/>
    <w:rsid w:val="001A2530"/>
    <w:rsid w:val="001E64C1"/>
    <w:rsid w:val="00237264"/>
    <w:rsid w:val="00266A21"/>
    <w:rsid w:val="002D396D"/>
    <w:rsid w:val="00321334"/>
    <w:rsid w:val="003213A8"/>
    <w:rsid w:val="00373A3D"/>
    <w:rsid w:val="004016F0"/>
    <w:rsid w:val="004206A8"/>
    <w:rsid w:val="004758C7"/>
    <w:rsid w:val="004F65D4"/>
    <w:rsid w:val="00575DF4"/>
    <w:rsid w:val="0065309B"/>
    <w:rsid w:val="00681B03"/>
    <w:rsid w:val="006E1F8B"/>
    <w:rsid w:val="00722CA7"/>
    <w:rsid w:val="00783B31"/>
    <w:rsid w:val="007F65C1"/>
    <w:rsid w:val="008149FD"/>
    <w:rsid w:val="00840BD4"/>
    <w:rsid w:val="00854373"/>
    <w:rsid w:val="0088107D"/>
    <w:rsid w:val="008F52A2"/>
    <w:rsid w:val="009A78A3"/>
    <w:rsid w:val="009B73B0"/>
    <w:rsid w:val="00A421BF"/>
    <w:rsid w:val="00A57F72"/>
    <w:rsid w:val="00B54F98"/>
    <w:rsid w:val="00B6044A"/>
    <w:rsid w:val="00B67038"/>
    <w:rsid w:val="00B674B1"/>
    <w:rsid w:val="00C228D2"/>
    <w:rsid w:val="00C25EDC"/>
    <w:rsid w:val="00C325CF"/>
    <w:rsid w:val="00CB2067"/>
    <w:rsid w:val="00CD1C20"/>
    <w:rsid w:val="00D23FB0"/>
    <w:rsid w:val="00D40A22"/>
    <w:rsid w:val="00DC3BC4"/>
    <w:rsid w:val="00E23C29"/>
    <w:rsid w:val="00ED632F"/>
    <w:rsid w:val="00F17F28"/>
    <w:rsid w:val="00FE43DD"/>
    <w:rsid w:val="00FF319C"/>
    <w:rsid w:val="00FF4989"/>
    <w:rsid w:val="00FF5F39"/>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BAB3E1"/>
  <w15:chartTrackingRefBased/>
  <w15:docId w15:val="{9363EBB2-CD9E-354C-90E1-12BADEDD80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T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3FB0"/>
    <w:pPr>
      <w:jc w:val="both"/>
    </w:pPr>
  </w:style>
  <w:style w:type="paragraph" w:styleId="Heading1">
    <w:name w:val="heading 1"/>
    <w:basedOn w:val="Normal"/>
    <w:next w:val="Normal"/>
    <w:link w:val="Heading1Char"/>
    <w:autoRedefine/>
    <w:uiPriority w:val="9"/>
    <w:qFormat/>
    <w:rsid w:val="002D396D"/>
    <w:pPr>
      <w:keepNext/>
      <w:keepLines/>
      <w:pageBreakBefore/>
      <w:numPr>
        <w:numId w:val="12"/>
      </w:numPr>
      <w:spacing w:after="240"/>
      <w:outlineLvl w:val="0"/>
    </w:pPr>
    <w:rPr>
      <w:rFonts w:ascii="Arial" w:eastAsiaTheme="majorEastAsia" w:hAnsi="Arial" w:cs="Times New Roman (Headings CS)"/>
      <w:b/>
      <w:caps/>
      <w:color w:val="000000" w:themeColor="text1"/>
      <w:sz w:val="32"/>
      <w:szCs w:val="32"/>
    </w:rPr>
  </w:style>
  <w:style w:type="paragraph" w:styleId="Heading2">
    <w:name w:val="heading 2"/>
    <w:basedOn w:val="Normal"/>
    <w:next w:val="Normal"/>
    <w:link w:val="Heading2Char1"/>
    <w:uiPriority w:val="9"/>
    <w:unhideWhenUsed/>
    <w:qFormat/>
    <w:rsid w:val="002D396D"/>
    <w:pPr>
      <w:keepNext/>
      <w:keepLines/>
      <w:numPr>
        <w:ilvl w:val="1"/>
        <w:numId w:val="12"/>
      </w:numPr>
      <w:spacing w:before="240" w:after="240"/>
      <w:jc w:val="left"/>
      <w:outlineLvl w:val="1"/>
    </w:pPr>
    <w:rPr>
      <w:rFonts w:ascii="Arial" w:eastAsiaTheme="majorEastAsia" w:hAnsi="Arial" w:cstheme="majorBidi"/>
      <w:b/>
      <w:color w:val="000000" w:themeColor="text1"/>
      <w:sz w:val="28"/>
      <w:szCs w:val="26"/>
    </w:rPr>
  </w:style>
  <w:style w:type="paragraph" w:styleId="Heading3">
    <w:name w:val="heading 3"/>
    <w:basedOn w:val="Normal"/>
    <w:next w:val="Normal"/>
    <w:link w:val="Heading3Char1"/>
    <w:uiPriority w:val="9"/>
    <w:unhideWhenUsed/>
    <w:qFormat/>
    <w:rsid w:val="002D396D"/>
    <w:pPr>
      <w:keepNext/>
      <w:keepLines/>
      <w:numPr>
        <w:ilvl w:val="2"/>
        <w:numId w:val="12"/>
      </w:numPr>
      <w:spacing w:before="40" w:after="120"/>
      <w:outlineLvl w:val="2"/>
    </w:pPr>
    <w:rPr>
      <w:rFonts w:ascii="Arial" w:eastAsiaTheme="majorEastAsia" w:hAnsi="Arial" w:cstheme="majorBidi"/>
      <w:b/>
      <w:color w:val="000000" w:themeColor="text1"/>
    </w:rPr>
  </w:style>
  <w:style w:type="paragraph" w:styleId="Heading4">
    <w:name w:val="heading 4"/>
    <w:basedOn w:val="Normal"/>
    <w:next w:val="Normal"/>
    <w:link w:val="Heading4Char1"/>
    <w:uiPriority w:val="9"/>
    <w:unhideWhenUsed/>
    <w:qFormat/>
    <w:rsid w:val="002D396D"/>
    <w:pPr>
      <w:keepNext/>
      <w:keepLines/>
      <w:numPr>
        <w:ilvl w:val="3"/>
        <w:numId w:val="12"/>
      </w:numPr>
      <w:spacing w:before="40" w:after="120"/>
      <w:outlineLvl w:val="3"/>
    </w:pPr>
    <w:rPr>
      <w:rFonts w:ascii="Arial" w:eastAsiaTheme="majorEastAsia" w:hAnsi="Arial" w:cstheme="majorBidi"/>
      <w:b/>
      <w:iCs/>
      <w:color w:val="000000" w:themeColor="text1"/>
    </w:rPr>
  </w:style>
  <w:style w:type="paragraph" w:styleId="Heading5">
    <w:name w:val="heading 5"/>
    <w:basedOn w:val="Normal"/>
    <w:next w:val="Normal"/>
    <w:link w:val="Heading5Char1"/>
    <w:uiPriority w:val="9"/>
    <w:semiHidden/>
    <w:unhideWhenUsed/>
    <w:qFormat/>
    <w:rsid w:val="002D396D"/>
    <w:pPr>
      <w:keepNext/>
      <w:keepLines/>
      <w:numPr>
        <w:ilvl w:val="4"/>
        <w:numId w:val="12"/>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1"/>
    <w:uiPriority w:val="9"/>
    <w:semiHidden/>
    <w:unhideWhenUsed/>
    <w:qFormat/>
    <w:rsid w:val="002D396D"/>
    <w:pPr>
      <w:keepNext/>
      <w:keepLines/>
      <w:numPr>
        <w:ilvl w:val="5"/>
        <w:numId w:val="12"/>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1"/>
    <w:uiPriority w:val="9"/>
    <w:semiHidden/>
    <w:unhideWhenUsed/>
    <w:qFormat/>
    <w:rsid w:val="002D396D"/>
    <w:pPr>
      <w:keepNext/>
      <w:keepLines/>
      <w:numPr>
        <w:ilvl w:val="6"/>
        <w:numId w:val="12"/>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1"/>
    <w:uiPriority w:val="9"/>
    <w:semiHidden/>
    <w:unhideWhenUsed/>
    <w:qFormat/>
    <w:rsid w:val="002D396D"/>
    <w:pPr>
      <w:keepNext/>
      <w:keepLines/>
      <w:numPr>
        <w:ilvl w:val="7"/>
        <w:numId w:val="12"/>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1"/>
    <w:uiPriority w:val="9"/>
    <w:semiHidden/>
    <w:unhideWhenUsed/>
    <w:qFormat/>
    <w:rsid w:val="002D396D"/>
    <w:pPr>
      <w:keepNext/>
      <w:keepLines/>
      <w:numPr>
        <w:ilvl w:val="8"/>
        <w:numId w:val="1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verPageInstitute">
    <w:name w:val="Cover Page Institute"/>
    <w:basedOn w:val="Normal"/>
    <w:autoRedefine/>
    <w:qFormat/>
    <w:rsid w:val="00C325CF"/>
    <w:pPr>
      <w:spacing w:line="276" w:lineRule="auto"/>
      <w:jc w:val="center"/>
    </w:pPr>
    <w:rPr>
      <w:rFonts w:ascii="Arial" w:hAnsi="Arial"/>
      <w:b/>
      <w:szCs w:val="21"/>
    </w:rPr>
  </w:style>
  <w:style w:type="paragraph" w:customStyle="1" w:styleId="CoverPageTitle">
    <w:name w:val="Cover Page Title"/>
    <w:basedOn w:val="Normal"/>
    <w:qFormat/>
    <w:rsid w:val="001A2530"/>
    <w:pPr>
      <w:spacing w:line="276" w:lineRule="auto"/>
      <w:jc w:val="center"/>
    </w:pPr>
    <w:rPr>
      <w:rFonts w:ascii="Arial" w:hAnsi="Arial"/>
      <w:b/>
      <w:sz w:val="36"/>
    </w:rPr>
  </w:style>
  <w:style w:type="paragraph" w:styleId="Header">
    <w:name w:val="header"/>
    <w:basedOn w:val="Normal"/>
    <w:link w:val="HeaderChar"/>
    <w:uiPriority w:val="99"/>
    <w:unhideWhenUsed/>
    <w:rsid w:val="00A57F72"/>
    <w:pPr>
      <w:tabs>
        <w:tab w:val="center" w:pos="4680"/>
        <w:tab w:val="right" w:pos="9360"/>
      </w:tabs>
    </w:pPr>
  </w:style>
  <w:style w:type="character" w:customStyle="1" w:styleId="HeaderChar">
    <w:name w:val="Header Char"/>
    <w:basedOn w:val="DefaultParagraphFont"/>
    <w:link w:val="Header"/>
    <w:uiPriority w:val="99"/>
    <w:rsid w:val="00A57F72"/>
  </w:style>
  <w:style w:type="paragraph" w:styleId="Footer">
    <w:name w:val="footer"/>
    <w:basedOn w:val="Normal"/>
    <w:link w:val="FooterChar"/>
    <w:uiPriority w:val="99"/>
    <w:unhideWhenUsed/>
    <w:rsid w:val="00A57F72"/>
    <w:pPr>
      <w:tabs>
        <w:tab w:val="center" w:pos="4680"/>
        <w:tab w:val="right" w:pos="9360"/>
      </w:tabs>
    </w:pPr>
  </w:style>
  <w:style w:type="character" w:customStyle="1" w:styleId="FooterChar">
    <w:name w:val="Footer Char"/>
    <w:basedOn w:val="DefaultParagraphFont"/>
    <w:link w:val="Footer"/>
    <w:uiPriority w:val="99"/>
    <w:rsid w:val="00A57F72"/>
  </w:style>
  <w:style w:type="paragraph" w:customStyle="1" w:styleId="PreambleTitle">
    <w:name w:val="Preamble Title"/>
    <w:basedOn w:val="Normal"/>
    <w:next w:val="Normal"/>
    <w:qFormat/>
    <w:rsid w:val="00B54F98"/>
    <w:pPr>
      <w:pageBreakBefore/>
      <w:spacing w:after="240"/>
    </w:pPr>
    <w:rPr>
      <w:sz w:val="36"/>
    </w:rPr>
  </w:style>
  <w:style w:type="character" w:customStyle="1" w:styleId="Heading1Char">
    <w:name w:val="Heading 1 Char"/>
    <w:basedOn w:val="DefaultParagraphFont"/>
    <w:link w:val="Heading1"/>
    <w:uiPriority w:val="9"/>
    <w:rsid w:val="00ED632F"/>
    <w:rPr>
      <w:rFonts w:ascii="Arial" w:eastAsiaTheme="majorEastAsia" w:hAnsi="Arial" w:cs="Times New Roman (Headings CS)"/>
      <w:b/>
      <w:caps/>
      <w:color w:val="000000" w:themeColor="text1"/>
      <w:sz w:val="32"/>
      <w:szCs w:val="32"/>
    </w:rPr>
  </w:style>
  <w:style w:type="numbering" w:customStyle="1" w:styleId="CurrentList1">
    <w:name w:val="Current List1"/>
    <w:uiPriority w:val="99"/>
    <w:rsid w:val="00FF5F39"/>
    <w:pPr>
      <w:numPr>
        <w:numId w:val="5"/>
      </w:numPr>
    </w:pPr>
  </w:style>
  <w:style w:type="character" w:styleId="PageNumber">
    <w:name w:val="page number"/>
    <w:basedOn w:val="DefaultParagraphFont"/>
    <w:uiPriority w:val="99"/>
    <w:semiHidden/>
    <w:unhideWhenUsed/>
    <w:rsid w:val="009A78A3"/>
  </w:style>
  <w:style w:type="character" w:customStyle="1" w:styleId="Heading2Char">
    <w:name w:val="Heading 2 Char"/>
    <w:basedOn w:val="DefaultParagraphFont"/>
    <w:uiPriority w:val="9"/>
    <w:semiHidden/>
    <w:rsid w:val="00FF5F39"/>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uiPriority w:val="9"/>
    <w:semiHidden/>
    <w:rsid w:val="00FF5F39"/>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uiPriority w:val="9"/>
    <w:semiHidden/>
    <w:rsid w:val="00FF5F39"/>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uiPriority w:val="9"/>
    <w:semiHidden/>
    <w:rsid w:val="00FF5F39"/>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uiPriority w:val="9"/>
    <w:semiHidden/>
    <w:rsid w:val="00FF5F39"/>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uiPriority w:val="9"/>
    <w:semiHidden/>
    <w:rsid w:val="00FF5F39"/>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uiPriority w:val="9"/>
    <w:semiHidden/>
    <w:rsid w:val="00FF5F3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uiPriority w:val="9"/>
    <w:semiHidden/>
    <w:rsid w:val="00FF5F39"/>
    <w:rPr>
      <w:rFonts w:asciiTheme="majorHAnsi" w:eastAsiaTheme="majorEastAsia" w:hAnsiTheme="majorHAnsi" w:cstheme="majorBidi"/>
      <w:i/>
      <w:iCs/>
      <w:color w:val="272727" w:themeColor="text1" w:themeTint="D8"/>
      <w:sz w:val="21"/>
      <w:szCs w:val="21"/>
    </w:rPr>
  </w:style>
  <w:style w:type="character" w:styleId="Hyperlink">
    <w:name w:val="Hyperlink"/>
    <w:uiPriority w:val="99"/>
    <w:rsid w:val="00D23FB0"/>
    <w:rPr>
      <w:color w:val="0000FF"/>
      <w:u w:val="single"/>
    </w:rPr>
  </w:style>
  <w:style w:type="paragraph" w:styleId="PlainText">
    <w:name w:val="Plain Text"/>
    <w:basedOn w:val="Normal"/>
    <w:link w:val="PlainTextChar"/>
    <w:rsid w:val="00D23FB0"/>
    <w:pPr>
      <w:jc w:val="left"/>
    </w:pPr>
    <w:rPr>
      <w:rFonts w:ascii="Courier New" w:eastAsia="Times New Roman" w:hAnsi="Courier New" w:cs="Times New Roman"/>
      <w:kern w:val="0"/>
      <w:sz w:val="20"/>
      <w:szCs w:val="20"/>
      <w:lang w:val="en-AU" w:eastAsia="tr-TR"/>
      <w14:ligatures w14:val="none"/>
    </w:rPr>
  </w:style>
  <w:style w:type="character" w:customStyle="1" w:styleId="PlainTextChar">
    <w:name w:val="Plain Text Char"/>
    <w:basedOn w:val="DefaultParagraphFont"/>
    <w:link w:val="PlainText"/>
    <w:rsid w:val="00D23FB0"/>
    <w:rPr>
      <w:rFonts w:ascii="Courier New" w:eastAsia="Times New Roman" w:hAnsi="Courier New" w:cs="Times New Roman"/>
      <w:kern w:val="0"/>
      <w:sz w:val="20"/>
      <w:szCs w:val="20"/>
      <w:lang w:val="en-AU" w:eastAsia="tr-TR"/>
      <w14:ligatures w14:val="none"/>
    </w:rPr>
  </w:style>
  <w:style w:type="character" w:styleId="UnresolvedMention">
    <w:name w:val="Unresolved Mention"/>
    <w:basedOn w:val="DefaultParagraphFont"/>
    <w:uiPriority w:val="99"/>
    <w:semiHidden/>
    <w:unhideWhenUsed/>
    <w:rsid w:val="00D23FB0"/>
    <w:rPr>
      <w:color w:val="605E5C"/>
      <w:shd w:val="clear" w:color="auto" w:fill="E1DFDD"/>
    </w:rPr>
  </w:style>
  <w:style w:type="paragraph" w:styleId="FootnoteText">
    <w:name w:val="footnote text"/>
    <w:basedOn w:val="Normal"/>
    <w:link w:val="FootnoteTextChar"/>
    <w:uiPriority w:val="99"/>
    <w:semiHidden/>
    <w:unhideWhenUsed/>
    <w:rsid w:val="00D23FB0"/>
    <w:rPr>
      <w:sz w:val="20"/>
      <w:szCs w:val="20"/>
    </w:rPr>
  </w:style>
  <w:style w:type="character" w:customStyle="1" w:styleId="FootnoteTextChar">
    <w:name w:val="Footnote Text Char"/>
    <w:basedOn w:val="DefaultParagraphFont"/>
    <w:link w:val="FootnoteText"/>
    <w:uiPriority w:val="99"/>
    <w:semiHidden/>
    <w:rsid w:val="00D23FB0"/>
    <w:rPr>
      <w:sz w:val="20"/>
      <w:szCs w:val="20"/>
    </w:rPr>
  </w:style>
  <w:style w:type="character" w:styleId="FootnoteReference">
    <w:name w:val="footnote reference"/>
    <w:basedOn w:val="DefaultParagraphFont"/>
    <w:uiPriority w:val="99"/>
    <w:semiHidden/>
    <w:unhideWhenUsed/>
    <w:rsid w:val="00D23FB0"/>
    <w:rPr>
      <w:vertAlign w:val="superscript"/>
    </w:rPr>
  </w:style>
  <w:style w:type="paragraph" w:styleId="TOCHeading">
    <w:name w:val="TOC Heading"/>
    <w:basedOn w:val="Heading1"/>
    <w:next w:val="Normal"/>
    <w:uiPriority w:val="39"/>
    <w:unhideWhenUsed/>
    <w:qFormat/>
    <w:rsid w:val="00681B03"/>
    <w:pPr>
      <w:pageBreakBefore w:val="0"/>
      <w:numPr>
        <w:numId w:val="0"/>
      </w:numPr>
      <w:spacing w:before="480" w:after="0" w:line="276" w:lineRule="auto"/>
      <w:jc w:val="left"/>
      <w:outlineLvl w:val="9"/>
    </w:pPr>
    <w:rPr>
      <w:rFonts w:asciiTheme="majorHAnsi" w:hAnsiTheme="majorHAnsi"/>
      <w:bCs/>
      <w:color w:val="2F5496" w:themeColor="accent1" w:themeShade="BF"/>
      <w:kern w:val="0"/>
      <w:sz w:val="28"/>
      <w:szCs w:val="28"/>
      <w:lang w:val="en-US"/>
      <w14:ligatures w14:val="none"/>
    </w:rPr>
  </w:style>
  <w:style w:type="paragraph" w:styleId="TOC1">
    <w:name w:val="toc 1"/>
    <w:basedOn w:val="Normal"/>
    <w:next w:val="Normal"/>
    <w:autoRedefine/>
    <w:uiPriority w:val="39"/>
    <w:unhideWhenUsed/>
    <w:rsid w:val="00A421BF"/>
    <w:pPr>
      <w:spacing w:before="120" w:after="120"/>
      <w:jc w:val="left"/>
    </w:pPr>
    <w:rPr>
      <w:rFonts w:cstheme="minorHAnsi"/>
      <w:b/>
      <w:bCs/>
      <w:caps/>
      <w:szCs w:val="20"/>
    </w:rPr>
  </w:style>
  <w:style w:type="paragraph" w:styleId="TOC2">
    <w:name w:val="toc 2"/>
    <w:basedOn w:val="Normal"/>
    <w:next w:val="Normal"/>
    <w:autoRedefine/>
    <w:uiPriority w:val="39"/>
    <w:unhideWhenUsed/>
    <w:rsid w:val="00A421BF"/>
    <w:pPr>
      <w:ind w:left="240"/>
      <w:jc w:val="left"/>
    </w:pPr>
    <w:rPr>
      <w:rFonts w:cstheme="minorHAnsi"/>
      <w:smallCaps/>
      <w:szCs w:val="20"/>
    </w:rPr>
  </w:style>
  <w:style w:type="paragraph" w:styleId="TOC3">
    <w:name w:val="toc 3"/>
    <w:basedOn w:val="Normal"/>
    <w:next w:val="Normal"/>
    <w:autoRedefine/>
    <w:uiPriority w:val="39"/>
    <w:unhideWhenUsed/>
    <w:rsid w:val="00A421BF"/>
    <w:pPr>
      <w:ind w:left="480"/>
      <w:jc w:val="left"/>
    </w:pPr>
    <w:rPr>
      <w:rFonts w:cstheme="minorHAnsi"/>
      <w:i/>
      <w:iCs/>
      <w:szCs w:val="20"/>
    </w:rPr>
  </w:style>
  <w:style w:type="paragraph" w:styleId="TOC4">
    <w:name w:val="toc 4"/>
    <w:basedOn w:val="Normal"/>
    <w:next w:val="Normal"/>
    <w:autoRedefine/>
    <w:uiPriority w:val="39"/>
    <w:unhideWhenUsed/>
    <w:rsid w:val="00A421BF"/>
    <w:pPr>
      <w:ind w:left="720"/>
      <w:jc w:val="left"/>
    </w:pPr>
    <w:rPr>
      <w:rFonts w:cstheme="minorHAnsi"/>
      <w:sz w:val="20"/>
      <w:szCs w:val="18"/>
    </w:rPr>
  </w:style>
  <w:style w:type="paragraph" w:styleId="TOC5">
    <w:name w:val="toc 5"/>
    <w:basedOn w:val="Normal"/>
    <w:next w:val="Normal"/>
    <w:autoRedefine/>
    <w:uiPriority w:val="39"/>
    <w:unhideWhenUsed/>
    <w:rsid w:val="00681B03"/>
    <w:pPr>
      <w:ind w:left="960"/>
      <w:jc w:val="left"/>
    </w:pPr>
    <w:rPr>
      <w:rFonts w:cstheme="minorHAnsi"/>
      <w:sz w:val="18"/>
      <w:szCs w:val="18"/>
    </w:rPr>
  </w:style>
  <w:style w:type="paragraph" w:styleId="TOC6">
    <w:name w:val="toc 6"/>
    <w:basedOn w:val="Normal"/>
    <w:next w:val="Normal"/>
    <w:autoRedefine/>
    <w:uiPriority w:val="39"/>
    <w:unhideWhenUsed/>
    <w:rsid w:val="00681B03"/>
    <w:pPr>
      <w:ind w:left="1200"/>
      <w:jc w:val="left"/>
    </w:pPr>
    <w:rPr>
      <w:rFonts w:cstheme="minorHAnsi"/>
      <w:sz w:val="18"/>
      <w:szCs w:val="18"/>
    </w:rPr>
  </w:style>
  <w:style w:type="paragraph" w:styleId="TOC7">
    <w:name w:val="toc 7"/>
    <w:basedOn w:val="Normal"/>
    <w:next w:val="Normal"/>
    <w:autoRedefine/>
    <w:uiPriority w:val="39"/>
    <w:unhideWhenUsed/>
    <w:rsid w:val="00681B03"/>
    <w:pPr>
      <w:ind w:left="1440"/>
      <w:jc w:val="left"/>
    </w:pPr>
    <w:rPr>
      <w:rFonts w:cstheme="minorHAnsi"/>
      <w:sz w:val="18"/>
      <w:szCs w:val="18"/>
    </w:rPr>
  </w:style>
  <w:style w:type="paragraph" w:styleId="TOC8">
    <w:name w:val="toc 8"/>
    <w:basedOn w:val="Normal"/>
    <w:next w:val="Normal"/>
    <w:autoRedefine/>
    <w:uiPriority w:val="39"/>
    <w:unhideWhenUsed/>
    <w:rsid w:val="00681B03"/>
    <w:pPr>
      <w:ind w:left="1680"/>
      <w:jc w:val="left"/>
    </w:pPr>
    <w:rPr>
      <w:rFonts w:cstheme="minorHAnsi"/>
      <w:sz w:val="18"/>
      <w:szCs w:val="18"/>
    </w:rPr>
  </w:style>
  <w:style w:type="paragraph" w:styleId="TOC9">
    <w:name w:val="toc 9"/>
    <w:basedOn w:val="Normal"/>
    <w:next w:val="Normal"/>
    <w:autoRedefine/>
    <w:uiPriority w:val="39"/>
    <w:unhideWhenUsed/>
    <w:rsid w:val="00681B03"/>
    <w:pPr>
      <w:ind w:left="1920"/>
      <w:jc w:val="left"/>
    </w:pPr>
    <w:rPr>
      <w:rFonts w:cstheme="minorHAnsi"/>
      <w:sz w:val="18"/>
      <w:szCs w:val="18"/>
    </w:rPr>
  </w:style>
  <w:style w:type="character" w:customStyle="1" w:styleId="Heading2Char1">
    <w:name w:val="Heading 2 Char1"/>
    <w:basedOn w:val="DefaultParagraphFont"/>
    <w:link w:val="Heading2"/>
    <w:uiPriority w:val="9"/>
    <w:rsid w:val="00ED632F"/>
    <w:rPr>
      <w:rFonts w:ascii="Arial" w:eastAsiaTheme="majorEastAsia" w:hAnsi="Arial" w:cstheme="majorBidi"/>
      <w:b/>
      <w:color w:val="000000" w:themeColor="text1"/>
      <w:sz w:val="28"/>
      <w:szCs w:val="26"/>
    </w:rPr>
  </w:style>
  <w:style w:type="numbering" w:customStyle="1" w:styleId="CurrentList2">
    <w:name w:val="Current List2"/>
    <w:uiPriority w:val="99"/>
    <w:rsid w:val="00A421BF"/>
    <w:pPr>
      <w:numPr>
        <w:numId w:val="7"/>
      </w:numPr>
    </w:pPr>
  </w:style>
  <w:style w:type="numbering" w:customStyle="1" w:styleId="CurrentList3">
    <w:name w:val="Current List3"/>
    <w:uiPriority w:val="99"/>
    <w:rsid w:val="00A421BF"/>
    <w:pPr>
      <w:numPr>
        <w:numId w:val="8"/>
      </w:numPr>
    </w:pPr>
  </w:style>
  <w:style w:type="numbering" w:customStyle="1" w:styleId="CurrentList4">
    <w:name w:val="Current List4"/>
    <w:uiPriority w:val="99"/>
    <w:rsid w:val="00A421BF"/>
    <w:pPr>
      <w:numPr>
        <w:numId w:val="9"/>
      </w:numPr>
    </w:pPr>
  </w:style>
  <w:style w:type="numbering" w:customStyle="1" w:styleId="CurrentList5">
    <w:name w:val="Current List5"/>
    <w:uiPriority w:val="99"/>
    <w:rsid w:val="00A421BF"/>
    <w:pPr>
      <w:numPr>
        <w:numId w:val="10"/>
      </w:numPr>
    </w:pPr>
  </w:style>
  <w:style w:type="numbering" w:customStyle="1" w:styleId="CurrentList6">
    <w:name w:val="Current List6"/>
    <w:uiPriority w:val="99"/>
    <w:rsid w:val="00A421BF"/>
    <w:pPr>
      <w:numPr>
        <w:numId w:val="11"/>
      </w:numPr>
    </w:pPr>
  </w:style>
  <w:style w:type="character" w:customStyle="1" w:styleId="Heading3Char1">
    <w:name w:val="Heading 3 Char1"/>
    <w:basedOn w:val="DefaultParagraphFont"/>
    <w:link w:val="Heading3"/>
    <w:uiPriority w:val="9"/>
    <w:rsid w:val="002D396D"/>
    <w:rPr>
      <w:rFonts w:ascii="Arial" w:eastAsiaTheme="majorEastAsia" w:hAnsi="Arial" w:cstheme="majorBidi"/>
      <w:b/>
      <w:color w:val="000000" w:themeColor="text1"/>
    </w:rPr>
  </w:style>
  <w:style w:type="numbering" w:customStyle="1" w:styleId="CurrentList7">
    <w:name w:val="Current List7"/>
    <w:uiPriority w:val="99"/>
    <w:rsid w:val="0088107D"/>
    <w:pPr>
      <w:numPr>
        <w:numId w:val="13"/>
      </w:numPr>
    </w:pPr>
  </w:style>
  <w:style w:type="numbering" w:customStyle="1" w:styleId="CurrentList8">
    <w:name w:val="Current List8"/>
    <w:uiPriority w:val="99"/>
    <w:rsid w:val="0088107D"/>
    <w:pPr>
      <w:numPr>
        <w:numId w:val="14"/>
      </w:numPr>
    </w:pPr>
  </w:style>
  <w:style w:type="paragraph" w:styleId="Caption">
    <w:name w:val="caption"/>
    <w:basedOn w:val="Normal"/>
    <w:next w:val="Normal"/>
    <w:uiPriority w:val="35"/>
    <w:unhideWhenUsed/>
    <w:qFormat/>
    <w:rsid w:val="00C228D2"/>
    <w:pPr>
      <w:spacing w:after="200"/>
      <w:jc w:val="center"/>
    </w:pPr>
    <w:rPr>
      <w:rFonts w:ascii="Arial" w:hAnsi="Arial"/>
      <w:i/>
      <w:iCs/>
      <w:color w:val="000000" w:themeColor="text1"/>
      <w:sz w:val="20"/>
      <w:szCs w:val="18"/>
    </w:rPr>
  </w:style>
  <w:style w:type="table" w:styleId="TableGrid">
    <w:name w:val="Table Grid"/>
    <w:basedOn w:val="TableNormal"/>
    <w:uiPriority w:val="39"/>
    <w:rsid w:val="00C228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9">
    <w:name w:val="Current List9"/>
    <w:uiPriority w:val="99"/>
    <w:rsid w:val="00ED632F"/>
    <w:pPr>
      <w:numPr>
        <w:numId w:val="15"/>
      </w:numPr>
    </w:pPr>
  </w:style>
  <w:style w:type="numbering" w:customStyle="1" w:styleId="CurrentList10">
    <w:name w:val="Current List10"/>
    <w:uiPriority w:val="99"/>
    <w:rsid w:val="00ED632F"/>
    <w:pPr>
      <w:numPr>
        <w:numId w:val="16"/>
      </w:numPr>
    </w:pPr>
  </w:style>
  <w:style w:type="numbering" w:customStyle="1" w:styleId="CurrentList11">
    <w:name w:val="Current List11"/>
    <w:uiPriority w:val="99"/>
    <w:rsid w:val="00ED632F"/>
    <w:pPr>
      <w:numPr>
        <w:numId w:val="17"/>
      </w:numPr>
    </w:pPr>
  </w:style>
  <w:style w:type="numbering" w:customStyle="1" w:styleId="CurrentList12">
    <w:name w:val="Current List12"/>
    <w:uiPriority w:val="99"/>
    <w:rsid w:val="00ED632F"/>
    <w:pPr>
      <w:numPr>
        <w:numId w:val="18"/>
      </w:numPr>
    </w:pPr>
  </w:style>
  <w:style w:type="numbering" w:customStyle="1" w:styleId="CurrentList13">
    <w:name w:val="Current List13"/>
    <w:uiPriority w:val="99"/>
    <w:rsid w:val="00ED632F"/>
    <w:pPr>
      <w:numPr>
        <w:numId w:val="19"/>
      </w:numPr>
    </w:pPr>
  </w:style>
  <w:style w:type="numbering" w:customStyle="1" w:styleId="CurrentList14">
    <w:name w:val="Current List14"/>
    <w:uiPriority w:val="99"/>
    <w:rsid w:val="00ED632F"/>
    <w:pPr>
      <w:numPr>
        <w:numId w:val="20"/>
      </w:numPr>
    </w:pPr>
  </w:style>
  <w:style w:type="numbering" w:customStyle="1" w:styleId="CurrentList15">
    <w:name w:val="Current List15"/>
    <w:uiPriority w:val="99"/>
    <w:rsid w:val="00ED632F"/>
    <w:pPr>
      <w:numPr>
        <w:numId w:val="21"/>
      </w:numPr>
    </w:pPr>
  </w:style>
  <w:style w:type="character" w:customStyle="1" w:styleId="Heading4Char1">
    <w:name w:val="Heading 4 Char1"/>
    <w:basedOn w:val="DefaultParagraphFont"/>
    <w:link w:val="Heading4"/>
    <w:uiPriority w:val="9"/>
    <w:rsid w:val="002D396D"/>
    <w:rPr>
      <w:rFonts w:ascii="Arial" w:eastAsiaTheme="majorEastAsia" w:hAnsi="Arial" w:cstheme="majorBidi"/>
      <w:b/>
      <w:iCs/>
      <w:color w:val="000000" w:themeColor="text1"/>
    </w:rPr>
  </w:style>
  <w:style w:type="character" w:customStyle="1" w:styleId="Heading5Char1">
    <w:name w:val="Heading 5 Char1"/>
    <w:basedOn w:val="DefaultParagraphFont"/>
    <w:link w:val="Heading5"/>
    <w:uiPriority w:val="9"/>
    <w:semiHidden/>
    <w:rsid w:val="00ED632F"/>
    <w:rPr>
      <w:rFonts w:asciiTheme="majorHAnsi" w:eastAsiaTheme="majorEastAsia" w:hAnsiTheme="majorHAnsi" w:cstheme="majorBidi"/>
      <w:color w:val="2F5496" w:themeColor="accent1" w:themeShade="BF"/>
    </w:rPr>
  </w:style>
  <w:style w:type="character" w:customStyle="1" w:styleId="Heading6Char1">
    <w:name w:val="Heading 6 Char1"/>
    <w:basedOn w:val="DefaultParagraphFont"/>
    <w:link w:val="Heading6"/>
    <w:uiPriority w:val="9"/>
    <w:semiHidden/>
    <w:rsid w:val="00ED632F"/>
    <w:rPr>
      <w:rFonts w:asciiTheme="majorHAnsi" w:eastAsiaTheme="majorEastAsia" w:hAnsiTheme="majorHAnsi" w:cstheme="majorBidi"/>
      <w:color w:val="1F3763" w:themeColor="accent1" w:themeShade="7F"/>
    </w:rPr>
  </w:style>
  <w:style w:type="character" w:customStyle="1" w:styleId="Heading7Char1">
    <w:name w:val="Heading 7 Char1"/>
    <w:basedOn w:val="DefaultParagraphFont"/>
    <w:link w:val="Heading7"/>
    <w:uiPriority w:val="9"/>
    <w:semiHidden/>
    <w:rsid w:val="00ED632F"/>
    <w:rPr>
      <w:rFonts w:asciiTheme="majorHAnsi" w:eastAsiaTheme="majorEastAsia" w:hAnsiTheme="majorHAnsi" w:cstheme="majorBidi"/>
      <w:i/>
      <w:iCs/>
      <w:color w:val="1F3763" w:themeColor="accent1" w:themeShade="7F"/>
    </w:rPr>
  </w:style>
  <w:style w:type="character" w:customStyle="1" w:styleId="Heading8Char1">
    <w:name w:val="Heading 8 Char1"/>
    <w:basedOn w:val="DefaultParagraphFont"/>
    <w:link w:val="Heading8"/>
    <w:uiPriority w:val="9"/>
    <w:semiHidden/>
    <w:rsid w:val="00ED632F"/>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link w:val="Heading9"/>
    <w:uiPriority w:val="9"/>
    <w:semiHidden/>
    <w:rsid w:val="00ED632F"/>
    <w:rPr>
      <w:rFonts w:asciiTheme="majorHAnsi" w:eastAsiaTheme="majorEastAsia" w:hAnsiTheme="majorHAnsi" w:cstheme="majorBidi"/>
      <w:i/>
      <w:iCs/>
      <w:color w:val="272727" w:themeColor="text1" w:themeTint="D8"/>
      <w:sz w:val="21"/>
      <w:szCs w:val="21"/>
    </w:rPr>
  </w:style>
  <w:style w:type="numbering" w:customStyle="1" w:styleId="CurrentList16">
    <w:name w:val="Current List16"/>
    <w:uiPriority w:val="99"/>
    <w:rsid w:val="00ED632F"/>
    <w:pPr>
      <w:numPr>
        <w:numId w:val="22"/>
      </w:numPr>
    </w:pPr>
  </w:style>
  <w:style w:type="numbering" w:customStyle="1" w:styleId="CurrentList17">
    <w:name w:val="Current List17"/>
    <w:uiPriority w:val="99"/>
    <w:rsid w:val="00ED632F"/>
    <w:pPr>
      <w:numPr>
        <w:numId w:val="23"/>
      </w:numPr>
    </w:pPr>
  </w:style>
  <w:style w:type="numbering" w:customStyle="1" w:styleId="CurrentList18">
    <w:name w:val="Current List18"/>
    <w:uiPriority w:val="99"/>
    <w:rsid w:val="00ED632F"/>
    <w:pPr>
      <w:numPr>
        <w:numId w:val="24"/>
      </w:numPr>
    </w:pPr>
  </w:style>
  <w:style w:type="numbering" w:customStyle="1" w:styleId="CurrentList19">
    <w:name w:val="Current List19"/>
    <w:uiPriority w:val="99"/>
    <w:rsid w:val="00FF4989"/>
    <w:pPr>
      <w:numPr>
        <w:numId w:val="25"/>
      </w:numPr>
    </w:pPr>
  </w:style>
  <w:style w:type="numbering" w:customStyle="1" w:styleId="CurrentList20">
    <w:name w:val="Current List20"/>
    <w:uiPriority w:val="99"/>
    <w:rsid w:val="00FF4989"/>
    <w:pPr>
      <w:numPr>
        <w:numId w:val="26"/>
      </w:numPr>
    </w:pPr>
  </w:style>
  <w:style w:type="numbering" w:customStyle="1" w:styleId="CurrentList21">
    <w:name w:val="Current List21"/>
    <w:uiPriority w:val="99"/>
    <w:rsid w:val="00FF4989"/>
    <w:pPr>
      <w:numPr>
        <w:numId w:val="27"/>
      </w:numPr>
    </w:pPr>
  </w:style>
  <w:style w:type="numbering" w:customStyle="1" w:styleId="CurrentList22">
    <w:name w:val="Current List22"/>
    <w:uiPriority w:val="99"/>
    <w:rsid w:val="00FF4989"/>
    <w:pPr>
      <w:numPr>
        <w:numId w:val="28"/>
      </w:numPr>
    </w:pPr>
  </w:style>
  <w:style w:type="numbering" w:customStyle="1" w:styleId="CurrentList23">
    <w:name w:val="Current List23"/>
    <w:uiPriority w:val="99"/>
    <w:rsid w:val="002D396D"/>
    <w:pPr>
      <w:numPr>
        <w:numId w:val="29"/>
      </w:numPr>
    </w:pPr>
  </w:style>
  <w:style w:type="numbering" w:customStyle="1" w:styleId="CurrentList24">
    <w:name w:val="Current List24"/>
    <w:uiPriority w:val="99"/>
    <w:rsid w:val="002D396D"/>
    <w:pPr>
      <w:numPr>
        <w:numId w:val="30"/>
      </w:numPr>
    </w:pPr>
  </w:style>
  <w:style w:type="numbering" w:customStyle="1" w:styleId="CurrentList25">
    <w:name w:val="Current List25"/>
    <w:uiPriority w:val="99"/>
    <w:rsid w:val="002D396D"/>
    <w:pPr>
      <w:numPr>
        <w:numId w:val="31"/>
      </w:numPr>
    </w:pPr>
  </w:style>
  <w:style w:type="numbering" w:customStyle="1" w:styleId="CurrentList26">
    <w:name w:val="Current List26"/>
    <w:uiPriority w:val="99"/>
    <w:rsid w:val="002D396D"/>
    <w:pPr>
      <w:numPr>
        <w:numId w:val="3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www.buzluca.info/oop/slides.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68205D-D5D6-9A47-83BE-6C1571418A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10</Pages>
  <Words>486</Words>
  <Characters>2776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28</cp:revision>
  <dcterms:created xsi:type="dcterms:W3CDTF">2024-05-11T07:30:00Z</dcterms:created>
  <dcterms:modified xsi:type="dcterms:W3CDTF">2024-05-17T08:40:00Z</dcterms:modified>
</cp:coreProperties>
</file>