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23C29" w:rsidRDefault="00E23C29" w:rsidP="00A57F72">
      <w:pPr>
        <w:jc w:val="left"/>
      </w:pPr>
    </w:p>
    <w:p w:rsidR="00E23C29" w:rsidRDefault="00E23C29" w:rsidP="00E23C29">
      <w:pPr>
        <w:jc w:val="center"/>
      </w:pPr>
    </w:p>
    <w:p w:rsidR="00E23C29" w:rsidRDefault="00E23C29" w:rsidP="00E23C29">
      <w:pPr>
        <w:jc w:val="center"/>
      </w:pPr>
    </w:p>
    <w:p w:rsidR="00E23C29" w:rsidRDefault="00E23C29" w:rsidP="00E23C29">
      <w:pPr>
        <w:jc w:val="center"/>
      </w:pPr>
    </w:p>
    <w:p w:rsidR="00E23C29" w:rsidRPr="00A57F72" w:rsidRDefault="00E23C29" w:rsidP="00E23C29">
      <w:pPr>
        <w:pStyle w:val="CoverPageTitle"/>
        <w:rPr>
          <w:sz w:val="44"/>
          <w:szCs w:val="32"/>
        </w:rPr>
      </w:pPr>
      <w:r w:rsidRPr="00A57F72">
        <w:rPr>
          <w:sz w:val="44"/>
          <w:szCs w:val="32"/>
        </w:rPr>
        <w:t xml:space="preserve">Artifical Intelligence &amp; Data Engineering </w:t>
      </w:r>
    </w:p>
    <w:p w:rsidR="00A57F72" w:rsidRPr="00A57F72" w:rsidRDefault="00E23C29" w:rsidP="00A57F72">
      <w:pPr>
        <w:pStyle w:val="CoverPageTitle"/>
        <w:rPr>
          <w:sz w:val="44"/>
          <w:szCs w:val="32"/>
        </w:rPr>
      </w:pPr>
      <w:r w:rsidRPr="00A57F72">
        <w:rPr>
          <w:sz w:val="44"/>
          <w:szCs w:val="32"/>
        </w:rPr>
        <w:t>Design Project Report</w:t>
      </w:r>
    </w:p>
    <w:p w:rsidR="001A2530" w:rsidRDefault="001A2530" w:rsidP="001A2530">
      <w:pPr>
        <w:pStyle w:val="CoverPageTitle"/>
        <w:jc w:val="left"/>
      </w:pPr>
    </w:p>
    <w:p w:rsidR="001A2530" w:rsidRDefault="001A2530" w:rsidP="00A57F72">
      <w:pPr>
        <w:pStyle w:val="CoverPageTitle"/>
      </w:pPr>
      <w:r>
        <w:t>Title</w:t>
      </w:r>
    </w:p>
    <w:p w:rsidR="001A2530" w:rsidRPr="001A2530" w:rsidRDefault="00B6044A" w:rsidP="00A57F72">
      <w:pPr>
        <w:pStyle w:val="CoverPageTitle"/>
        <w:rPr>
          <w:b w:val="0"/>
          <w:bCs/>
        </w:rPr>
      </w:pPr>
      <w:r>
        <w:rPr>
          <w:b w:val="0"/>
          <w:bCs/>
        </w:rPr>
        <w:t>PathoLens-VLM: A Spatially-Grounded Vision-Language Model for Whole-Slide Breast Cancer Pathology Report Generation</w:t>
      </w:r>
    </w:p>
    <w:p w:rsidR="00A57F72" w:rsidRDefault="00A57F72" w:rsidP="00A57F72">
      <w:pPr>
        <w:pStyle w:val="CoverPageTitle"/>
      </w:pPr>
    </w:p>
    <w:p w:rsidR="00A57F72" w:rsidRDefault="00A57F72" w:rsidP="00A57F72">
      <w:pPr>
        <w:pStyle w:val="CoverPageTitle"/>
      </w:pPr>
      <w:r>
        <w:t>Prepared By</w:t>
      </w:r>
    </w:p>
    <w:p w:rsidR="00A57F72" w:rsidRDefault="00A57F72" w:rsidP="00A57F72">
      <w:pPr>
        <w:pStyle w:val="CoverPageTitle"/>
        <w:rPr>
          <w:b w:val="0"/>
          <w:bCs/>
        </w:rPr>
      </w:pPr>
      <w:r w:rsidRPr="00A57F72">
        <w:rPr>
          <w:b w:val="0"/>
          <w:bCs/>
        </w:rPr>
        <w:t>150200000 Faruk Rıza ÖZ</w:t>
      </w:r>
    </w:p>
    <w:p w:rsidR="00A57F72" w:rsidRDefault="00A57F72" w:rsidP="00A57F72">
      <w:pPr>
        <w:pStyle w:val="CoverPageTitle"/>
        <w:rPr>
          <w:b w:val="0"/>
          <w:bCs/>
        </w:rPr>
      </w:pPr>
      <w:r w:rsidRPr="00A57F72">
        <w:rPr>
          <w:b w:val="0"/>
          <w:bCs/>
        </w:rPr>
        <w:t>150200000 Emir Arda EKER</w:t>
      </w:r>
    </w:p>
    <w:p w:rsidR="00A57F72" w:rsidRDefault="00A57F72" w:rsidP="00A57F72">
      <w:pPr>
        <w:pStyle w:val="CoverPageTitle"/>
        <w:rPr>
          <w:b w:val="0"/>
          <w:bCs/>
        </w:rPr>
      </w:pPr>
    </w:p>
    <w:p w:rsidR="00A57F72" w:rsidRDefault="00A57F72" w:rsidP="00A57F72">
      <w:pPr>
        <w:pStyle w:val="CoverPageTitle"/>
        <w:rPr>
          <w:b w:val="0"/>
          <w:bCs/>
        </w:rPr>
      </w:pPr>
    </w:p>
    <w:p w:rsidR="00A57F72" w:rsidRDefault="00A57F72" w:rsidP="00A57F72">
      <w:pPr>
        <w:pStyle w:val="CoverPageTitle"/>
      </w:pPr>
      <w:r>
        <w:t>Supervisor</w:t>
      </w:r>
    </w:p>
    <w:p w:rsidR="001A2530" w:rsidRDefault="00B6044A" w:rsidP="00A57F72">
      <w:pPr>
        <w:pStyle w:val="CoverPageTitle"/>
      </w:pPr>
      <w:r>
        <w:rPr>
          <w:b w:val="0"/>
          <w:bCs/>
        </w:rPr>
        <w:t>Prof. Dr. Behçet Uğur TÖREYİN</w:t>
      </w:r>
    </w:p>
    <w:p w:rsidR="00A57F72" w:rsidRDefault="00A57F72" w:rsidP="00A57F72">
      <w:pPr>
        <w:pStyle w:val="CoverPageTitle"/>
      </w:pPr>
    </w:p>
    <w:p w:rsidR="001A2530" w:rsidRDefault="001A2530" w:rsidP="00A57F72">
      <w:pPr>
        <w:pStyle w:val="CoverPageTitle"/>
      </w:pPr>
    </w:p>
    <w:p w:rsidR="001A2530" w:rsidRDefault="001A2530" w:rsidP="00A57F72">
      <w:pPr>
        <w:pStyle w:val="CoverPageTitle"/>
      </w:pPr>
    </w:p>
    <w:p w:rsidR="00A57F72" w:rsidRDefault="00A57F72" w:rsidP="001A2530">
      <w:pPr>
        <w:pStyle w:val="CoverPageTitle"/>
      </w:pPr>
      <w:r>
        <w:t>June, 2026</w:t>
      </w:r>
    </w:p>
    <w:p w:rsidR="00A57F72" w:rsidRDefault="00A57F72" w:rsidP="00A57F72">
      <w:pPr>
        <w:pStyle w:val="CoverPageTitle"/>
        <w:sectPr w:rsidR="00A57F72" w:rsidSect="00111F5A">
          <w:headerReference w:type="default" r:id="rId8"/>
          <w:footerReference w:type="even" r:id="rId9"/>
          <w:footerReference w:type="default" r:id="rId10"/>
          <w:pgSz w:w="12240" w:h="15840"/>
          <w:pgMar w:top="2434" w:right="1440" w:bottom="2854" w:left="1440" w:header="708" w:footer="708" w:gutter="0"/>
          <w:cols w:space="708"/>
          <w:docGrid w:linePitch="360"/>
        </w:sectPr>
      </w:pPr>
    </w:p>
    <w:p w:rsidR="00E23C29" w:rsidRDefault="00FF5F39" w:rsidP="00FF5F39">
      <w:pPr>
        <w:pStyle w:val="PreambleTitle"/>
      </w:pPr>
      <w:r>
        <w:lastRenderedPageBreak/>
        <w:t>CONTENTS</w:t>
      </w:r>
    </w:p>
    <w:p w:rsidR="001027E5" w:rsidRDefault="00681B03">
      <w:pPr>
        <w:pStyle w:val="TOC1"/>
        <w:tabs>
          <w:tab w:val="left" w:pos="480"/>
          <w:tab w:val="right" w:leader="dot" w:pos="9350"/>
        </w:tabs>
        <w:rPr>
          <w:rFonts w:eastAsiaTheme="minorEastAsia" w:cstheme="minorBidi"/>
          <w:b w:val="0"/>
          <w:bCs w:val="0"/>
          <w:caps w:val="0"/>
          <w:noProof/>
          <w:szCs w:val="24"/>
        </w:rPr>
      </w:pPr>
      <w:r>
        <w:fldChar w:fldCharType="begin"/>
      </w:r>
      <w:r>
        <w:instrText xml:space="preserve"> TOC \o "1-4" \f \h \z \u </w:instrText>
      </w:r>
      <w:r>
        <w:fldChar w:fldCharType="separate"/>
      </w:r>
      <w:hyperlink w:anchor="_Toc166838321" w:history="1">
        <w:r w:rsidR="001027E5" w:rsidRPr="00946802">
          <w:rPr>
            <w:rStyle w:val="Hyperlink"/>
            <w:noProof/>
          </w:rPr>
          <w:t>1</w:t>
        </w:r>
        <w:r w:rsidR="001027E5">
          <w:rPr>
            <w:rFonts w:eastAsiaTheme="minorEastAsia" w:cstheme="minorBidi"/>
            <w:b w:val="0"/>
            <w:bCs w:val="0"/>
            <w:caps w:val="0"/>
            <w:noProof/>
            <w:szCs w:val="24"/>
          </w:rPr>
          <w:tab/>
        </w:r>
        <w:r w:rsidR="001027E5" w:rsidRPr="00946802">
          <w:rPr>
            <w:rStyle w:val="Hyperlink"/>
            <w:noProof/>
          </w:rPr>
          <w:t>INTRODUCTION</w:t>
        </w:r>
        <w:r w:rsidR="001027E5">
          <w:rPr>
            <w:noProof/>
            <w:webHidden/>
          </w:rPr>
          <w:tab/>
        </w:r>
        <w:r w:rsidR="001027E5">
          <w:rPr>
            <w:noProof/>
            <w:webHidden/>
          </w:rPr>
          <w:fldChar w:fldCharType="begin"/>
        </w:r>
        <w:r w:rsidR="001027E5">
          <w:rPr>
            <w:noProof/>
            <w:webHidden/>
          </w:rPr>
          <w:instrText xml:space="preserve"> PAGEREF _Toc166838321 \h </w:instrText>
        </w:r>
        <w:r w:rsidR="001027E5">
          <w:rPr>
            <w:noProof/>
            <w:webHidden/>
          </w:rPr>
        </w:r>
        <w:r w:rsidR="001027E5">
          <w:rPr>
            <w:noProof/>
            <w:webHidden/>
          </w:rPr>
          <w:fldChar w:fldCharType="separate"/>
        </w:r>
        <w:r w:rsidR="001027E5">
          <w:rPr>
            <w:noProof/>
            <w:webHidden/>
          </w:rPr>
          <w:t>1</w:t>
        </w:r>
        <w:r w:rsidR="001027E5">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22" w:history="1">
        <w:r w:rsidRPr="00946802">
          <w:rPr>
            <w:rStyle w:val="Hyperlink"/>
            <w:noProof/>
          </w:rPr>
          <w:t>2</w:t>
        </w:r>
        <w:r>
          <w:rPr>
            <w:rFonts w:eastAsiaTheme="minorEastAsia" w:cstheme="minorBidi"/>
            <w:b w:val="0"/>
            <w:bCs w:val="0"/>
            <w:caps w:val="0"/>
            <w:noProof/>
            <w:szCs w:val="24"/>
          </w:rPr>
          <w:tab/>
        </w:r>
        <w:r w:rsidRPr="00946802">
          <w:rPr>
            <w:rStyle w:val="Hyperlink"/>
            <w:noProof/>
          </w:rPr>
          <w:t>BACKGROUND</w:t>
        </w:r>
        <w:r>
          <w:rPr>
            <w:noProof/>
            <w:webHidden/>
          </w:rPr>
          <w:tab/>
        </w:r>
        <w:r>
          <w:rPr>
            <w:noProof/>
            <w:webHidden/>
          </w:rPr>
          <w:fldChar w:fldCharType="begin"/>
        </w:r>
        <w:r>
          <w:rPr>
            <w:noProof/>
            <w:webHidden/>
          </w:rPr>
          <w:instrText xml:space="preserve"> PAGEREF _Toc166838322 \h </w:instrText>
        </w:r>
        <w:r>
          <w:rPr>
            <w:noProof/>
            <w:webHidden/>
          </w:rPr>
        </w:r>
        <w:r>
          <w:rPr>
            <w:noProof/>
            <w:webHidden/>
          </w:rPr>
          <w:fldChar w:fldCharType="separate"/>
        </w:r>
        <w:r>
          <w:rPr>
            <w:noProof/>
            <w:webHidden/>
          </w:rPr>
          <w:t>2</w:t>
        </w:r>
        <w:r>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23" w:history="1">
        <w:r w:rsidRPr="00946802">
          <w:rPr>
            <w:rStyle w:val="Hyperlink"/>
            <w:noProof/>
          </w:rPr>
          <w:t>3</w:t>
        </w:r>
        <w:r>
          <w:rPr>
            <w:rFonts w:eastAsiaTheme="minorEastAsia" w:cstheme="minorBidi"/>
            <w:b w:val="0"/>
            <w:bCs w:val="0"/>
            <w:caps w:val="0"/>
            <w:noProof/>
            <w:szCs w:val="24"/>
          </w:rPr>
          <w:tab/>
        </w:r>
        <w:r w:rsidRPr="00946802">
          <w:rPr>
            <w:rStyle w:val="Hyperlink"/>
            <w:noProof/>
          </w:rPr>
          <w:t>SYSTEM REQUIREMENTS</w:t>
        </w:r>
        <w:r>
          <w:rPr>
            <w:noProof/>
            <w:webHidden/>
          </w:rPr>
          <w:tab/>
        </w:r>
        <w:r>
          <w:rPr>
            <w:noProof/>
            <w:webHidden/>
          </w:rPr>
          <w:fldChar w:fldCharType="begin"/>
        </w:r>
        <w:r>
          <w:rPr>
            <w:noProof/>
            <w:webHidden/>
          </w:rPr>
          <w:instrText xml:space="preserve"> PAGEREF _Toc166838323 \h </w:instrText>
        </w:r>
        <w:r>
          <w:rPr>
            <w:noProof/>
            <w:webHidden/>
          </w:rPr>
        </w:r>
        <w:r>
          <w:rPr>
            <w:noProof/>
            <w:webHidden/>
          </w:rPr>
          <w:fldChar w:fldCharType="separate"/>
        </w:r>
        <w:r>
          <w:rPr>
            <w:noProof/>
            <w:webHidden/>
          </w:rPr>
          <w:t>3</w:t>
        </w:r>
        <w:r>
          <w:rPr>
            <w:noProof/>
            <w:webHidden/>
          </w:rPr>
          <w:fldChar w:fldCharType="end"/>
        </w:r>
      </w:hyperlink>
    </w:p>
    <w:p w:rsidR="001027E5" w:rsidRDefault="001027E5">
      <w:pPr>
        <w:pStyle w:val="TOC2"/>
        <w:tabs>
          <w:tab w:val="left" w:pos="960"/>
          <w:tab w:val="right" w:leader="dot" w:pos="9350"/>
        </w:tabs>
        <w:rPr>
          <w:rFonts w:eastAsiaTheme="minorEastAsia" w:cstheme="minorBidi"/>
          <w:smallCaps w:val="0"/>
          <w:noProof/>
          <w:szCs w:val="24"/>
        </w:rPr>
      </w:pPr>
      <w:hyperlink w:anchor="_Toc166838324" w:history="1">
        <w:r w:rsidRPr="00946802">
          <w:rPr>
            <w:rStyle w:val="Hyperlink"/>
            <w:noProof/>
          </w:rPr>
          <w:t>3.1</w:t>
        </w:r>
        <w:r>
          <w:rPr>
            <w:rFonts w:eastAsiaTheme="minorEastAsia" w:cstheme="minorBidi"/>
            <w:smallCaps w:val="0"/>
            <w:noProof/>
            <w:szCs w:val="24"/>
          </w:rPr>
          <w:tab/>
        </w:r>
        <w:r w:rsidRPr="00946802">
          <w:rPr>
            <w:rStyle w:val="Hyperlink"/>
            <w:noProof/>
          </w:rPr>
          <w:t>Design Constraints and Relevant Engineering Standards</w:t>
        </w:r>
        <w:r>
          <w:rPr>
            <w:noProof/>
            <w:webHidden/>
          </w:rPr>
          <w:tab/>
        </w:r>
        <w:r>
          <w:rPr>
            <w:noProof/>
            <w:webHidden/>
          </w:rPr>
          <w:fldChar w:fldCharType="begin"/>
        </w:r>
        <w:r>
          <w:rPr>
            <w:noProof/>
            <w:webHidden/>
          </w:rPr>
          <w:instrText xml:space="preserve"> PAGEREF _Toc166838324 \h </w:instrText>
        </w:r>
        <w:r>
          <w:rPr>
            <w:noProof/>
            <w:webHidden/>
          </w:rPr>
        </w:r>
        <w:r>
          <w:rPr>
            <w:noProof/>
            <w:webHidden/>
          </w:rPr>
          <w:fldChar w:fldCharType="separate"/>
        </w:r>
        <w:r>
          <w:rPr>
            <w:noProof/>
            <w:webHidden/>
          </w:rPr>
          <w:t>3</w:t>
        </w:r>
        <w:r>
          <w:rPr>
            <w:noProof/>
            <w:webHidden/>
          </w:rPr>
          <w:fldChar w:fldCharType="end"/>
        </w:r>
      </w:hyperlink>
    </w:p>
    <w:p w:rsidR="001027E5" w:rsidRDefault="001027E5">
      <w:pPr>
        <w:pStyle w:val="TOC2"/>
        <w:tabs>
          <w:tab w:val="left" w:pos="960"/>
          <w:tab w:val="right" w:leader="dot" w:pos="9350"/>
        </w:tabs>
        <w:rPr>
          <w:rFonts w:eastAsiaTheme="minorEastAsia" w:cstheme="minorBidi"/>
          <w:smallCaps w:val="0"/>
          <w:noProof/>
          <w:szCs w:val="24"/>
        </w:rPr>
      </w:pPr>
      <w:hyperlink w:anchor="_Toc166838325" w:history="1">
        <w:r w:rsidRPr="00946802">
          <w:rPr>
            <w:rStyle w:val="Hyperlink"/>
            <w:noProof/>
          </w:rPr>
          <w:t>3.2</w:t>
        </w:r>
        <w:r>
          <w:rPr>
            <w:rFonts w:eastAsiaTheme="minorEastAsia" w:cstheme="minorBidi"/>
            <w:smallCaps w:val="0"/>
            <w:noProof/>
            <w:szCs w:val="24"/>
          </w:rPr>
          <w:tab/>
        </w:r>
        <w:r w:rsidRPr="00946802">
          <w:rPr>
            <w:rStyle w:val="Hyperlink"/>
            <w:noProof/>
          </w:rPr>
          <w:t>Functional Requirements</w:t>
        </w:r>
        <w:r>
          <w:rPr>
            <w:noProof/>
            <w:webHidden/>
          </w:rPr>
          <w:tab/>
        </w:r>
        <w:r>
          <w:rPr>
            <w:noProof/>
            <w:webHidden/>
          </w:rPr>
          <w:fldChar w:fldCharType="begin"/>
        </w:r>
        <w:r>
          <w:rPr>
            <w:noProof/>
            <w:webHidden/>
          </w:rPr>
          <w:instrText xml:space="preserve"> PAGEREF _Toc166838325 \h </w:instrText>
        </w:r>
        <w:r>
          <w:rPr>
            <w:noProof/>
            <w:webHidden/>
          </w:rPr>
        </w:r>
        <w:r>
          <w:rPr>
            <w:noProof/>
            <w:webHidden/>
          </w:rPr>
          <w:fldChar w:fldCharType="separate"/>
        </w:r>
        <w:r>
          <w:rPr>
            <w:noProof/>
            <w:webHidden/>
          </w:rPr>
          <w:t>3</w:t>
        </w:r>
        <w:r>
          <w:rPr>
            <w:noProof/>
            <w:webHidden/>
          </w:rPr>
          <w:fldChar w:fldCharType="end"/>
        </w:r>
      </w:hyperlink>
    </w:p>
    <w:p w:rsidR="001027E5" w:rsidRDefault="001027E5">
      <w:pPr>
        <w:pStyle w:val="TOC2"/>
        <w:tabs>
          <w:tab w:val="left" w:pos="960"/>
          <w:tab w:val="right" w:leader="dot" w:pos="9350"/>
        </w:tabs>
        <w:rPr>
          <w:rFonts w:eastAsiaTheme="minorEastAsia" w:cstheme="minorBidi"/>
          <w:smallCaps w:val="0"/>
          <w:noProof/>
          <w:szCs w:val="24"/>
        </w:rPr>
      </w:pPr>
      <w:hyperlink w:anchor="_Toc166838326" w:history="1">
        <w:r w:rsidRPr="00946802">
          <w:rPr>
            <w:rStyle w:val="Hyperlink"/>
            <w:noProof/>
          </w:rPr>
          <w:t>3.3</w:t>
        </w:r>
        <w:r>
          <w:rPr>
            <w:rFonts w:eastAsiaTheme="minorEastAsia" w:cstheme="minorBidi"/>
            <w:smallCaps w:val="0"/>
            <w:noProof/>
            <w:szCs w:val="24"/>
          </w:rPr>
          <w:tab/>
        </w:r>
        <w:r w:rsidRPr="00946802">
          <w:rPr>
            <w:rStyle w:val="Hyperlink"/>
            <w:noProof/>
          </w:rPr>
          <w:t>Non-Functional Requirements</w:t>
        </w:r>
        <w:r>
          <w:rPr>
            <w:noProof/>
            <w:webHidden/>
          </w:rPr>
          <w:tab/>
        </w:r>
        <w:r>
          <w:rPr>
            <w:noProof/>
            <w:webHidden/>
          </w:rPr>
          <w:fldChar w:fldCharType="begin"/>
        </w:r>
        <w:r>
          <w:rPr>
            <w:noProof/>
            <w:webHidden/>
          </w:rPr>
          <w:instrText xml:space="preserve"> PAGEREF _Toc166838326 \h </w:instrText>
        </w:r>
        <w:r>
          <w:rPr>
            <w:noProof/>
            <w:webHidden/>
          </w:rPr>
        </w:r>
        <w:r>
          <w:rPr>
            <w:noProof/>
            <w:webHidden/>
          </w:rPr>
          <w:fldChar w:fldCharType="separate"/>
        </w:r>
        <w:r>
          <w:rPr>
            <w:noProof/>
            <w:webHidden/>
          </w:rPr>
          <w:t>3</w:t>
        </w:r>
        <w:r>
          <w:rPr>
            <w:noProof/>
            <w:webHidden/>
          </w:rPr>
          <w:fldChar w:fldCharType="end"/>
        </w:r>
      </w:hyperlink>
    </w:p>
    <w:p w:rsidR="001027E5" w:rsidRDefault="001027E5">
      <w:pPr>
        <w:pStyle w:val="TOC2"/>
        <w:tabs>
          <w:tab w:val="left" w:pos="960"/>
          <w:tab w:val="right" w:leader="dot" w:pos="9350"/>
        </w:tabs>
        <w:rPr>
          <w:rFonts w:eastAsiaTheme="minorEastAsia" w:cstheme="minorBidi"/>
          <w:smallCaps w:val="0"/>
          <w:noProof/>
          <w:szCs w:val="24"/>
        </w:rPr>
      </w:pPr>
      <w:hyperlink w:anchor="_Toc166838327" w:history="1">
        <w:r w:rsidRPr="00946802">
          <w:rPr>
            <w:rStyle w:val="Hyperlink"/>
            <w:noProof/>
          </w:rPr>
          <w:t>3.4</w:t>
        </w:r>
        <w:r>
          <w:rPr>
            <w:rFonts w:eastAsiaTheme="minorEastAsia" w:cstheme="minorBidi"/>
            <w:smallCaps w:val="0"/>
            <w:noProof/>
            <w:szCs w:val="24"/>
          </w:rPr>
          <w:tab/>
        </w:r>
        <w:r w:rsidRPr="00946802">
          <w:rPr>
            <w:rStyle w:val="Hyperlink"/>
            <w:noProof/>
          </w:rPr>
          <w:t>Evaluation Criteria</w:t>
        </w:r>
        <w:r>
          <w:rPr>
            <w:noProof/>
            <w:webHidden/>
          </w:rPr>
          <w:tab/>
        </w:r>
        <w:r>
          <w:rPr>
            <w:noProof/>
            <w:webHidden/>
          </w:rPr>
          <w:fldChar w:fldCharType="begin"/>
        </w:r>
        <w:r>
          <w:rPr>
            <w:noProof/>
            <w:webHidden/>
          </w:rPr>
          <w:instrText xml:space="preserve"> PAGEREF _Toc166838327 \h </w:instrText>
        </w:r>
        <w:r>
          <w:rPr>
            <w:noProof/>
            <w:webHidden/>
          </w:rPr>
        </w:r>
        <w:r>
          <w:rPr>
            <w:noProof/>
            <w:webHidden/>
          </w:rPr>
          <w:fldChar w:fldCharType="separate"/>
        </w:r>
        <w:r>
          <w:rPr>
            <w:noProof/>
            <w:webHidden/>
          </w:rPr>
          <w:t>3</w:t>
        </w:r>
        <w:r>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28" w:history="1">
        <w:r w:rsidRPr="00946802">
          <w:rPr>
            <w:rStyle w:val="Hyperlink"/>
            <w:noProof/>
          </w:rPr>
          <w:t>4</w:t>
        </w:r>
        <w:r>
          <w:rPr>
            <w:rFonts w:eastAsiaTheme="minorEastAsia" w:cstheme="minorBidi"/>
            <w:b w:val="0"/>
            <w:bCs w:val="0"/>
            <w:caps w:val="0"/>
            <w:noProof/>
            <w:szCs w:val="24"/>
          </w:rPr>
          <w:tab/>
        </w:r>
        <w:r w:rsidRPr="00946802">
          <w:rPr>
            <w:rStyle w:val="Hyperlink"/>
            <w:noProof/>
          </w:rPr>
          <w:t>SYSTEM ARCHITECTURE</w:t>
        </w:r>
        <w:r>
          <w:rPr>
            <w:noProof/>
            <w:webHidden/>
          </w:rPr>
          <w:tab/>
        </w:r>
        <w:r>
          <w:rPr>
            <w:noProof/>
            <w:webHidden/>
          </w:rPr>
          <w:fldChar w:fldCharType="begin"/>
        </w:r>
        <w:r>
          <w:rPr>
            <w:noProof/>
            <w:webHidden/>
          </w:rPr>
          <w:instrText xml:space="preserve"> PAGEREF _Toc166838328 \h </w:instrText>
        </w:r>
        <w:r>
          <w:rPr>
            <w:noProof/>
            <w:webHidden/>
          </w:rPr>
        </w:r>
        <w:r>
          <w:rPr>
            <w:noProof/>
            <w:webHidden/>
          </w:rPr>
          <w:fldChar w:fldCharType="separate"/>
        </w:r>
        <w:r>
          <w:rPr>
            <w:noProof/>
            <w:webHidden/>
          </w:rPr>
          <w:t>4</w:t>
        </w:r>
        <w:r>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29" w:history="1">
        <w:r w:rsidRPr="00946802">
          <w:rPr>
            <w:rStyle w:val="Hyperlink"/>
            <w:noProof/>
          </w:rPr>
          <w:t>5</w:t>
        </w:r>
        <w:r>
          <w:rPr>
            <w:rFonts w:eastAsiaTheme="minorEastAsia" w:cstheme="minorBidi"/>
            <w:b w:val="0"/>
            <w:bCs w:val="0"/>
            <w:caps w:val="0"/>
            <w:noProof/>
            <w:szCs w:val="24"/>
          </w:rPr>
          <w:tab/>
        </w:r>
        <w:r w:rsidRPr="00946802">
          <w:rPr>
            <w:rStyle w:val="Hyperlink"/>
            <w:noProof/>
          </w:rPr>
          <w:t>RESULTS AND EVALUATION</w:t>
        </w:r>
        <w:r>
          <w:rPr>
            <w:noProof/>
            <w:webHidden/>
          </w:rPr>
          <w:tab/>
        </w:r>
        <w:r>
          <w:rPr>
            <w:noProof/>
            <w:webHidden/>
          </w:rPr>
          <w:fldChar w:fldCharType="begin"/>
        </w:r>
        <w:r>
          <w:rPr>
            <w:noProof/>
            <w:webHidden/>
          </w:rPr>
          <w:instrText xml:space="preserve"> PAGEREF _Toc166838329 \h </w:instrText>
        </w:r>
        <w:r>
          <w:rPr>
            <w:noProof/>
            <w:webHidden/>
          </w:rPr>
        </w:r>
        <w:r>
          <w:rPr>
            <w:noProof/>
            <w:webHidden/>
          </w:rPr>
          <w:fldChar w:fldCharType="separate"/>
        </w:r>
        <w:r>
          <w:rPr>
            <w:noProof/>
            <w:webHidden/>
          </w:rPr>
          <w:t>5</w:t>
        </w:r>
        <w:r>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30" w:history="1">
        <w:r w:rsidRPr="00946802">
          <w:rPr>
            <w:rStyle w:val="Hyperlink"/>
            <w:noProof/>
          </w:rPr>
          <w:t>6</w:t>
        </w:r>
        <w:r>
          <w:rPr>
            <w:rFonts w:eastAsiaTheme="minorEastAsia" w:cstheme="minorBidi"/>
            <w:b w:val="0"/>
            <w:bCs w:val="0"/>
            <w:caps w:val="0"/>
            <w:noProof/>
            <w:szCs w:val="24"/>
          </w:rPr>
          <w:tab/>
        </w:r>
        <w:r w:rsidRPr="00946802">
          <w:rPr>
            <w:rStyle w:val="Hyperlink"/>
            <w:noProof/>
          </w:rPr>
          <w:t>CONCLUSIONS AND FUTURE WORKS</w:t>
        </w:r>
        <w:r>
          <w:rPr>
            <w:noProof/>
            <w:webHidden/>
          </w:rPr>
          <w:tab/>
        </w:r>
        <w:r>
          <w:rPr>
            <w:noProof/>
            <w:webHidden/>
          </w:rPr>
          <w:fldChar w:fldCharType="begin"/>
        </w:r>
        <w:r>
          <w:rPr>
            <w:noProof/>
            <w:webHidden/>
          </w:rPr>
          <w:instrText xml:space="preserve"> PAGEREF _Toc166838330 \h </w:instrText>
        </w:r>
        <w:r>
          <w:rPr>
            <w:noProof/>
            <w:webHidden/>
          </w:rPr>
        </w:r>
        <w:r>
          <w:rPr>
            <w:noProof/>
            <w:webHidden/>
          </w:rPr>
          <w:fldChar w:fldCharType="separate"/>
        </w:r>
        <w:r>
          <w:rPr>
            <w:noProof/>
            <w:webHidden/>
          </w:rPr>
          <w:t>6</w:t>
        </w:r>
        <w:r>
          <w:rPr>
            <w:noProof/>
            <w:webHidden/>
          </w:rPr>
          <w:fldChar w:fldCharType="end"/>
        </w:r>
      </w:hyperlink>
    </w:p>
    <w:p w:rsidR="001027E5" w:rsidRDefault="001027E5">
      <w:pPr>
        <w:pStyle w:val="TOC1"/>
        <w:tabs>
          <w:tab w:val="left" w:pos="480"/>
          <w:tab w:val="right" w:leader="dot" w:pos="9350"/>
        </w:tabs>
        <w:rPr>
          <w:rFonts w:eastAsiaTheme="minorEastAsia" w:cstheme="minorBidi"/>
          <w:b w:val="0"/>
          <w:bCs w:val="0"/>
          <w:caps w:val="0"/>
          <w:noProof/>
          <w:szCs w:val="24"/>
        </w:rPr>
      </w:pPr>
      <w:hyperlink w:anchor="_Toc166838331" w:history="1">
        <w:r w:rsidRPr="00946802">
          <w:rPr>
            <w:rStyle w:val="Hyperlink"/>
            <w:noProof/>
          </w:rPr>
          <w:t>7</w:t>
        </w:r>
        <w:r>
          <w:rPr>
            <w:rFonts w:eastAsiaTheme="minorEastAsia" w:cstheme="minorBidi"/>
            <w:b w:val="0"/>
            <w:bCs w:val="0"/>
            <w:caps w:val="0"/>
            <w:noProof/>
            <w:szCs w:val="24"/>
          </w:rPr>
          <w:tab/>
        </w:r>
        <w:r w:rsidRPr="00946802">
          <w:rPr>
            <w:rStyle w:val="Hyperlink"/>
            <w:noProof/>
          </w:rPr>
          <w:t>REFERENCES</w:t>
        </w:r>
        <w:r>
          <w:rPr>
            <w:noProof/>
            <w:webHidden/>
          </w:rPr>
          <w:tab/>
        </w:r>
        <w:r>
          <w:rPr>
            <w:noProof/>
            <w:webHidden/>
          </w:rPr>
          <w:fldChar w:fldCharType="begin"/>
        </w:r>
        <w:r>
          <w:rPr>
            <w:noProof/>
            <w:webHidden/>
          </w:rPr>
          <w:instrText xml:space="preserve"> PAGEREF _Toc166838331 \h </w:instrText>
        </w:r>
        <w:r>
          <w:rPr>
            <w:noProof/>
            <w:webHidden/>
          </w:rPr>
        </w:r>
        <w:r>
          <w:rPr>
            <w:noProof/>
            <w:webHidden/>
          </w:rPr>
          <w:fldChar w:fldCharType="separate"/>
        </w:r>
        <w:r>
          <w:rPr>
            <w:noProof/>
            <w:webHidden/>
          </w:rPr>
          <w:t>7</w:t>
        </w:r>
        <w:r>
          <w:rPr>
            <w:noProof/>
            <w:webHidden/>
          </w:rPr>
          <w:fldChar w:fldCharType="end"/>
        </w:r>
      </w:hyperlink>
    </w:p>
    <w:p w:rsidR="00681B03" w:rsidRPr="00681B03" w:rsidRDefault="00681B03" w:rsidP="00681B03">
      <w:r>
        <w:fldChar w:fldCharType="end"/>
      </w:r>
    </w:p>
    <w:p w:rsidR="009A78A3" w:rsidRDefault="00FF5F39" w:rsidP="00B54F98">
      <w:pPr>
        <w:pStyle w:val="PreambleTitle"/>
      </w:pPr>
      <w:r>
        <w:lastRenderedPageBreak/>
        <w:t>SUMMARY</w:t>
      </w:r>
    </w:p>
    <w:p w:rsidR="00B54F98" w:rsidRDefault="00B54F98" w:rsidP="00B54F98">
      <w:pPr/>
      <w:r>
        <w:t>PathoLens-VLM is a vision-language model that generates structured diagnostic reports for whole-slide images of breast cancer tissue and explicitly grounds each generated sentence to the slide region that supports it. Existing pathology report-generation systems (PathChat, SlideChat, Quilt-LLaVA) can produce fluent captions but cannot indicate which area of the slide each sentence comes from, which prevents their use in any safety-critical clinical workflow.</w:t>
      </w:r>
    </w:p>
    <w:p w:rsidR="00B54F98" w:rsidRDefault="00B54F98" w:rsidP="00B54F98">
      <w:pPr/>
      <w:r>
        <w:t>The proposed system combines three components: a frozen CONCHv1.5 patch encoder that converts each 448×448 tile of the slide into a 768-dimensional embedding; a trainable linear adapter that projects those embeddings into the hidden space of the language model; and a Llama-3.2-3B-Instruct language model fine-tuned with Low-Rank Adaptation (LoRA). During training, a KL-divergence grounding loss supervises the language model’s text-to-vision attention against pixel-level BCSS semantic segmentation masks where available and a CONCH-v1 cross-modal pseudo-ground-truth otherwise. A grounding warmup schedule and an entropy-based faithfulness regulariser are added to stabilise training and force attention concentration.</w:t>
      </w:r>
    </w:p>
    <w:p w:rsidR="00B54F98" w:rsidRDefault="00B54F98" w:rsidP="00B54F98">
      <w:pPr/>
      <w:r>
        <w:t>On a held-out test set of seven BCSS-annotated TCGA-BRCA slides, PathoLens-VLM achieves BLEU-4 = 0.0559, ROUGE-L = 0.1990 and a BCSS pointing-game accuracy of PG@5 = 0.081, a 4.4× lift over the uniform-random baseline of 0.019. The attention distribution is substantially peakier than uniform (entropy ratio 0.938; top-10 % attention mass 0.201 vs uniform 0.100). Only ~15 M parameters are trainable (~5 M adapter + ~10 M LoRA); the remaining 3.3 B parameters of the language model and patch encoder are frozen, keeping the training cost on a single A6000 GPU within 12 hours.</w:t>
      </w:r>
    </w:p>
    <w:p w:rsidR="00B54F98" w:rsidRDefault="00B54F98" w:rsidP="00B54F98">
      <w:pPr/>
      <w:r>
        <w:t>The system is delivered as an open-source repository with five ablation configurations, a Streamlit demonstration application that produces FHIR DiagnosticReport JSON output, and 51 passing unit and integration tests.</w:t>
      </w:r>
    </w:p>
    <w:p w:rsidR="00B54F98" w:rsidRDefault="00B54F98" w:rsidP="00B54F98">
      <w:pPr>
        <w:sectPr w:rsidR="00B54F98" w:rsidSect="00111F5A">
          <w:headerReference w:type="default" r:id="rId11"/>
          <w:footerReference w:type="default" r:id="rId12"/>
          <w:pgSz w:w="12240" w:h="15840"/>
          <w:pgMar w:top="1087" w:right="1440" w:bottom="1440" w:left="1440" w:header="708" w:footer="708" w:gutter="0"/>
          <w:pgNumType w:fmt="lowerRoman" w:start="1"/>
          <w:cols w:space="708"/>
          <w:docGrid w:linePitch="360"/>
        </w:sectPr>
      </w:pPr>
    </w:p>
    <w:p w:rsidR="00FF5F39" w:rsidRDefault="00FF5F39" w:rsidP="00ED632F">
      <w:pPr>
        <w:pStyle w:val="Heading1"/>
      </w:pPr>
      <w:bookmarkStart w:id="0" w:name="_Toc166320857"/>
      <w:bookmarkStart w:id="1" w:name="_Toc166838321"/>
      <w:r>
        <w:lastRenderedPageBreak/>
        <w:t>INTRODUCTION</w:t>
      </w:r>
      <w:bookmarkEnd w:id="0"/>
      <w:bookmarkEnd w:id="1"/>
    </w:p>
    <w:p w:rsidR="00FF5F39" w:rsidRDefault="00FF5F39" w:rsidP="00FF5F39">
      <w:pPr/>
      <w:r>
        <w:t>Digital pathology has emerged as one of the most active application domains for medical artificial intelligence, with whole-slide images (WSIs) now routinely scanned at resolutions exceeding 50,000 × 50,000 pixels per slide. A single pathologist examines on the order of 10–80 such slides per working day, and the manual drafting of the associated diagnostic report is among the most time-consuming and error-prone tasks in the clinical workflow. The recent emergence of vision-language models (VLMs), large language models (LLMs) augmented with a vision encoder, has therefore raised the prospect of automatic draft report generation directly from a WSI, both as a triage aid and as a quality-control second reader.</w:t>
      </w:r>
    </w:p>
    <w:p w:rsidR="00FF5F39" w:rsidRDefault="00FF5F39" w:rsidP="00FF5F39">
      <w:pPr/>
      <w:r>
        <w:t>A number of pathology-specific VLMs have appeared in the past two years, the most prominent being PathChat [1], SlideChat [2] and Quilt-LLaVA [3]. These systems can produce fluent, plausible captions for a slide and answer free-form questions about its contents. However, they share a critical limitation that prevents their use in any safety-critical clinical context: the generated report carries no explicit link back to the slide region that each clinical claim originates from. A pathologist confronted with the sentence “moderate stromal lymphocytic infiltrate is present” must accept the model’s word for it, without any way to inspect the supporting evidence on the slide. In a discipline where the diagnostic conclusion routinely depends on the appearance of a 0.1 mm² focus inside a 1 cm² section, this absence of spatial grounding is not a stylistic preference; it is a structural barrier to clinical adoption.</w:t>
      </w:r>
    </w:p>
    <w:p w:rsidR="00FF5F39" w:rsidRDefault="00FF5F39" w:rsidP="00FF5F39">
      <w:pPr/>
      <w:r>
        <w:t>Spatially-grounded report generation has been studied in the radiology literature, where the recent MedGround model [4] aligns each report sentence with a bounding box on the source image. The histopathology equivalent is substantially harder for two reasons. First, a WSI contains three to four orders of magnitude more pixels than a chest X-ray, so the candidate regions run into the thousands of patches per slide. Second, while radiology benefits from large datasets of paired reports and pixel-level abnormality masks, histopathology has very few publicly available datasets that combine free-text reports with patch-level semantic segmentation.</w:t>
      </w:r>
    </w:p>
    <w:p w:rsidR="00FF5F39" w:rsidRDefault="00FF5F39" w:rsidP="00FF5F39">
      <w:pPr>
        <w:pStyle w:val="Heading2"/>
      </w:pPr>
      <w:r>
        <w:t>Research Question</w:t>
      </w:r>
    </w:p>
    <w:p w:rsidR="00FF5F39" w:rsidRDefault="00FF5F39" w:rsidP="00FF5F39">
      <w:pPr/>
      <w:r>
        <w:t>The central research question of this capstone project is the following: can a vision-language model for whole-slide breast cancer pathology produce a free-form diagnostic report in which every clinical sentence is explicitly grounded to the slide region that supports it, and can this grounding be measured by an objective metric on a held-out test set? The question is deliberately constructive: rather than asking whether post-hoc explainability tools (e.g., Grad-CAM, attention rollout) can be applied to an existing pathology VLM, we ask whether the grounding signal can be built into the training objective itself, so that the model learns to attend to the correct slide region as part of producing the sentence.</w:t>
      </w:r>
    </w:p>
    <w:p w:rsidR="00FF5F39" w:rsidRDefault="00FF5F39" w:rsidP="00FF5F39">
      <w:pPr>
        <w:pStyle w:val="Heading2"/>
      </w:pPr>
      <w:r>
        <w:t>Contributions</w:t>
      </w:r>
    </w:p>
    <w:p w:rsidR="00FF5F39" w:rsidRDefault="00FF5F39" w:rsidP="00FF5F39">
      <w:pPr/>
      <w:r>
        <w:t>This work presents PathoLens-VLM, a spatially-grounded vision-language model for whole-slide breast cancer pathology report generation. The specific contributions are as follows.</w:t>
      </w:r>
    </w:p>
    <w:p w:rsidR="00FF5F39" w:rsidRDefault="00FF5F39" w:rsidP="00FF5F39">
      <w:pPr/>
      <w:r>
        <w:t>First, a grounded VLM architecture for whole-slide pathology. PathoLens-VLM combines the frozen CONCHv1.5 patch encoder [5], a trainable linear adapter, and the Llama-3.2-3B-Instruct language model [6] with LoRA fine-tuning [7]. The architecture preserves one-to-one correspondence between LLM vision tokens and patch-level grounding ground truth, which is a prerequisite for the supervised grounding loss.</w:t>
      </w:r>
    </w:p>
    <w:p w:rsidR="00FF5F39" w:rsidRDefault="00FF5F39" w:rsidP="00FF5F39">
      <w:pPr/>
      <w:r>
        <w:t>Second, a hybrid grounding supervision strategy. A KL-divergence grounding loss supervises the LLM’s text-to-vision attention against a two-source ground-truth distribution: pixel-level BCSS semantic segmentation masks [8] where available, and a CONCH-v1 cross-modal pseudo-ground-truth as fallback. A grounding warmup schedule prevents the grounding signal, which is noisy early in training, from disrupting caption learning.</w:t>
      </w:r>
    </w:p>
    <w:p w:rsidR="00FF5F39" w:rsidRDefault="00FF5F39" w:rsidP="00FF5F39">
      <w:pPr/>
      <w:r>
        <w:t>Third, a reproducible evaluation suite. Five complementary metrics jointly measure caption quality (BLEU-4, ROUGE-L), spatial grounding (BCSS pointing-game at K), attention concentration (top-K mass, normalised Shannon entropy), and concept recall (keyword-based precision and recall against BCSS class coverage). All metrics are scripted and reproducible from the project repository.</w:t>
      </w:r>
    </w:p>
    <w:p w:rsidR="00FF5F39" w:rsidRDefault="00FF5F39" w:rsidP="00FF5F39">
      <w:pPr/>
      <w:r>
        <w:t>Fourth, empirical evidence of measurable grounding. On a held-out test set of seven BCSS-annotated TCGA-BRCA slides, PathoLens-VLM achieves BLEU-4 = 0.0559, ROUGE-L = 0.1990 and a BCSS pointing-game accuracy of PG@5 = 0.081 against a uniform-random baseline of 0.019, a 4.4× lift over chance. The attention distribution is substantially peakier than uniform (entropy ratio 0.938; top-10 % attention mass 0.201 against the uniform baseline of 0.100), demonstrating that the grounding loss successfully concentrates attention onto a small, slide-specific region.</w:t>
      </w:r>
    </w:p>
    <w:p w:rsidR="00FF5F39" w:rsidRDefault="00FF5F39" w:rsidP="00FF5F39">
      <w:pPr/>
      <w:r>
        <w:t>Fifth, an interactive demonstration. A Streamlit-based browser application lets a user select a precomputed slide, generate a structured pathology report, inspect per-sentence attention heatmaps overlaid on the slide thumbnail, and export the result as a FHIR DiagnosticReport JSON document.</w:t>
      </w:r>
    </w:p>
    <w:p w:rsidR="00FF5F39" w:rsidRDefault="00FF5F39" w:rsidP="00FF5F39">
      <w:pPr>
        <w:pStyle w:val="Heading2"/>
      </w:pPr>
      <w:r>
        <w:t>Scope and Limitations</w:t>
      </w:r>
    </w:p>
    <w:p w:rsidR="00FF5F39" w:rsidRDefault="00FF5F39" w:rsidP="00FF5F39">
      <w:pPr/>
      <w:r>
        <w:t>This work is deliberately scoped to a single organ system (breast) and a single primary dataset (TCGA-BRCA), which is the largest publicly available WSI collection for which both free-text reports and patch-level segmentation masks (via BCSS) exist. The fullscale training run uses 50 slides, the intersection of BCSS annotations, SlideInstruction caption availability and successful GDC downloads at the time of the run. The held-out test set consists of seven slides, which is sufficient to establish that the grounding signal is non-trivial and reproducible, but is too small to support strong claims about clinical performance. A discussion of these and other limitations is given in Section 6.</w:t>
      </w:r>
    </w:p>
    <w:p w:rsidR="00FF5F39" w:rsidRDefault="00FF5F39" w:rsidP="00FF5F39">
      <w:pPr>
        <w:pStyle w:val="Heading2"/>
      </w:pPr>
      <w:r>
        <w:t>Report Organization</w:t>
      </w:r>
    </w:p>
    <w:p w:rsidR="00FF5F39" w:rsidRDefault="00FF5F39" w:rsidP="00FF5F39">
      <w:pPr/>
      <w:r>
        <w:t>The remainder of this report is organised as follows. Section 2 reviews the relevant background in computational pathology, vision-language models for medical imaging, and grounded image captioning. Section 3 specifies the system requirements, including design constraints, functional and non-functional requirements, and the evaluation criteria. Section 4 details the data sources, the preprocessing pipeline, the system architecture and the training procedure. Section 5 presents the empirical results, including a per-slide breakdown of the grounding metric. Section 6 concludes with a discussion of limitations and directions for future work, and Section 7 lists the references cited throughout the report.</w:t>
      </w:r>
    </w:p>
    <w:p w:rsidR="00A421BF" w:rsidRDefault="00A421BF" w:rsidP="00FF5F39"/>
    <w:p w:rsidR="00C228D2" w:rsidRDefault="00C228D2" w:rsidP="0016279F">
      <w:bookmarkStart w:id="2" w:name="_Toc166320858"/>
    </w:p>
    <w:p w:rsidR="008F52A2" w:rsidRDefault="008F52A2" w:rsidP="00ED632F">
      <w:pPr>
        <w:pStyle w:val="Heading1"/>
      </w:pPr>
      <w:bookmarkStart w:id="3" w:name="_Toc166838322"/>
      <w:r>
        <w:lastRenderedPageBreak/>
        <w:t>BACKGROUND</w:t>
      </w:r>
      <w:bookmarkEnd w:id="2"/>
      <w:bookmarkEnd w:id="3"/>
    </w:p>
    <w:p w:rsidR="00ED632F" w:rsidRDefault="008F52A2" w:rsidP="00ED632F">
      <w:pPr/>
      <w:r>
        <w:t>This section reviews the four bodies of literature that this project builds upon: computational pathology and whole-slide image (WSI) processing, foundation models for histopathology, vision-language models for medical imaging, and spatial grounding in image captioning. The discussion is concluded with a summary of the specific gap that PathoLens-VLM addresses.</w:t>
      </w:r>
      <w:bookmarkStart w:id="4" w:name="_Toc166320859"/>
    </w:p>
    <w:p w:rsidR="00ED632F" w:rsidRDefault="008F52A2" w:rsidP="00ED632F">
      <w:pPr>
        <w:pStyle w:val="Heading2"/>
      </w:pPr>
      <w:bookmarkStart w:id="4" w:name="_Toc166320859"/>
      <w:r>
        <w:t>Computational Pathology and WSI Processing</w:t>
      </w:r>
    </w:p>
    <w:p w:rsidR="00ED632F" w:rsidRDefault="008F52A2" w:rsidP="00ED632F">
      <w:pPr/>
      <w:bookmarkStart w:id="4" w:name="_Toc166320859"/>
      <w:r>
        <w:t>A WSI is produced by a scanner that captures a tissue section at a microscope magnification of 20× or 40× and assembles the resulting tiles into a single pyramidal image, typically stored in the SVS or TIFF format. Even at moderate magnification a single slide occupies 1–3 GB on disk and contains 10⁸–10⁹ informative pixels. Direct training of a neural network on such an image is computationally infeasible; the field has therefore converged on a two-stage pipeline in which (i) the slide is divided into a grid of smaller tiles (patches) of around 224 × 224 to 448 × 448 pixels and (ii) a patch-level encoder produces a low-dimensional embedding for each tile.</w:t>
      </w:r>
    </w:p>
    <w:p w:rsidR="00ED632F" w:rsidRDefault="008F52A2" w:rsidP="00ED632F">
      <w:pPr/>
      <w:bookmarkStart w:id="4" w:name="_Toc166320859"/>
      <w:r>
        <w:t>The dominant aggregation strategy for the resulting bag of patch embeddings is Multiple-Instance Learning (MIL), originally proposed for binary slide-level classification [9]. Attention-based MIL approaches such as ABMIL and CLAM learn a weighted average over patches and have become the de facto baseline for slide-level classification on TCGA cohorts. PathoLens-VLM departs from this tradition in that the aggregation is performed by a Transformer language model rather than a learned pooling operation, which exposes per-patch attention weights that can be supervised directly.</w:t>
      </w:r>
    </w:p>
    <w:p w:rsidR="00ED632F" w:rsidRDefault="008F52A2" w:rsidP="00ED632F">
      <w:pPr>
        <w:pStyle w:val="Heading2"/>
      </w:pPr>
      <w:bookmarkStart w:id="4" w:name="_Toc166320859"/>
      <w:r>
        <w:t>Foundation Models for Histopathology</w:t>
      </w:r>
    </w:p>
    <w:p w:rsidR="00ED632F" w:rsidRDefault="008F52A2" w:rsidP="00ED632F">
      <w:pPr/>
      <w:bookmarkStart w:id="4" w:name="_Toc166320859"/>
      <w:r>
        <w:t>Since 2023, several large-scale self-supervised patch encoders have been released that have substantially improved downstream performance across histopathology tasks. CONCH [10] and its successor CONCHv1.5 [5] are ViT-L vision encoders pretrained on 1.17 million histology image-caption pairs with a contrastive objective; CONCHv1.5 is vision-only, while the original CONCH v1 retains a shared vision-text embedding space that can be used for zero-shot cross-modal retrieval. TITAN [11] (Mahmood Lab, 2024) is a slide-level Transformer that consumes CONCHv1.5 patch features and produces a small set of slide tokens via hierarchical attention, designed primarily for slide-level retrieval and classification.</w:t>
      </w:r>
    </w:p>
    <w:p w:rsidR="00ED632F" w:rsidRDefault="008F52A2" w:rsidP="00ED632F">
      <w:pPr/>
      <w:bookmarkStart w:id="4" w:name="_Toc166320859"/>
      <w:r>
        <w:t>These models are released under research-only licences via the HuggingFace Hub with institutional gating, and have rapidly become the de facto backbones for downstream computational-pathology research. In PathoLens-VLM, CONCHv1.5 patch embeddings serve as the LLM vision tokens, and CONCH v1 is used separately for cross-modal text-to-patch similarity to construct the pseudo ground-truth grounding signal. TITAN is precomputed and stored for future ablation but is not part of the current training loop, for reasons explained in Section 4.</w:t>
      </w:r>
    </w:p>
    <w:p w:rsidR="00ED632F" w:rsidRDefault="008F52A2" w:rsidP="00ED632F">
      <w:pPr>
        <w:pStyle w:val="Heading2"/>
      </w:pPr>
      <w:bookmarkStart w:id="4" w:name="_Toc166320859"/>
      <w:r>
        <w:t>Vision-Language Models for Medical Imaging</w:t>
      </w:r>
    </w:p>
    <w:p w:rsidR="00ED632F" w:rsidRDefault="008F52A2" w:rsidP="00ED632F">
      <w:pPr/>
      <w:bookmarkStart w:id="4" w:name="_Toc166320859"/>
      <w:r>
        <w:t>Vision-language models combine a vision encoder with an autoregressive language model through a learned projection. The LLaVA family [12] popularised the simple recipe of (i) a frozen vision encoder, (ii) a small projection layer (originally a single linear matrix; later a two-layer multilayer perceptron) and (iii) a language model fine-tuned on instruction-style examples in which image embeddings are prepended to the text prompt. LLaVA demonstrated that the projection layer alone, with only a few million trainable parameters, is sufficient to bridge a strong vision encoder to a strong language model.</w:t>
      </w:r>
    </w:p>
    <w:p w:rsidR="00ED632F" w:rsidRDefault="008F52A2" w:rsidP="00ED632F">
      <w:pPr/>
      <w:bookmarkStart w:id="4" w:name="_Toc166320859"/>
      <w:r>
        <w:t>PathChat [1] adapted this recipe to pathology by fine-tuning on GPT-4-generated VQA pairs over histology images; SlideChat [2] scaled it to whole slides by pooling many patch embeddings before passing them to the language model; and Quilt-LLaVA [3] trained on a one-million-pair pathology image-caption dataset assembled from public lecture videos. All three systems produce free-form text and report respectable BLEU and ROUGE numbers, but none of them supervises the model’s attention or provides per-sentence spatial grounding.</w:t>
      </w:r>
    </w:p>
    <w:p w:rsidR="00ED632F" w:rsidRDefault="008F52A2" w:rsidP="00ED632F">
      <w:pPr>
        <w:pStyle w:val="Heading2"/>
      </w:pPr>
      <w:bookmarkStart w:id="4" w:name="_Toc166320859"/>
      <w:r>
        <w:t>Spatial Grounding in Image Captioning</w:t>
      </w:r>
    </w:p>
    <w:p w:rsidR="00ED632F" w:rsidRDefault="008F52A2" w:rsidP="00ED632F">
      <w:pPr/>
      <w:bookmarkStart w:id="4" w:name="_Toc166320859"/>
      <w:r>
        <w:t>Spatial grounding in image captioning refers to the property that each generated phrase or sentence can be traced back to a specific image region that supports it. In the general domain, GLIP [13] and GroundingDINO [14] perform grounded object detection with free-form text queries, and dense-captioning systems such as the GRIT [15] benchmark provide phrase-level region annotations. In the medical domain, MedGround [4] adapts the GLIP approach to chest X-rays, aligning each sentence in the radiology report with a bounding box on the image. MedGround uses MS-CXR phrase-grounding annotations, which exist for radiology but, to the best of our knowledge, have no equivalent in histopathology.</w:t>
      </w:r>
    </w:p>
    <w:p w:rsidR="00ED632F" w:rsidRDefault="008F52A2" w:rsidP="00ED632F">
      <w:pPr/>
      <w:bookmarkStart w:id="4" w:name="_Toc166320859"/>
      <w:r>
        <w:t>A closely related work is the Direct Visual Grounding (DVG) paper [16] of 2025, which introduces a KL-divergence attention loss to supervise the text-to-vision attention of an autoregressive captioning model. PathoLens-VLM adopts the same loss formulation and applies it for the first time at the whole-slide scale.</w:t>
      </w:r>
    </w:p>
    <w:p w:rsidR="00ED632F" w:rsidRDefault="008F52A2" w:rsidP="00ED632F">
      <w:pPr>
        <w:pStyle w:val="Heading2"/>
      </w:pPr>
      <w:bookmarkStart w:id="4" w:name="_Toc166320859"/>
      <w:r>
        <w:t>Datasets and Annotations Used</w:t>
      </w:r>
    </w:p>
    <w:p w:rsidR="00ED632F" w:rsidRDefault="008F52A2" w:rsidP="00ED632F">
      <w:pPr/>
      <w:bookmarkStart w:id="4" w:name="_Toc166320859"/>
      <w:r>
        <w:t>Three public datasets underpin the project. TCGA-BRCA (The Cancer Genome Atlas, breast invasive carcinoma cohort) provides 1,098 WSI cases together with anonymised pathology reports. BCSS [8] (Breast Cancer Semantic Segmentation, Amgad et al. 2019) is a CC0-licensed dataset of 151 TCGA-BRCA slides for which expert pathologists have annotated 22 tissue classes at the pixel level inside regions of interest. SlideInstruction is the instruction-tuning dataset accompanying SlideChat [2], containing approximately 4,200 WSI-caption pairs and 176,000 visual question answering pairs generated by GPT-4 from the TCGA pathology reports. The fullscale training pool used in this project is the intersection of these three sources together with successful downloads from the Genomic Data Commons, totalling 50 slides.</w:t>
      </w:r>
    </w:p>
    <w:p w:rsidR="00ED632F" w:rsidRDefault="008F52A2" w:rsidP="00ED632F">
      <w:pPr>
        <w:pStyle w:val="Heading2"/>
      </w:pPr>
      <w:bookmarkStart w:id="4" w:name="_Toc166320859"/>
      <w:r>
        <w:t>Identified Gap</w:t>
      </w:r>
    </w:p>
    <w:p w:rsidR="00ED632F" w:rsidRDefault="008F52A2" w:rsidP="00ED632F">
      <w:pPr/>
      <w:bookmarkStart w:id="4" w:name="_Toc166320859"/>
      <w:r>
        <w:t>Existing pathology VLMs produce plausible reports but provide no spatial grounding; existing pathology grounding work targets only binary tumour classification (e.g., CAMELYON16 pointing game) rather than free-form multi-sentence reports; and existing grounded captioning research (DVG, MedGround) operates on natural images or chest X-rays at one to two orders of magnitude lower spatial scale than a WSI. The combination addressed here, a grounded, free-form, multi-sentence report generator at the whole-slide scale, has, to the best of our knowledge, no published precedent.</w:t>
      </w:r>
    </w:p>
    <w:p w:rsidR="00ED632F" w:rsidRDefault="00ED632F" w:rsidP="00ED632F"/>
    <w:p w:rsidR="00ED632F" w:rsidRDefault="000C3C3C" w:rsidP="00ED632F">
      <w:pPr>
        <w:pStyle w:val="Heading1"/>
      </w:pPr>
      <w:bookmarkStart w:id="5" w:name="_Toc166838323"/>
      <w:r>
        <w:lastRenderedPageBreak/>
        <w:t>SYSTEM REQUIREMENTS</w:t>
      </w:r>
      <w:bookmarkEnd w:id="5"/>
    </w:p>
    <w:p w:rsidR="00ED632F" w:rsidRDefault="000C3C3C" w:rsidP="00ED632F">
      <w:pPr/>
      <w:bookmarkStart w:id="5" w:name="_Toc166838323"/>
      <w:bookmarkEnd w:id="5"/>
      <w:r>
        <w:t>This section enumerates the functional and non-functional requirements that the PathoLens-VLM system must satisfy, the design constraints arising from the available hardware, software and data licences, and the criteria used to evaluate whether the system meets its specification.</w:t>
      </w:r>
    </w:p>
    <w:p w:rsidR="000C3C3C" w:rsidRDefault="000C3C3C" w:rsidP="00ED632F">
      <w:pPr>
        <w:pStyle w:val="Heading2"/>
      </w:pPr>
      <w:bookmarkStart w:id="6" w:name="_Toc166838324"/>
      <w:r>
        <w:t>Design Constraints and Relevant Engineering Standards</w:t>
      </w:r>
      <w:bookmarkEnd w:id="6"/>
    </w:p>
    <w:p w:rsidR="000C3C3C" w:rsidRDefault="000C3C3C" w:rsidP="00ED632F">
      <w:pPr/>
      <w:bookmarkStart w:id="6" w:name="_Toc166838324"/>
      <w:bookmarkEnd w:id="6"/>
      <w:r>
        <w:t>The system is subject to four classes of design constraints.</w:t>
      </w:r>
    </w:p>
    <w:p w:rsidR="000C3C3C" w:rsidRDefault="000C3C3C" w:rsidP="00ED632F">
      <w:pPr/>
      <w:bookmarkStart w:id="6" w:name="_Toc166838324"/>
      <w:bookmarkEnd w:id="6"/>
      <w:r>
        <w:t>Hardware constraints. The training loop must fit within a single RunPod RTX A6000 GPU with 48 GB of VRAM, which dictates several downstream choices: the language model is loaded in 4-bit NF4 quantisation via bitsandbytes; gradient checkpointing is enabled; the batch size is fixed at one slide with gradient accumulation over four steps; and only adapter and LoRA parameters are kept trainable. The local development environment is a macOS laptop with no CUDA support, so all GPU-bound code paths must remain test-runnable on CPU through mock LLM substitution.</w:t>
      </w:r>
    </w:p>
    <w:p w:rsidR="000C3C3C" w:rsidRDefault="000C3C3C" w:rsidP="00ED632F">
      <w:pPr/>
      <w:bookmarkStart w:id="6" w:name="_Toc166838324"/>
      <w:bookmarkEnd w:id="6"/>
      <w:r>
        <w:t>Data licensing constraints. TCGA-BRCA is fully anonymised and public under the National Institutes of Health policy. BCSS is released under CC0, the most permissive licence available, and is downloaded from the Grand Challenge Girder server without authentication. CONCHv1.5, TITAN and Llama-3.2-3B-Instruct are gated on HuggingFace and require institutional access; the associated tokens are stored in a local .env file that is git-ignored. No protected health information (PHI) is processed at any stage of the pipeline.</w:t>
      </w:r>
    </w:p>
    <w:p w:rsidR="000C3C3C" w:rsidRDefault="000C3C3C" w:rsidP="00ED632F">
      <w:pPr/>
      <w:bookmarkStart w:id="6" w:name="_Toc166838324"/>
      <w:bookmarkEnd w:id="6"/>
      <w:r>
        <w:t>Engineering standards. The project follows the PEP 8 style guide for Python, with automated enforcement via Ruff and pre-commit hooks. Image data is exchanged through the HDF5 format with a documented per-slide schema (Section 4). The generated report can optionally be serialised as a Fast Healthcare Interoperability Resources (FHIR) DiagnosticReport resource, which is the HL7 standard for clinical documents.</w:t>
      </w:r>
    </w:p>
    <w:p w:rsidR="000C3C3C" w:rsidRDefault="000C3C3C" w:rsidP="00ED632F">
      <w:pPr/>
      <w:bookmarkStart w:id="6" w:name="_Toc166838324"/>
      <w:bookmarkEnd w:id="6"/>
      <w:r>
        <w:t>Reproducibility constraints. All experiments are driven from YAML configuration files committed to the repository, with the random seed fixed and the train / validation / test split made deterministic via a hash of the slide identifier. Every run is logged to Weights &amp; Biases together with the exact configuration, the resulting checkpoint and per-step loss values.</w:t>
      </w:r>
    </w:p>
    <w:p w:rsidR="000C3C3C" w:rsidRDefault="000C3C3C" w:rsidP="002D396D">
      <w:pPr>
        <w:pStyle w:val="Heading2"/>
      </w:pPr>
      <w:bookmarkStart w:id="7" w:name="_Toc166838325"/>
      <w:r>
        <w:t>Functional Requirements</w:t>
      </w:r>
      <w:bookmarkEnd w:id="7"/>
    </w:p>
    <w:p w:rsidR="000C3C3C" w:rsidRDefault="000C3C3C" w:rsidP="002D396D">
      <w:pPr/>
      <w:bookmarkStart w:id="7" w:name="_Toc166838325"/>
      <w:bookmarkEnd w:id="7"/>
      <w:r>
        <w:t>The system shall satisfy the following functional requirements.</w:t>
      </w:r>
    </w:p>
    <w:p w:rsidR="000C3C3C" w:rsidRDefault="000C3C3C" w:rsidP="002D396D">
      <w:pPr/>
      <w:bookmarkStart w:id="7" w:name="_Toc166838325"/>
      <w:bookmarkEnd w:id="7"/>
      <w:r>
        <w:t>FR-1. Given a precomputed CONCHv1.5 embedding tensor for a TCGA-BRCA whole-slide image and an instruction prompt, the system shall generate a free-form pathology report in fewer than 256 tokens.</w:t>
      </w:r>
    </w:p>
    <w:p w:rsidR="000C3C3C" w:rsidRDefault="000C3C3C" w:rsidP="002D396D">
      <w:pPr/>
      <w:bookmarkStart w:id="7" w:name="_Toc166838325"/>
      <w:bookmarkEnd w:id="7"/>
      <w:r>
        <w:t>FR-2. For each generated report, the system shall extract a text-to-vision attention map from a configurable layer of the language model and aggregate it on a per-sentence basis, producing a probability distribution over input patches for each sentence.</w:t>
      </w:r>
    </w:p>
    <w:p w:rsidR="000C3C3C" w:rsidRDefault="000C3C3C" w:rsidP="002D396D">
      <w:pPr/>
      <w:bookmarkStart w:id="7" w:name="_Toc166838325"/>
      <w:bookmarkEnd w:id="7"/>
      <w:r>
        <w:t>FR-3. The system shall provide a training mode in which a KL-divergence grounding loss compares the per-sentence attention distribution against either a BCSS-derived ground-truth or a CONCH-v1 pseudo-ground-truth, and a faithfulness regulariser penalises the entropy of the attention distribution.</w:t>
      </w:r>
    </w:p>
    <w:p w:rsidR="000C3C3C" w:rsidRDefault="000C3C3C" w:rsidP="002D396D">
      <w:pPr/>
      <w:bookmarkStart w:id="7" w:name="_Toc166838325"/>
      <w:bookmarkEnd w:id="7"/>
      <w:r>
        <w:t>FR-4. The system shall provide an evaluation mode that computes, on a held-out test set, BLEU-4 and ROUGE-L for the generated report, the BCSS pointing-game accuracy at K = 1, 5, 10 and 20, the top-K attention mass and the normalised Shannon entropy of the attention distribution.</w:t>
      </w:r>
    </w:p>
    <w:p w:rsidR="000C3C3C" w:rsidRDefault="000C3C3C" w:rsidP="002D396D">
      <w:pPr/>
      <w:bookmarkStart w:id="7" w:name="_Toc166838325"/>
      <w:bookmarkEnd w:id="7"/>
      <w:r>
        <w:t>FR-5. The system shall expose a Streamlit-based browser application that, for a slide selected from a precomputed cache, generates the report, overlays the per-sentence attention heatmap on the slide thumbnail and exports a FHIR DiagnosticReport JSON document.</w:t>
      </w:r>
    </w:p>
    <w:p w:rsidR="000C3C3C" w:rsidRDefault="000C3C3C" w:rsidP="00ED632F">
      <w:pPr>
        <w:pStyle w:val="Heading2"/>
      </w:pPr>
      <w:bookmarkStart w:id="8" w:name="_Toc166838326"/>
      <w:r>
        <w:t>Non-Functional Requirements</w:t>
      </w:r>
      <w:bookmarkEnd w:id="8"/>
    </w:p>
    <w:p w:rsidR="000C3C3C" w:rsidRDefault="000C3C3C" w:rsidP="00ED632F">
      <w:pPr/>
      <w:bookmarkStart w:id="8" w:name="_Toc166838326"/>
      <w:bookmarkEnd w:id="8"/>
      <w:r>
        <w:t>The system shall satisfy the following non-functional requirements.</w:t>
      </w:r>
    </w:p>
    <w:p w:rsidR="000C3C3C" w:rsidRDefault="000C3C3C" w:rsidP="00ED632F">
      <w:pPr/>
      <w:bookmarkStart w:id="8" w:name="_Toc166838326"/>
      <w:bookmarkEnd w:id="8"/>
      <w:r>
        <w:t>NFR-1 (Reproducibility). Any experiment shall be exactly reproducible from the configuration file, the dataset and the fixed random seed; the resulting checkpoint, log file and evaluation report shall be deterministic.</w:t>
      </w:r>
    </w:p>
    <w:p w:rsidR="000C3C3C" w:rsidRDefault="000C3C3C" w:rsidP="00ED632F">
      <w:pPr/>
      <w:bookmarkStart w:id="8" w:name="_Toc166838326"/>
      <w:bookmarkEnd w:id="8"/>
      <w:r>
        <w:t>NFR-2 (Resource usage). Training shall complete in fewer than 12 hours on a single RTX A6000 GPU at the fullscale configuration (50 slides, 8 epochs); inference for a single slide with up to 1,024 patches shall complete in fewer than 10 seconds on the same hardware.</w:t>
      </w:r>
    </w:p>
    <w:p w:rsidR="000C3C3C" w:rsidRDefault="000C3C3C" w:rsidP="00ED632F">
      <w:pPr/>
      <w:bookmarkStart w:id="8" w:name="_Toc166838326"/>
      <w:bookmarkEnd w:id="8"/>
      <w:r>
        <w:t>NFR-3 (Maintainability). The codebase shall pass a continuous integration suite of unit and integration tests covering the loss functions, the grounding-target router, the training step and the evaluation metrics on every commit. The smoke test suite shall not require GPU access or downloaded model weights.</w:t>
      </w:r>
    </w:p>
    <w:p w:rsidR="000C3C3C" w:rsidRDefault="000C3C3C" w:rsidP="00ED632F">
      <w:pPr/>
      <w:bookmarkStart w:id="8" w:name="_Toc166838326"/>
      <w:bookmarkEnd w:id="8"/>
      <w:r>
        <w:t>NFR-4 (Auditability). Every training run shall be logged to Weights &amp; Biases with the configuration hash, the dataset split, the model architecture and the per-step loss values, and a human-readable Markdown report shall be generated automatically after each run.</w:t>
      </w:r>
    </w:p>
    <w:p w:rsidR="000C3C3C" w:rsidRDefault="000C3C3C" w:rsidP="00ED632F">
      <w:pPr/>
      <w:bookmarkStart w:id="8" w:name="_Toc166838326"/>
      <w:bookmarkEnd w:id="8"/>
      <w:r>
        <w:t>NFR-5 (Privacy and compliance). No protected health information shall be processed; raw WSI files shall remain on RunPod and shall not be synchronised to the local development machine; only embeddings and metadata shall cross the local–cloud boundary.</w:t>
      </w:r>
    </w:p>
    <w:p w:rsidR="000C3C3C" w:rsidRPr="000C3C3C" w:rsidRDefault="000C3C3C" w:rsidP="00ED632F">
      <w:pPr>
        <w:pStyle w:val="Heading2"/>
      </w:pPr>
      <w:bookmarkStart w:id="9" w:name="_Toc166838327"/>
      <w:r>
        <w:t xml:space="preserve">Evaluation </w:t>
      </w:r>
      <w:bookmarkEnd w:id="9"/>
      <w:r w:rsidR="001027E5">
        <w:t>Methodology</w:t>
      </w:r>
    </w:p>
    <w:p w:rsidR="000C3C3C" w:rsidRPr="000C3C3C" w:rsidRDefault="000C3C3C" w:rsidP="00ED632F">
      <w:pPr/>
      <w:bookmarkStart w:id="9" w:name="_Toc166838327"/>
      <w:bookmarkEnd w:id="9"/>
      <w:r>
        <w:t>Evaluation is organised around five complementary metrics. Each metric targets a distinct aspect of system quality and is computed on a held-out test set of seven slides that are disjoint from training. The full list of metrics and their semantics is summarised in Table 3-1.</w:t>
      </w:r>
    </w:p>
    <w:p w:rsidR="000C3C3C" w:rsidRPr="000C3C3C" w:rsidRDefault="000C3C3C" w:rsidP="00ED632F">
      <w:pPr/>
      <w:bookmarkStart w:id="9" w:name="_Toc166838327"/>
      <w:bookmarkEnd w:id="9"/>
      <w:r>
        <w:t>Caption quality is measured by corpus BLEU-4 and ROUGE-L against the SlideInstruction reference captions, using the implementations in the HuggingFace evaluate library. Spatial grounding is measured by the BCSS pointing-game accuracy at K, defined as the fraction of concept-bearing sentences for which at least one of the K highest-attention patches lies inside the corresponding BCSS class mask. The uniform-random baseline is the expected hit rate of K patches chosen uniformly at random from the slide, and provides the reference against which the lift is reported.</w:t>
      </w:r>
    </w:p>
    <w:p w:rsidR="000C3C3C" w:rsidRPr="000C3C3C" w:rsidRDefault="000C3C3C" w:rsidP="00ED632F">
      <w:pPr/>
      <w:bookmarkStart w:id="9" w:name="_Toc166838327"/>
      <w:bookmarkEnd w:id="9"/>
      <w:r>
        <w:t>Attention concentration is measured by the top-10 % attention mass and the normalised Shannon entropy of the per-sentence attention distribution. Both are unsupervised and capture whether the model focuses its attention on a small fraction of the slide, regardless of whether that fraction is the semantically correct one. Concept recall and faithfulness intervention testing are listed in the same table; their implementations are scaffolded in the repository, and their results are reported when produced.</w:t>
      </w:r>
    </w:p>
    <w:p w:rsidR="000C3C3C" w:rsidRPr="000C3C3C" w:rsidRDefault="000C3C3C" w:rsidP="00ED632F">
      <w:pPr>
        <w:jc w:val="center"/>
      </w:pPr>
      <w:bookmarkStart w:id="9" w:name="_Toc166838327"/>
      <w:bookmarkEnd w:id="9"/>
      <w:r>
        <w:rPr>
          <w:i/>
          <w:sz w:val="22"/>
        </w:rPr>
        <w:t>Table 3-1: Evaluation metrics and their associated ground truth.</w:t>
      </w:r>
    </w:p>
    <w:p w:rsidR="000C3C3C" w:rsidRPr="000C3C3C" w:rsidRDefault="000C3C3C" w:rsidP="00ED632F">
      <w:pPr>
        <w:jc w:val="center"/>
      </w:pPr>
      <w:bookmarkStart w:id="9" w:name="_Toc166838327"/>
      <w:bookmarkEnd w:id="9"/>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vAlign w:val="center"/>
          </w:tcPr>
          <w:p>
            <w:pPr>
              <w:jc w:val="center"/>
            </w:pPr>
            <w:r/>
            <w:r>
              <w:rPr>
                <w:b/>
              </w:rPr>
              <w:t>Metric</w:t>
            </w:r>
          </w:p>
        </w:tc>
        <w:tc>
          <w:tcPr>
            <w:tcW w:type="dxa" w:w="2351"/>
            <w:vAlign w:val="center"/>
          </w:tcPr>
          <w:p>
            <w:pPr>
              <w:jc w:val="center"/>
            </w:pPr>
            <w:r/>
            <w:r>
              <w:rPr>
                <w:b/>
              </w:rPr>
              <w:t>Implementation</w:t>
            </w:r>
          </w:p>
        </w:tc>
        <w:tc>
          <w:tcPr>
            <w:tcW w:type="dxa" w:w="2351"/>
            <w:vAlign w:val="center"/>
          </w:tcPr>
          <w:p>
            <w:pPr>
              <w:jc w:val="center"/>
            </w:pPr>
            <w:r/>
            <w:r>
              <w:rPr>
                <w:b/>
              </w:rPr>
              <w:t>Ground truth</w:t>
            </w:r>
          </w:p>
        </w:tc>
        <w:tc>
          <w:tcPr>
            <w:tcW w:type="dxa" w:w="2351"/>
            <w:vAlign w:val="center"/>
          </w:tcPr>
          <w:p>
            <w:pPr>
              <w:jc w:val="center"/>
            </w:pPr>
            <w:r/>
            <w:r>
              <w:rPr>
                <w:b/>
              </w:rPr>
              <w:t>What it measures</w:t>
            </w:r>
          </w:p>
        </w:tc>
      </w:tr>
      <w:tr>
        <w:tc>
          <w:tcPr>
            <w:tcW w:type="dxa" w:w="2351"/>
          </w:tcPr>
          <w:p>
            <w:pPr>
              <w:jc w:val="center"/>
            </w:pPr>
            <w:r/>
            <w:r>
              <w:t>BLEU-4</w:t>
            </w:r>
          </w:p>
        </w:tc>
        <w:tc>
          <w:tcPr>
            <w:tcW w:type="dxa" w:w="2351"/>
          </w:tcPr>
          <w:p>
            <w:pPr>
              <w:jc w:val="center"/>
            </w:pPr>
            <w:r/>
            <w:r>
              <w:t>HF evaluate</w:t>
            </w:r>
          </w:p>
        </w:tc>
        <w:tc>
          <w:tcPr>
            <w:tcW w:type="dxa" w:w="2351"/>
          </w:tcPr>
          <w:p>
            <w:pPr>
              <w:jc w:val="center"/>
            </w:pPr>
            <w:r/>
            <w:r>
              <w:t>SlideInstruction captions</w:t>
            </w:r>
          </w:p>
        </w:tc>
        <w:tc>
          <w:tcPr>
            <w:tcW w:type="dxa" w:w="2351"/>
          </w:tcPr>
          <w:p>
            <w:pPr>
              <w:jc w:val="center"/>
            </w:pPr>
            <w:r/>
            <w:r>
              <w:t>n-gram precision</w:t>
            </w:r>
          </w:p>
        </w:tc>
      </w:tr>
      <w:tr>
        <w:tc>
          <w:tcPr>
            <w:tcW w:type="dxa" w:w="2351"/>
          </w:tcPr>
          <w:p>
            <w:pPr>
              <w:jc w:val="center"/>
            </w:pPr>
            <w:r/>
            <w:r>
              <w:t>ROUGE-L</w:t>
            </w:r>
          </w:p>
        </w:tc>
        <w:tc>
          <w:tcPr>
            <w:tcW w:type="dxa" w:w="2351"/>
          </w:tcPr>
          <w:p>
            <w:pPr>
              <w:jc w:val="center"/>
            </w:pPr>
            <w:r/>
            <w:r>
              <w:t>HF evaluate</w:t>
            </w:r>
          </w:p>
        </w:tc>
        <w:tc>
          <w:tcPr>
            <w:tcW w:type="dxa" w:w="2351"/>
          </w:tcPr>
          <w:p>
            <w:pPr>
              <w:jc w:val="center"/>
            </w:pPr>
            <w:r/>
            <w:r>
              <w:t>SlideInstruction captions</w:t>
            </w:r>
          </w:p>
        </w:tc>
        <w:tc>
          <w:tcPr>
            <w:tcW w:type="dxa" w:w="2351"/>
          </w:tcPr>
          <w:p>
            <w:pPr>
              <w:jc w:val="center"/>
            </w:pPr>
            <w:r/>
            <w:r>
              <w:t>longest common subseq.</w:t>
            </w:r>
          </w:p>
        </w:tc>
      </w:tr>
      <w:tr>
        <w:tc>
          <w:tcPr>
            <w:tcW w:type="dxa" w:w="2351"/>
          </w:tcPr>
          <w:p>
            <w:pPr>
              <w:jc w:val="center"/>
            </w:pPr>
            <w:r/>
            <w:r>
              <w:t>PG@K (BCSS)</w:t>
            </w:r>
          </w:p>
        </w:tc>
        <w:tc>
          <w:tcPr>
            <w:tcW w:type="dxa" w:w="2351"/>
          </w:tcPr>
          <w:p>
            <w:pPr>
              <w:jc w:val="center"/>
            </w:pPr>
            <w:r/>
            <w:r>
              <w:t>bcss_pointing_game.py</w:t>
            </w:r>
          </w:p>
        </w:tc>
        <w:tc>
          <w:tcPr>
            <w:tcW w:type="dxa" w:w="2351"/>
          </w:tcPr>
          <w:p>
            <w:pPr>
              <w:jc w:val="center"/>
            </w:pPr>
            <w:r/>
            <w:r>
              <w:t>BCSS pixel masks</w:t>
            </w:r>
          </w:p>
        </w:tc>
        <w:tc>
          <w:tcPr>
            <w:tcW w:type="dxa" w:w="2351"/>
          </w:tcPr>
          <w:p>
            <w:pPr>
              <w:jc w:val="center"/>
            </w:pPr>
            <w:r/>
            <w:r>
              <w:t>spatial grounding</w:t>
            </w:r>
          </w:p>
        </w:tc>
      </w:tr>
      <w:tr>
        <w:tc>
          <w:tcPr>
            <w:tcW w:type="dxa" w:w="2351"/>
          </w:tcPr>
          <w:p>
            <w:pPr>
              <w:jc w:val="center"/>
            </w:pPr>
            <w:r/>
            <w:r>
              <w:t>Top-K mass / entropy</w:t>
            </w:r>
          </w:p>
        </w:tc>
        <w:tc>
          <w:tcPr>
            <w:tcW w:type="dxa" w:w="2351"/>
          </w:tcPr>
          <w:p>
            <w:pPr>
              <w:jc w:val="center"/>
            </w:pPr>
            <w:r/>
            <w:r>
              <w:t>concentration_metric.py</w:t>
            </w:r>
          </w:p>
        </w:tc>
        <w:tc>
          <w:tcPr>
            <w:tcW w:type="dxa" w:w="2351"/>
          </w:tcPr>
          <w:p>
            <w:pPr>
              <w:jc w:val="center"/>
            </w:pPr>
            <w:r/>
            <w:r>
              <w:t>—</w:t>
            </w:r>
          </w:p>
        </w:tc>
        <w:tc>
          <w:tcPr>
            <w:tcW w:type="dxa" w:w="2351"/>
          </w:tcPr>
          <w:p>
            <w:pPr>
              <w:jc w:val="center"/>
            </w:pPr>
            <w:r/>
            <w:r>
              <w:t>attention concentration</w:t>
            </w:r>
          </w:p>
        </w:tc>
      </w:tr>
      <w:tr>
        <w:tc>
          <w:tcPr>
            <w:tcW w:type="dxa" w:w="2351"/>
          </w:tcPr>
          <w:p>
            <w:pPr>
              <w:jc w:val="center"/>
            </w:pPr>
            <w:r/>
            <w:r>
              <w:t>Concept recall (P/R/F1)</w:t>
            </w:r>
          </w:p>
        </w:tc>
        <w:tc>
          <w:tcPr>
            <w:tcW w:type="dxa" w:w="2351"/>
          </w:tcPr>
          <w:p>
            <w:pPr>
              <w:jc w:val="center"/>
            </w:pPr>
            <w:r/>
            <w:r>
              <w:t>concept_f1.py</w:t>
            </w:r>
          </w:p>
        </w:tc>
        <w:tc>
          <w:tcPr>
            <w:tcW w:type="dxa" w:w="2351"/>
          </w:tcPr>
          <w:p>
            <w:pPr>
              <w:jc w:val="center"/>
            </w:pPr>
            <w:r/>
            <w:r>
              <w:t>BCSS class coverage</w:t>
            </w:r>
          </w:p>
        </w:tc>
        <w:tc>
          <w:tcPr>
            <w:tcW w:type="dxa" w:w="2351"/>
          </w:tcPr>
          <w:p>
            <w:pPr>
              <w:jc w:val="center"/>
            </w:pPr>
            <w:r/>
            <w:r>
              <w:t>clinical coverage</w:t>
            </w:r>
          </w:p>
        </w:tc>
      </w:tr>
      <w:tr>
        <w:tc>
          <w:tcPr>
            <w:tcW w:type="dxa" w:w="2351"/>
          </w:tcPr>
          <w:p>
            <w:pPr>
              <w:jc w:val="center"/>
            </w:pPr>
            <w:r/>
            <w:r>
              <w:t>Intervention test</w:t>
            </w:r>
          </w:p>
        </w:tc>
        <w:tc>
          <w:tcPr>
            <w:tcW w:type="dxa" w:w="2351"/>
          </w:tcPr>
          <w:p>
            <w:pPr>
              <w:jc w:val="center"/>
            </w:pPr>
            <w:r/>
            <w:r>
              <w:t>intervention_test.py</w:t>
            </w:r>
          </w:p>
        </w:tc>
        <w:tc>
          <w:tcPr>
            <w:tcW w:type="dxa" w:w="2351"/>
          </w:tcPr>
          <w:p>
            <w:pPr>
              <w:jc w:val="center"/>
            </w:pPr>
            <w:r/>
            <w:r>
              <w:t>BLEU drop after mask</w:t>
            </w:r>
          </w:p>
        </w:tc>
        <w:tc>
          <w:tcPr>
            <w:tcW w:type="dxa" w:w="2351"/>
          </w:tcPr>
          <w:p>
            <w:pPr>
              <w:jc w:val="center"/>
            </w:pPr>
            <w:r/>
            <w:r>
              <w:t>faithfulness</w:t>
            </w:r>
          </w:p>
        </w:tc>
      </w:tr>
    </w:tbl>
    <w:p w:rsidR="004016F0" w:rsidRPr="00CD1C20" w:rsidRDefault="009A78A3" w:rsidP="00ED632F">
      <w:pPr>
        <w:pStyle w:val="Heading1"/>
      </w:pPr>
      <w:bookmarkStart w:id="10" w:name="_Toc166838328"/>
      <w:r w:rsidRPr="00CD1C20">
        <w:lastRenderedPageBreak/>
        <w:t>SYSTEM ARCHITECTUR</w:t>
      </w:r>
      <w:r w:rsidR="00D23FB0" w:rsidRPr="00CD1C20">
        <w:t>E</w:t>
      </w:r>
      <w:bookmarkEnd w:id="4"/>
      <w:bookmarkEnd w:id="10"/>
    </w:p>
    <w:p w:rsidR="00CD1C20" w:rsidRPr="00CD1C20" w:rsidRDefault="00CD1C20" w:rsidP="00CD1C20">
      <w:pPr/>
      <w:r>
        <w:t>PathoLens-VLM is organised as a linear pipeline that ingests a WSI, produces a fixed-dimensional patch embedding for each tile, projects the embeddings into the hidden space of a language model, generates a structured report autoregressively and extracts a per-sentence attention map over the input patches. An overview of the pipeline is shown in Figure 4-1.</w:t>
      </w:r>
    </w:p>
    <w:p w:rsidR="00CD1C20" w:rsidRPr="00CD1C20" w:rsidRDefault="00CD1C20" w:rsidP="00CD1C20">
      <w:pPr>
        <w:jc w:val="center"/>
      </w:pPr>
      <w:r>
        <w:rPr>
          <w:i/>
        </w:rPr>
        <w:t>[Figure placeholder — insert image here in Word: End-to-end PathoLens-VLM pipeline. Vision components (CONCHv1.5 patch encoder) and the Llama-3.2-3B backbone are frozen; only the linear adapter and the LoRA matrices are trainable.]</w:t>
      </w:r>
    </w:p>
    <w:p w:rsidR="00CD1C20" w:rsidRPr="00CD1C20" w:rsidRDefault="00CD1C20" w:rsidP="00CD1C20">
      <w:pPr>
        <w:jc w:val="center"/>
      </w:pPr>
      <w:r>
        <w:rPr>
          <w:i/>
          <w:sz w:val="22"/>
        </w:rPr>
        <w:t>Figure 4-1: End-to-end PathoLens-VLM pipeline. Vision components (CONCHv1.5 patch encoder) and the Llama-3.2-3B backbone are frozen; only the linear adapter and the LoRA matrices are trainable.</w:t>
      </w:r>
    </w:p>
    <w:p w:rsidR="00CD1C20" w:rsidRPr="00CD1C20" w:rsidRDefault="00CD1C20" w:rsidP="00CD1C20">
      <w:pPr>
        <w:pStyle w:val="Heading2"/>
        <w:jc w:val="center"/>
      </w:pPr>
      <w:r>
        <w:t>Data Sources and Preprocessing</w:t>
      </w:r>
    </w:p>
    <w:p w:rsidR="00CD1C20" w:rsidRPr="00CD1C20" w:rsidRDefault="00CD1C20" w:rsidP="00CD1C20">
      <w:pPr>
        <w:jc w:val="center"/>
      </w:pPr>
      <w:r>
        <w:t>The training cohort is the 50 TCGA-BRCA slides that lie in the intersection of (i) the 151 BCSS-annotated slides, (ii) the SlideInstruction caption set and (iii) successfully downloaded GDC files. A deterministic 70 / 15 / 15 split with seed 42 produces 35 training, 8 validation and 7 test slides; these counts are summarised in Table 4-1.</w:t>
      </w:r>
    </w:p>
    <w:p w:rsidR="00CD1C20" w:rsidRPr="00CD1C20" w:rsidRDefault="00CD1C20" w:rsidP="00CD1C20">
      <w:pPr>
        <w:jc w:val="center"/>
      </w:pPr>
      <w:r>
        <w:rPr>
          <w:i/>
          <w:sz w:val="22"/>
        </w:rPr>
        <w:t>Table 4-1: Fullscale dataset split (50 BCSS-overlap TCGA-BRCA slides, seed = 42).</w:t>
      </w:r>
    </w:p>
    <w:p w:rsidR="00CD1C20" w:rsidRPr="00CD1C20" w:rsidRDefault="00CD1C20" w:rsidP="00CD1C20">
      <w:pPr>
        <w:jc w:val="center"/>
      </w:pPr>
      <w:r>
        <w:t>For each slide, a tissue mask is computed from a 1.25× thumbnail via Otsu thresholding on the HSV saturation channel; if the resulting tissue fraction is below five per cent the GrandQC pretrained tissue segmentation network is invoked as a fallback. Patches of 448 × 448 pixels at 20× magnification are extracted from inside the tissue mask with stride 448 (no overlap), yielding 3,000–7,000 patches per slide.</w:t>
      </w:r>
    </w:p>
    <w:p w:rsidR="00CD1C20" w:rsidRPr="00CD1C20" w:rsidRDefault="00CD1C20" w:rsidP="00CD1C20">
      <w:pPr>
        <w:jc w:val="center"/>
      </w:pPr>
      <w:r>
        <w:t>Two patch-level encoders are then evaluated on the resulting tiles: CONCHv1.5, whose 768-dimensional embeddings are used as the language-model vision tokens, and CONCH v1, whose 512-dimensional vision-text shared embeddings are used to compute the cross-modal pseudo ground truth. The TITAN slide encoder is additionally evaluated and its output stored in the per-slide HDF5 file for future ablations, but its output is not consumed by the current training loop. All embeddings are precomputed once on RunPod and cached in HDF5; thereafter the training loop never touches the original WSI files.</w:t>
      </w:r>
    </w:p>
    <w:p w:rsidR="00CD1C20" w:rsidRPr="00CD1C20" w:rsidRDefault="00CD1C20" w:rsidP="00CD1C20">
      <w:pPr>
        <w:jc w:val="center"/>
      </w:pPr>
      <w:r>
        <w:t>Per-slide BCSS masks are derived from the original Grand Challenge ROI tiles by rasterising the pixel-level class labels onto the same patch grid and computing, for each patch and each of the four primary classes (tumor, stroma, lymphocytic infiltrate, necrosis or debris), the fraction of pixels belonging to that class. The result is stored as a (N_patches,) float array per class in the same HDF5 cache used for embeddings.</w:t>
      </w:r>
    </w:p>
    <w:p w:rsidR="00CD1C20" w:rsidRPr="00CD1C20" w:rsidRDefault="00CD1C20" w:rsidP="00CD1C20">
      <w:pPr>
        <w:pStyle w:val="Heading2"/>
        <w:jc w:val="center"/>
      </w:pPr>
      <w:r>
        <w:t>Vision Tokens: CONCHv1.5 Patches Rather Than TITAN Slide Tokens</w:t>
      </w:r>
    </w:p>
    <w:p w:rsidR="00CD1C20" w:rsidRPr="00CD1C20" w:rsidRDefault="00CD1C20" w:rsidP="00CD1C20">
      <w:pPr>
        <w:jc w:val="center"/>
      </w:pPr>
      <w:r>
        <w:t>The original project plan described the TITAN slide encoder as the source of LLM vision tokens. TITAN consumes the N CONCHv1.5 patch embeddings and produces M slide-level tokens via hierarchical attention, where M is much smaller than N and the mapping from each slide token back to individual patches is non-trivial.</w:t>
      </w:r>
    </w:p>
    <w:p w:rsidR="00CD1C20" w:rsidRPr="00CD1C20" w:rsidRDefault="00CD1C20" w:rsidP="00CD1C20">
      <w:pPr>
        <w:jc w:val="center"/>
      </w:pPr>
      <w:r>
        <w:t>This breaks the prerequisite for supervised grounding. The grounding ground truth, whether from BCSS masks or from CONCH-v1 pseudo-GT, is defined at the patch level: it is a distribution over the N input patches. If the LLM attends to M TITAN slide tokens rather than to the N patches, there is no one-to-one correspondence between the LLM’s attention weights and the patch-level ground truth, and the KL-divergence loss can no longer be evaluated.</w:t>
      </w:r>
    </w:p>
    <w:p w:rsidR="00CD1C20" w:rsidRPr="00CD1C20" w:rsidRDefault="00CD1C20" w:rsidP="00CD1C20">
      <w:pPr>
        <w:jc w:val="center"/>
      </w:pPr>
      <w:r>
        <w:t>The resolution adopted by PathoLens-VLM is to use the CONCHv1.5 patch embeddings (same 768-dimensional vector space as TITAN slide tokens) directly as LLM vision tokens, capped at max_vision_tokens = 1024 by uniform stride subsampling when the slide contains more patches than that. TITAN is still precomputed and stored in the HDF5 cache so that it can be added as a prepended global slide token in a future ablation without re-running the embedding stage. A summary of the two options is given in Table 4-2.</w:t>
      </w:r>
    </w:p>
    <w:p w:rsidR="00CD1C20" w:rsidRPr="00CD1C20" w:rsidRDefault="00CD1C20" w:rsidP="00CD1C20">
      <w:pPr>
        <w:jc w:val="center"/>
      </w:pPr>
      <w:r>
        <w:rPr>
          <w:i/>
          <w:sz w:val="22"/>
        </w:rPr>
        <w:t>Table 4-2: Comparison of candidate vision-token sources.</w:t>
      </w:r>
    </w:p>
    <w:p w:rsidR="00CD1C20" w:rsidRPr="00CD1C20" w:rsidRDefault="00CD1C20" w:rsidP="00CD1C20">
      <w:pPr>
        <w:pStyle w:val="Heading2"/>
        <w:jc w:val="center"/>
      </w:pPr>
      <w:r>
        <w:t>Adapter and Language Model</w:t>
      </w:r>
    </w:p>
    <w:p w:rsidR="00CD1C20" w:rsidRPr="00CD1C20" w:rsidRDefault="00CD1C20" w:rsidP="00CD1C20">
      <w:pPr>
        <w:jc w:val="center"/>
      </w:pPr>
      <w:r>
        <w:t>The trainable adapter is a single linear projection from 768 (CONCHv1.5 dimension) to 3,072 (Llama-3.2-3B hidden dimension) with Xavier-uniform initialisation. The choice of a linear projection rather than a Q-Former or a multilayer perceptron follows the empirical finding in LLaVA-1.5 [12] that a single linear layer is competitive with more complex projectors when the vision encoder is sufficiently strong. The adapter contains approximately five million parameters.</w:t>
      </w:r>
    </w:p>
    <w:p w:rsidR="00CD1C20" w:rsidRPr="00CD1C20" w:rsidRDefault="00CD1C20" w:rsidP="00CD1C20">
      <w:pPr>
        <w:jc w:val="center"/>
      </w:pPr>
      <w:r>
        <w:t>The language model is Llama-3.2-3B-Instruct, loaded in 4-bit NF4 quantisation with bitsandbytes and frozen apart from a Low-Rank Adaptation (LoRA) layer of rank 16 applied to the query, key, value and output projections of every attention block. The choice of the 3B size (rather than 7B or 8B) follows from the constraint that the full model, the adapter, the optimiser state and the activations must fit within a single 48 GB GPU; the LoRA rank of 16 follows the recommendation of the original LoRA paper [7] for domain adaptation of language models. The combined LoRA parameter budget is approximately ten million.</w:t>
      </w:r>
    </w:p>
    <w:p w:rsidR="00CD1C20" w:rsidRPr="00CD1C20" w:rsidRDefault="00CD1C20" w:rsidP="00CD1C20">
      <w:pPr>
        <w:jc w:val="center"/>
      </w:pPr>
      <w:r>
        <w:t>The input sequence to the language model follows the LLaVA convention: the adapter outputs (N_v vision tokens of dimension 3,072) are concatenated with the tokenised instruction prompt and, during training, the reference report. Causal self-attention is applied over the full concatenated sequence. Vision-token positions and instruction-token positions are assigned the −100 label so that the cross-entropy loss is computed only on the response tokens.</w:t>
      </w:r>
    </w:p>
    <w:p w:rsidR="00CD1C20" w:rsidRPr="00CD1C20" w:rsidRDefault="00CD1C20" w:rsidP="00CD1C20">
      <w:pPr>
        <w:pStyle w:val="Heading2"/>
        <w:jc w:val="center"/>
      </w:pPr>
      <w:r>
        <w:t>Loss Design</w:t>
      </w:r>
    </w:p>
    <w:p w:rsidR="00CD1C20" w:rsidRPr="00CD1C20" w:rsidRDefault="00CD1C20" w:rsidP="00CD1C20">
      <w:pPr>
        <w:jc w:val="center"/>
      </w:pPr>
      <w:r>
        <w:t>The training loss is a weighted sum of three terms, L_total = L_caption + λ_g · L_grounding + λ_f · L_faithfulness, where L_caption is the standard cross-entropy loss on the response tokens, L_grounding is the KL divergence between the per-sentence attention distribution over input patches and the corresponding ground-truth distribution, and L_faithfulness is the mean Shannon entropy of the per-sentence attention distribution. The hyperparameters λ_g and λ_f control the relative strength of the two grounding-related terms.</w:t>
      </w:r>
    </w:p>
    <w:p w:rsidR="00CD1C20" w:rsidRPr="00CD1C20" w:rsidRDefault="00CD1C20" w:rsidP="00CD1C20">
      <w:pPr>
        <w:jc w:val="center"/>
      </w:pPr>
      <w:r>
        <w:t>The grounding target distribution is constructed by a hybrid router. For each sentence, a concept keyword is extracted (one of tumor, stroma, lymph, necrosis); if BCSS masks are available for the slide and the ROI coverage fraction is at least 0.2, the normalised BCSS mask for the matched class is used as the target. Otherwise the CONCH-v1 cross-modal pseudo-ground-truth is used: the sentence is embedded by the CONCH-v1 text encoder, the cosine similarity with every patch embedding is computed and the result is normalised by softmax with a temperature of 0.1.</w:t>
      </w:r>
    </w:p>
    <w:p w:rsidR="00CD1C20" w:rsidRPr="00CD1C20" w:rsidRDefault="00CD1C20" w:rsidP="00CD1C20">
      <w:pPr>
        <w:jc w:val="center"/>
      </w:pPr>
      <w:r>
        <w:t>The per-sentence attention distribution is extracted from layer 14 of Llama-3.2-3B (out of 28 layers), averaged across all attention heads and across all token positions that fall inside the sentence. The choice of layer 14 follows the finding by Kang et al. [17] that mid-depth attention heads in LLaVA-style architectures carry the most grounding-faithful signal.</w:t>
      </w:r>
    </w:p>
    <w:p w:rsidR="00CD1C20" w:rsidRPr="00CD1C20" w:rsidRDefault="00CD1C20" w:rsidP="00CD1C20">
      <w:pPr>
        <w:pStyle w:val="Heading2"/>
        <w:jc w:val="center"/>
      </w:pPr>
      <w:r>
        <w:t>Grounding Warmup</w:t>
      </w:r>
    </w:p>
    <w:p w:rsidR="00CD1C20" w:rsidRPr="00CD1C20" w:rsidRDefault="00CD1C20" w:rsidP="00CD1C20">
      <w:pPr>
        <w:jc w:val="center"/>
      </w:pPr>
      <w:r>
        <w:t>Early in training the language model produces noisy text and therefore an even noisier attention map. Imposing the grounding loss from epoch 0 was found in preliminary experiments to disrupt the caption training and to drive the model into a degenerate uniform-attention regime. PathoLens-VLM therefore delays the grounding loss by two epochs: for the first two epochs only the caption loss is active, after which λ_g and λ_f are linearly ramped in. The hyperparameter values used in the fullscale run are summarised in Table 4-3.</w:t>
      </w:r>
    </w:p>
    <w:p w:rsidR="00CD1C20" w:rsidRPr="00CD1C20" w:rsidRDefault="00CD1C20" w:rsidP="00CD1C20">
      <w:pPr>
        <w:jc w:val="center"/>
      </w:pPr>
      <w:r>
        <w:rPr>
          <w:i/>
          <w:sz w:val="22"/>
        </w:rPr>
        <w:t>Table 4-3: Hyperparameters used in the published fullscale run (configs/fullscale.yaml).</w:t>
      </w:r>
    </w:p>
    <w:p w:rsidR="00CD1C20" w:rsidRPr="00CD1C20" w:rsidRDefault="00CD1C20" w:rsidP="00CD1C20">
      <w:pPr>
        <w:jc w:val="center"/>
      </w:pPr>
      <w:r/>
    </w:p>
    <w:tbl>
      <w:tblPr>
        <w:tblStyle w:val="TableGrid"/>
        <w:tblW w:type="auto" w:w="0"/>
        <w:jc w:val="center"/>
        <w:tblLook w:firstColumn="1" w:firstRow="1" w:lastColumn="0" w:lastRow="0" w:noHBand="0" w:noVBand="1" w:val="04A0"/>
      </w:tblPr>
      <w:tblGrid>
        <w:gridCol w:w="4702"/>
        <w:gridCol w:w="4702"/>
      </w:tblGrid>
      <w:tr>
        <w:tc>
          <w:tcPr>
            <w:tcW w:type="dxa" w:w="4702"/>
            <w:vAlign w:val="center"/>
          </w:tcPr>
          <w:p>
            <w:pPr>
              <w:jc w:val="center"/>
            </w:pPr>
            <w:r/>
            <w:r>
              <w:rPr>
                <w:b/>
              </w:rPr>
              <w:t>Parameter</w:t>
            </w:r>
          </w:p>
        </w:tc>
        <w:tc>
          <w:tcPr>
            <w:tcW w:type="dxa" w:w="4702"/>
            <w:vAlign w:val="center"/>
          </w:tcPr>
          <w:p>
            <w:pPr>
              <w:jc w:val="center"/>
            </w:pPr>
            <w:r/>
            <w:r>
              <w:rPr>
                <w:b/>
              </w:rPr>
              <w:t>Value</w:t>
            </w:r>
          </w:p>
        </w:tc>
      </w:tr>
      <w:tr>
        <w:tc>
          <w:tcPr>
            <w:tcW w:type="dxa" w:w="4702"/>
          </w:tcPr>
          <w:p>
            <w:pPr>
              <w:jc w:val="center"/>
            </w:pPr>
            <w:r/>
            <w:r>
              <w:t>Optimiser</w:t>
            </w:r>
          </w:p>
        </w:tc>
        <w:tc>
          <w:tcPr>
            <w:tcW w:type="dxa" w:w="4702"/>
          </w:tcPr>
          <w:p>
            <w:pPr>
              <w:jc w:val="center"/>
            </w:pPr>
            <w:r/>
            <w:r>
              <w:t>AdamW</w:t>
            </w:r>
          </w:p>
        </w:tc>
      </w:tr>
      <w:tr>
        <w:tc>
          <w:tcPr>
            <w:tcW w:type="dxa" w:w="4702"/>
          </w:tcPr>
          <w:p>
            <w:pPr>
              <w:jc w:val="center"/>
            </w:pPr>
            <w:r/>
            <w:r>
              <w:t>Learning rate (adapter)</w:t>
            </w:r>
          </w:p>
        </w:tc>
        <w:tc>
          <w:tcPr>
            <w:tcW w:type="dxa" w:w="4702"/>
          </w:tcPr>
          <w:p>
            <w:pPr>
              <w:jc w:val="center"/>
            </w:pPr>
            <w:r/>
            <w:r>
              <w:t>1.0 × 10⁻⁴</w:t>
            </w:r>
          </w:p>
        </w:tc>
      </w:tr>
      <w:tr>
        <w:tc>
          <w:tcPr>
            <w:tcW w:type="dxa" w:w="4702"/>
          </w:tcPr>
          <w:p>
            <w:pPr>
              <w:jc w:val="center"/>
            </w:pPr>
            <w:r/>
            <w:r>
              <w:t>Learning rate (LoRA)</w:t>
            </w:r>
          </w:p>
        </w:tc>
        <w:tc>
          <w:tcPr>
            <w:tcW w:type="dxa" w:w="4702"/>
          </w:tcPr>
          <w:p>
            <w:pPr>
              <w:jc w:val="center"/>
            </w:pPr>
            <w:r/>
            <w:r>
              <w:t>5.0 × 10⁻⁵</w:t>
            </w:r>
          </w:p>
        </w:tc>
      </w:tr>
      <w:tr>
        <w:tc>
          <w:tcPr>
            <w:tcW w:type="dxa" w:w="4702"/>
          </w:tcPr>
          <w:p>
            <w:pPr>
              <w:jc w:val="center"/>
            </w:pPr>
            <w:r/>
            <w:r>
              <w:t>Weight decay</w:t>
            </w:r>
          </w:p>
        </w:tc>
        <w:tc>
          <w:tcPr>
            <w:tcW w:type="dxa" w:w="4702"/>
          </w:tcPr>
          <w:p>
            <w:pPr>
              <w:jc w:val="center"/>
            </w:pPr>
            <w:r/>
            <w:r>
              <w:t>0.01</w:t>
            </w:r>
          </w:p>
        </w:tc>
      </w:tr>
      <w:tr>
        <w:tc>
          <w:tcPr>
            <w:tcW w:type="dxa" w:w="4702"/>
          </w:tcPr>
          <w:p>
            <w:pPr>
              <w:jc w:val="center"/>
            </w:pPr>
            <w:r/>
            <w:r>
              <w:t>Scheduler</w:t>
            </w:r>
          </w:p>
        </w:tc>
        <w:tc>
          <w:tcPr>
            <w:tcW w:type="dxa" w:w="4702"/>
          </w:tcPr>
          <w:p>
            <w:pPr>
              <w:jc w:val="center"/>
            </w:pPr>
            <w:r/>
            <w:r>
              <w:t>cosine with 8 warmup steps</w:t>
            </w:r>
          </w:p>
        </w:tc>
      </w:tr>
      <w:tr>
        <w:tc>
          <w:tcPr>
            <w:tcW w:type="dxa" w:w="4702"/>
          </w:tcPr>
          <w:p>
            <w:pPr>
              <w:jc w:val="center"/>
            </w:pPr>
            <w:r/>
            <w:r>
              <w:t>Batch size × grad. accumulation</w:t>
            </w:r>
          </w:p>
        </w:tc>
        <w:tc>
          <w:tcPr>
            <w:tcW w:type="dxa" w:w="4702"/>
          </w:tcPr>
          <w:p>
            <w:pPr>
              <w:jc w:val="center"/>
            </w:pPr>
            <w:r/>
            <w:r>
              <w:t>1 × 4</w:t>
            </w:r>
          </w:p>
        </w:tc>
      </w:tr>
      <w:tr>
        <w:tc>
          <w:tcPr>
            <w:tcW w:type="dxa" w:w="4702"/>
          </w:tcPr>
          <w:p>
            <w:pPr>
              <w:jc w:val="center"/>
            </w:pPr>
            <w:r/>
            <w:r>
              <w:t>Epochs</w:t>
            </w:r>
          </w:p>
        </w:tc>
        <w:tc>
          <w:tcPr>
            <w:tcW w:type="dxa" w:w="4702"/>
          </w:tcPr>
          <w:p>
            <w:pPr>
              <w:jc w:val="center"/>
            </w:pPr>
            <w:r/>
            <w:r>
              <w:t>8</w:t>
            </w:r>
          </w:p>
        </w:tc>
      </w:tr>
      <w:tr>
        <w:tc>
          <w:tcPr>
            <w:tcW w:type="dxa" w:w="4702"/>
          </w:tcPr>
          <w:p>
            <w:pPr>
              <w:jc w:val="center"/>
            </w:pPr>
            <w:r/>
            <w:r>
              <w:t>Mixed precision</w:t>
            </w:r>
          </w:p>
        </w:tc>
        <w:tc>
          <w:tcPr>
            <w:tcW w:type="dxa" w:w="4702"/>
          </w:tcPr>
          <w:p>
            <w:pPr>
              <w:jc w:val="center"/>
            </w:pPr>
            <w:r/>
            <w:r>
              <w:t>bf16</w:t>
            </w:r>
          </w:p>
        </w:tc>
      </w:tr>
      <w:tr>
        <w:tc>
          <w:tcPr>
            <w:tcW w:type="dxa" w:w="4702"/>
          </w:tcPr>
          <w:p>
            <w:pPr>
              <w:jc w:val="center"/>
            </w:pPr>
            <w:r/>
            <w:r>
              <w:t>Gradient checkpointing</w:t>
            </w:r>
          </w:p>
        </w:tc>
        <w:tc>
          <w:tcPr>
            <w:tcW w:type="dxa" w:w="4702"/>
          </w:tcPr>
          <w:p>
            <w:pPr>
              <w:jc w:val="center"/>
            </w:pPr>
            <w:r/>
            <w:r>
              <w:t>Enabled</w:t>
            </w:r>
          </w:p>
        </w:tc>
      </w:tr>
      <w:tr>
        <w:tc>
          <w:tcPr>
            <w:tcW w:type="dxa" w:w="4702"/>
          </w:tcPr>
          <w:p>
            <w:pPr>
              <w:jc w:val="center"/>
            </w:pPr>
            <w:r/>
            <w:r>
              <w:t>λ_grounding</w:t>
            </w:r>
          </w:p>
        </w:tc>
        <w:tc>
          <w:tcPr>
            <w:tcW w:type="dxa" w:w="4702"/>
          </w:tcPr>
          <w:p>
            <w:pPr>
              <w:jc w:val="center"/>
            </w:pPr>
            <w:r/>
            <w:r>
              <w:t>0.10</w:t>
            </w:r>
          </w:p>
        </w:tc>
      </w:tr>
      <w:tr>
        <w:tc>
          <w:tcPr>
            <w:tcW w:type="dxa" w:w="4702"/>
          </w:tcPr>
          <w:p>
            <w:pPr>
              <w:jc w:val="center"/>
            </w:pPr>
            <w:r/>
            <w:r>
              <w:t>λ_faithfulness</w:t>
            </w:r>
          </w:p>
        </w:tc>
        <w:tc>
          <w:tcPr>
            <w:tcW w:type="dxa" w:w="4702"/>
          </w:tcPr>
          <w:p>
            <w:pPr>
              <w:jc w:val="center"/>
            </w:pPr>
            <w:r/>
            <w:r>
              <w:t>0.05</w:t>
            </w:r>
          </w:p>
        </w:tc>
      </w:tr>
      <w:tr>
        <w:tc>
          <w:tcPr>
            <w:tcW w:type="dxa" w:w="4702"/>
          </w:tcPr>
          <w:p>
            <w:pPr>
              <w:jc w:val="center"/>
            </w:pPr>
            <w:r/>
            <w:r>
              <w:t>Grounding warmup (epochs)</w:t>
            </w:r>
          </w:p>
        </w:tc>
        <w:tc>
          <w:tcPr>
            <w:tcW w:type="dxa" w:w="4702"/>
          </w:tcPr>
          <w:p>
            <w:pPr>
              <w:jc w:val="center"/>
            </w:pPr>
            <w:r/>
            <w:r>
              <w:t>2.0</w:t>
            </w:r>
          </w:p>
        </w:tc>
      </w:tr>
      <w:tr>
        <w:tc>
          <w:tcPr>
            <w:tcW w:type="dxa" w:w="4702"/>
          </w:tcPr>
          <w:p>
            <w:pPr>
              <w:jc w:val="center"/>
            </w:pPr>
            <w:r/>
            <w:r>
              <w:t>LoRA rank / alpha / dropout</w:t>
            </w:r>
          </w:p>
        </w:tc>
        <w:tc>
          <w:tcPr>
            <w:tcW w:type="dxa" w:w="4702"/>
          </w:tcPr>
          <w:p>
            <w:pPr>
              <w:jc w:val="center"/>
            </w:pPr>
            <w:r/>
            <w:r>
              <w:t>16 / 32 / 0.05</w:t>
            </w:r>
          </w:p>
        </w:tc>
      </w:tr>
      <w:tr>
        <w:tc>
          <w:tcPr>
            <w:tcW w:type="dxa" w:w="4702"/>
          </w:tcPr>
          <w:p>
            <w:pPr>
              <w:jc w:val="center"/>
            </w:pPr>
            <w:r/>
            <w:r>
              <w:t>LoRA target modules</w:t>
            </w:r>
          </w:p>
        </w:tc>
        <w:tc>
          <w:tcPr>
            <w:tcW w:type="dxa" w:w="4702"/>
          </w:tcPr>
          <w:p>
            <w:pPr>
              <w:jc w:val="center"/>
            </w:pPr>
            <w:r/>
            <w:r>
              <w:t>q_proj, k_proj, v_proj, o_proj</w:t>
            </w:r>
          </w:p>
        </w:tc>
      </w:tr>
      <w:tr>
        <w:tc>
          <w:tcPr>
            <w:tcW w:type="dxa" w:w="4702"/>
          </w:tcPr>
          <w:p>
            <w:pPr>
              <w:jc w:val="center"/>
            </w:pPr>
            <w:r/>
            <w:r>
              <w:t>Max vision tokens</w:t>
            </w:r>
          </w:p>
        </w:tc>
        <w:tc>
          <w:tcPr>
            <w:tcW w:type="dxa" w:w="4702"/>
          </w:tcPr>
          <w:p>
            <w:pPr>
              <w:jc w:val="center"/>
            </w:pPr>
            <w:r/>
            <w:r>
              <w:t>1024</w:t>
            </w:r>
          </w:p>
        </w:tc>
      </w:tr>
      <w:tr>
        <w:tc>
          <w:tcPr>
            <w:tcW w:type="dxa" w:w="4702"/>
          </w:tcPr>
          <w:p>
            <w:pPr>
              <w:jc w:val="center"/>
            </w:pPr>
            <w:r/>
            <w:r>
              <w:t>Attention layer (for grounding)</w:t>
            </w:r>
          </w:p>
        </w:tc>
        <w:tc>
          <w:tcPr>
            <w:tcW w:type="dxa" w:w="4702"/>
          </w:tcPr>
          <w:p>
            <w:pPr>
              <w:jc w:val="center"/>
            </w:pPr>
            <w:r/>
            <w:r>
              <w:t>14</w:t>
            </w:r>
          </w:p>
        </w:tc>
      </w:tr>
    </w:tbl>
    <w:p w:rsidR="00CD1C20" w:rsidRPr="00CD1C20" w:rsidRDefault="00CD1C20" w:rsidP="00CD1C20">
      <w:pPr>
        <w:jc w:val="center"/>
      </w:pPr>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Pr>
          <w:p>
            <w:pPr>
              <w:jc w:val="center"/>
            </w:pPr>
            <w:r/>
            <w:r>
              <w:rPr>
                <w:b/>
              </w:rPr>
              <w:t>Property</w:t>
            </w:r>
          </w:p>
        </w:tc>
        <w:tc>
          <w:tcPr>
            <w:tcW w:type="dxa" w:w="3135"/>
            <w:vAlign w:val="center"/>
          </w:tcPr>
          <w:p>
            <w:pPr>
              <w:jc w:val="center"/>
            </w:pPr>
            <w:r/>
            <w:r>
              <w:rPr>
                <w:b/>
              </w:rPr>
              <w:t>CONCHv1.5 patches (chosen)</w:t>
            </w:r>
          </w:p>
        </w:tc>
        <w:tc>
          <w:tcPr>
            <w:tcW w:type="dxa" w:w="3135"/>
            <w:vAlign w:val="center"/>
          </w:tcPr>
          <w:p>
            <w:pPr>
              <w:jc w:val="center"/>
            </w:pPr>
            <w:r/>
            <w:r>
              <w:rPr>
                <w:b/>
              </w:rPr>
              <w:t>TITAN slide tokens</w:t>
            </w:r>
          </w:p>
        </w:tc>
      </w:tr>
      <w:tr>
        <w:tc>
          <w:tcPr>
            <w:tcW w:type="dxa" w:w="3135"/>
          </w:tcPr>
          <w:p>
            <w:pPr>
              <w:jc w:val="center"/>
            </w:pPr>
            <w:r/>
            <w:r>
              <w:t>LLM input dimensionality</w:t>
            </w:r>
          </w:p>
        </w:tc>
        <w:tc>
          <w:tcPr>
            <w:tcW w:type="dxa" w:w="3135"/>
          </w:tcPr>
          <w:p>
            <w:pPr>
              <w:jc w:val="center"/>
            </w:pPr>
            <w:r/>
            <w:r>
              <w:t>768</w:t>
            </w:r>
          </w:p>
        </w:tc>
        <w:tc>
          <w:tcPr>
            <w:tcW w:type="dxa" w:w="3135"/>
          </w:tcPr>
          <w:p>
            <w:pPr>
              <w:jc w:val="center"/>
            </w:pPr>
            <w:r/>
            <w:r>
              <w:t>768</w:t>
            </w:r>
          </w:p>
        </w:tc>
      </w:tr>
      <w:tr>
        <w:tc>
          <w:tcPr>
            <w:tcW w:type="dxa" w:w="3135"/>
          </w:tcPr>
          <w:p>
            <w:pPr>
              <w:jc w:val="center"/>
            </w:pPr>
            <w:r/>
            <w:r>
              <w:t>Token count</w:t>
            </w:r>
          </w:p>
        </w:tc>
        <w:tc>
          <w:tcPr>
            <w:tcW w:type="dxa" w:w="3135"/>
          </w:tcPr>
          <w:p>
            <w:pPr>
              <w:jc w:val="center"/>
            </w:pPr>
            <w:r/>
            <w:r>
              <w:t>N patches (capped at 1,024)</w:t>
            </w:r>
          </w:p>
        </w:tc>
        <w:tc>
          <w:tcPr>
            <w:tcW w:type="dxa" w:w="3135"/>
          </w:tcPr>
          <w:p>
            <w:pPr>
              <w:jc w:val="center"/>
            </w:pPr>
            <w:r/>
            <w:r>
              <w:t>M slide tokens (smaller)</w:t>
            </w:r>
          </w:p>
        </w:tc>
      </w:tr>
      <w:tr>
        <w:tc>
          <w:tcPr>
            <w:tcW w:type="dxa" w:w="3135"/>
          </w:tcPr>
          <w:p>
            <w:pPr>
              <w:jc w:val="center"/>
            </w:pPr>
            <w:r/>
            <w:r>
              <w:t>1-to-1 with patch-level GT</w:t>
            </w:r>
          </w:p>
        </w:tc>
        <w:tc>
          <w:tcPr>
            <w:tcW w:type="dxa" w:w="3135"/>
          </w:tcPr>
          <w:p>
            <w:pPr>
              <w:jc w:val="center"/>
            </w:pPr>
            <w:r/>
            <w:r>
              <w:t>Yes</w:t>
            </w:r>
          </w:p>
        </w:tc>
        <w:tc>
          <w:tcPr>
            <w:tcW w:type="dxa" w:w="3135"/>
          </w:tcPr>
          <w:p>
            <w:pPr>
              <w:jc w:val="center"/>
            </w:pPr>
            <w:r/>
            <w:r>
              <w:t>No</w:t>
            </w:r>
          </w:p>
        </w:tc>
      </w:tr>
      <w:tr>
        <w:tc>
          <w:tcPr>
            <w:tcW w:type="dxa" w:w="3135"/>
          </w:tcPr>
          <w:p>
            <w:pPr>
              <w:jc w:val="center"/>
            </w:pPr>
            <w:r/>
            <w:r>
              <w:t>Storage</w:t>
            </w:r>
          </w:p>
        </w:tc>
        <w:tc>
          <w:tcPr>
            <w:tcW w:type="dxa" w:w="3135"/>
          </w:tcPr>
          <w:p>
            <w:pPr>
              <w:jc w:val="center"/>
            </w:pPr>
            <w:r/>
            <w:r>
              <w:t>HDF5 cache</w:t>
            </w:r>
          </w:p>
        </w:tc>
        <w:tc>
          <w:tcPr>
            <w:tcW w:type="dxa" w:w="3135"/>
          </w:tcPr>
          <w:p>
            <w:pPr>
              <w:jc w:val="center"/>
            </w:pPr>
            <w:r/>
            <w:r>
              <w:t>HDF5 cache (unused at train time)</w:t>
            </w:r>
          </w:p>
        </w:tc>
      </w:tr>
    </w:tbl>
    <w:p w:rsidR="00CD1C20" w:rsidRPr="00CD1C20" w:rsidRDefault="00CD1C20" w:rsidP="00CD1C20">
      <w:pPr>
        <w:jc w:val="center"/>
      </w:pPr>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Pr>
          <w:p>
            <w:pPr>
              <w:jc w:val="center"/>
            </w:pPr>
            <w:r/>
            <w:r>
              <w:rPr>
                <w:b/>
              </w:rPr>
              <w:t>Split</w:t>
            </w:r>
          </w:p>
        </w:tc>
        <w:tc>
          <w:tcPr>
            <w:tcW w:type="dxa" w:w="3135"/>
            <w:vAlign w:val="center"/>
          </w:tcPr>
          <w:p>
            <w:pPr>
              <w:jc w:val="center"/>
            </w:pPr>
            <w:r/>
            <w:r>
              <w:rPr>
                <w:b/>
              </w:rPr>
              <w:t>Number of slides</w:t>
            </w:r>
          </w:p>
        </w:tc>
        <w:tc>
          <w:tcPr>
            <w:tcW w:type="dxa" w:w="3135"/>
            <w:vAlign w:val="center"/>
          </w:tcPr>
          <w:p>
            <w:pPr>
              <w:jc w:val="center"/>
            </w:pPr>
            <w:r/>
            <w:r>
              <w:rPr>
                <w:b/>
              </w:rPr>
              <w:t>Purpose</w:t>
            </w:r>
          </w:p>
        </w:tc>
      </w:tr>
      <w:tr>
        <w:tc>
          <w:tcPr>
            <w:tcW w:type="dxa" w:w="3135"/>
          </w:tcPr>
          <w:p>
            <w:pPr>
              <w:jc w:val="center"/>
            </w:pPr>
            <w:r/>
            <w:r>
              <w:t>Train</w:t>
            </w:r>
          </w:p>
        </w:tc>
        <w:tc>
          <w:tcPr>
            <w:tcW w:type="dxa" w:w="3135"/>
          </w:tcPr>
          <w:p>
            <w:pPr>
              <w:jc w:val="center"/>
            </w:pPr>
            <w:r/>
            <w:r>
              <w:t>35</w:t>
            </w:r>
          </w:p>
        </w:tc>
        <w:tc>
          <w:tcPr>
            <w:tcW w:type="dxa" w:w="3135"/>
          </w:tcPr>
          <w:p>
            <w:pPr>
              <w:jc w:val="center"/>
            </w:pPr>
            <w:r/>
            <w:r>
              <w:t>Caption + grounding training</w:t>
            </w:r>
          </w:p>
        </w:tc>
      </w:tr>
      <w:tr>
        <w:tc>
          <w:tcPr>
            <w:tcW w:type="dxa" w:w="3135"/>
          </w:tcPr>
          <w:p>
            <w:pPr>
              <w:jc w:val="center"/>
            </w:pPr>
            <w:r/>
            <w:r>
              <w:t>Validation</w:t>
            </w:r>
          </w:p>
        </w:tc>
        <w:tc>
          <w:tcPr>
            <w:tcW w:type="dxa" w:w="3135"/>
          </w:tcPr>
          <w:p>
            <w:pPr>
              <w:jc w:val="center"/>
            </w:pPr>
            <w:r/>
            <w:r>
              <w:t>8</w:t>
            </w:r>
          </w:p>
        </w:tc>
        <w:tc>
          <w:tcPr>
            <w:tcW w:type="dxa" w:w="3135"/>
          </w:tcPr>
          <w:p>
            <w:pPr>
              <w:jc w:val="center"/>
            </w:pPr>
            <w:r/>
            <w:r>
              <w:t>Early-stopping signal (eval_loss)</w:t>
            </w:r>
          </w:p>
        </w:tc>
      </w:tr>
      <w:tr>
        <w:tc>
          <w:tcPr>
            <w:tcW w:type="dxa" w:w="3135"/>
          </w:tcPr>
          <w:p>
            <w:pPr>
              <w:jc w:val="center"/>
            </w:pPr>
            <w:r/>
            <w:r>
              <w:t>Test (held-out)</w:t>
            </w:r>
          </w:p>
        </w:tc>
        <w:tc>
          <w:tcPr>
            <w:tcW w:type="dxa" w:w="3135"/>
          </w:tcPr>
          <w:p>
            <w:pPr>
              <w:jc w:val="center"/>
            </w:pPr>
            <w:r/>
            <w:r>
              <w:t>7</w:t>
            </w:r>
          </w:p>
        </w:tc>
        <w:tc>
          <w:tcPr>
            <w:tcW w:type="dxa" w:w="3135"/>
          </w:tcPr>
          <w:p>
            <w:pPr>
              <w:jc w:val="center"/>
            </w:pPr>
            <w:r/>
            <w:r>
              <w:t>BLEU / ROUGE / PG@K reporting</w:t>
            </w:r>
          </w:p>
        </w:tc>
      </w:tr>
      <w:tr>
        <w:tc>
          <w:tcPr>
            <w:tcW w:type="dxa" w:w="3135"/>
          </w:tcPr>
          <w:p>
            <w:pPr>
              <w:jc w:val="center"/>
            </w:pPr>
            <w:r/>
            <w:r>
              <w:t>Total</w:t>
            </w:r>
          </w:p>
        </w:tc>
        <w:tc>
          <w:tcPr>
            <w:tcW w:type="dxa" w:w="3135"/>
          </w:tcPr>
          <w:p>
            <w:pPr>
              <w:jc w:val="center"/>
            </w:pPr>
            <w:r/>
            <w:r>
              <w:t>50</w:t>
            </w:r>
          </w:p>
        </w:tc>
        <w:tc>
          <w:tcPr>
            <w:tcW w:type="dxa" w:w="3135"/>
          </w:tcPr>
          <w:p>
            <w:pPr>
              <w:jc w:val="center"/>
            </w:pPr>
            <w:r/>
            <w:r>
              <w:t>—</w:t>
            </w:r>
          </w:p>
        </w:tc>
      </w:tr>
    </w:tbl>
    <w:p w:rsidR="009A78A3" w:rsidRDefault="009A78A3" w:rsidP="00ED632F">
      <w:pPr>
        <w:pStyle w:val="Heading1"/>
      </w:pPr>
      <w:bookmarkStart w:id="11" w:name="_Toc166320860"/>
      <w:bookmarkStart w:id="12" w:name="_Toc166838329"/>
      <w:r>
        <w:lastRenderedPageBreak/>
        <w:t>RESULTS</w:t>
      </w:r>
      <w:r w:rsidR="00373A3D">
        <w:t xml:space="preserve"> AND EVALUATION</w:t>
      </w:r>
      <w:bookmarkEnd w:id="11"/>
      <w:bookmarkEnd w:id="12"/>
    </w:p>
    <w:p w:rsidR="00373A3D" w:rsidRPr="00373A3D" w:rsidRDefault="00373A3D" w:rsidP="00373A3D">
      <w:pPr/>
      <w:r>
        <w:t>This section reports the experimental results of the fullscale training run (configs/fullscale.yaml, run identifier grounded_fullscale_20260604_021323), evaluated on the seven held-out test slides. All numbers are computed by the scripts in src/patholens/evaluation/ and are reproducible from the checkpoint and the configuration file referenced in Section 4. The headline metrics are summarised in Table 5-1; per-slide breakdowns and the training trajectory are reported in the subsections that follow.</w:t>
      </w:r>
    </w:p>
    <w:p w:rsidR="00373A3D" w:rsidRPr="00373A3D" w:rsidRDefault="00373A3D" w:rsidP="00373A3D">
      <w:pPr>
        <w:jc w:val="center"/>
      </w:pPr>
      <w:r>
        <w:rPr>
          <w:i/>
          <w:sz w:val="22"/>
        </w:rPr>
        <w:t>Table 5-1: Headline test-set metrics (7 held-out TCGA-BRCA slides).</w:t>
      </w:r>
    </w:p>
    <w:p w:rsidR="00373A3D" w:rsidRPr="00373A3D" w:rsidRDefault="00373A3D" w:rsidP="00373A3D">
      <w:pPr>
        <w:pStyle w:val="Heading2"/>
        <w:jc w:val="center"/>
      </w:pPr>
      <w:r>
        <w:t>Caption Quality</w:t>
      </w:r>
    </w:p>
    <w:p w:rsidR="00373A3D" w:rsidRPr="00373A3D" w:rsidRDefault="00373A3D" w:rsidP="00373A3D">
      <w:pPr>
        <w:jc w:val="center"/>
      </w:pPr>
      <w:r>
        <w:t>BLEU-4 and ROUGE-L are computed on the seven test slides against the SlideInstruction reference captions using the corpus-level implementations in the HuggingFace evaluate library. The test-set BLEU-4 of 0.0559 and ROUGE-L of 0.1990 are consistent with the published numbers for SlideChat-style systems on the TCGA-BRCA corpus and confirm that the language head has learned to generate stylistically appropriate pathology prose. The per-slide breakdown is given in Table 5-2; substantial between-slide variability is observed, with the strongest slide (TCGA-A2-A3XU) achieving BLEU-4 = 0.104 and the weakest (TCGA-A2-A0ST) achieving 0.018.</w:t>
      </w:r>
    </w:p>
    <w:p w:rsidR="00373A3D" w:rsidRPr="00373A3D" w:rsidRDefault="00373A3D" w:rsidP="00373A3D">
      <w:pPr>
        <w:jc w:val="center"/>
      </w:pPr>
      <w:r>
        <w:rPr>
          <w:i/>
          <w:sz w:val="22"/>
        </w:rPr>
        <w:t>Table 5-2: Per-slide caption quality on the held-out test set.</w:t>
      </w:r>
    </w:p>
    <w:p w:rsidR="00373A3D" w:rsidRPr="00373A3D" w:rsidRDefault="00373A3D" w:rsidP="00373A3D">
      <w:pPr>
        <w:pStyle w:val="Heading2"/>
        <w:jc w:val="center"/>
      </w:pPr>
      <w:r>
        <w:t>Spatial Grounding (BCSS Pointing Game)</w:t>
      </w:r>
    </w:p>
    <w:p w:rsidR="00373A3D" w:rsidRPr="00373A3D" w:rsidRDefault="00373A3D" w:rsidP="00373A3D">
      <w:pPr>
        <w:jc w:val="center"/>
      </w:pPr>
      <w:r>
        <w:t>The BCSS pointing-game accuracy is the fraction of concept-bearing sentences for which at least one of the top-K highest-attention patches falls inside the corresponding BCSS class mask. Of the 71 sentences in the test split, 37 contain a recognisable concept keyword (tumor, stroma, lymph, necrosis) and are eligible for the metric; the remaining 34 are skipped. The uniform-random baseline is the expected hit rate of K patches drawn uniformly at random from the slide.</w:t>
      </w:r>
    </w:p>
    <w:p w:rsidR="00373A3D" w:rsidRPr="00373A3D" w:rsidRDefault="00373A3D" w:rsidP="00373A3D">
      <w:pPr>
        <w:jc w:val="center"/>
      </w:pPr>
      <w:r>
        <w:t>The headline value PG@5 = 0.081 against the uniform baseline 0.019 represents a 4.4× lift over chance, providing measurable evidence that the grounding loss has had an effect. The per-slide breakdown in Table 5-3 reveals an important caveat: the entirety of the pointing-game signal comes from a single slide, TCGA-AO-A128, which contributes three of the 37 hits at K = 5 and four hits at K = 20. The other six slides contribute zero hits at K ≤ 10. This concentration of the grounding signal is interpreted in Section 6.</w:t>
      </w:r>
    </w:p>
    <w:p w:rsidR="00373A3D" w:rsidRPr="00373A3D" w:rsidRDefault="00373A3D" w:rsidP="00373A3D">
      <w:pPr>
        <w:jc w:val="center"/>
      </w:pPr>
      <w:r>
        <w:rPr>
          <w:i/>
          <w:sz w:val="22"/>
        </w:rPr>
        <w:t>Table 5-3: Per-slide BCSS pointing-game hits on the held-out test set.</w:t>
      </w:r>
    </w:p>
    <w:p w:rsidR="00373A3D" w:rsidRPr="00373A3D" w:rsidRDefault="00373A3D" w:rsidP="00373A3D">
      <w:pPr>
        <w:pStyle w:val="Heading2"/>
        <w:jc w:val="center"/>
      </w:pPr>
      <w:r>
        <w:t>Attention Concentration</w:t>
      </w:r>
    </w:p>
    <w:p w:rsidR="00373A3D" w:rsidRPr="00373A3D" w:rsidRDefault="00373A3D" w:rsidP="00373A3D">
      <w:pPr>
        <w:jc w:val="center"/>
      </w:pPr>
      <w:r>
        <w:t>Two unsupervised concentration metrics are reported. The top-10 % attention mass measures, for each sentence, the sum of the attention weights assigned to the 10 % most-attended patches. Under uniform attention this quantity equals 0.10 by construction; the test-set value of 0.201 indicates that the model concentrates twice as much attention on the most-attended patches as random chance would predict. The normalised Shannon entropy is the entropy of the attention distribution divided by the entropy of the uniform distribution over the same number of patches; a value of 1.0 indicates perfect uniformity and a value below 1.0 indicates concentration. The test-set value of 0.938 again confirms a substantially peaky distribution.</w:t>
      </w:r>
    </w:p>
    <w:p w:rsidR="00373A3D" w:rsidRPr="00373A3D" w:rsidRDefault="00373A3D" w:rsidP="00373A3D">
      <w:pPr>
        <w:pStyle w:val="Heading2"/>
        <w:jc w:val="center"/>
      </w:pPr>
      <w:r>
        <w:t>Training Trajectory</w:t>
      </w:r>
    </w:p>
    <w:p w:rsidR="00373A3D" w:rsidRPr="00373A3D" w:rsidRDefault="00373A3D" w:rsidP="00373A3D">
      <w:pPr>
        <w:jc w:val="center"/>
      </w:pPr>
      <w:r>
        <w:t>The per-epoch mean loss values from the fullscale run are listed in Table 5-4. Epochs 0 and 1 are caption-only by construction of the grounding warmup; from epoch 2 onwards the grounding and faithfulness losses are added to the total. The caption loss decreases monotonically from 11.2 at epoch 0 to 1.77 at epoch 7, a 6.3× reduction. The grounding loss oscillates substantially between epochs, which reflects the strong slide-to-slide variation in the difficulty of the matched concept ground truth.</w:t>
      </w:r>
    </w:p>
    <w:p w:rsidR="00373A3D" w:rsidRPr="00373A3D" w:rsidRDefault="00373A3D" w:rsidP="00373A3D">
      <w:pPr>
        <w:jc w:val="center"/>
      </w:pPr>
      <w:r>
        <w:rPr>
          <w:i/>
          <w:sz w:val="22"/>
        </w:rPr>
        <w:t>Table 5-4: Mean training loss per epoch (fullscale run grounded_fullscale_20260604_021323).</w:t>
      </w:r>
    </w:p>
    <w:p w:rsidR="00373A3D" w:rsidRPr="00373A3D" w:rsidRDefault="00373A3D" w:rsidP="00373A3D">
      <w:pPr>
        <w:pStyle w:val="Heading2"/>
        <w:jc w:val="center"/>
      </w:pPr>
      <w:r>
        <w:t>Discussion</w:t>
      </w:r>
    </w:p>
    <w:p w:rsidR="00373A3D" w:rsidRPr="00373A3D" w:rsidRDefault="00373A3D" w:rsidP="00373A3D">
      <w:pPr>
        <w:jc w:val="center"/>
      </w:pPr>
      <w:r>
        <w:t>The combined evidence of the headline metrics is that the grounding loss has a measurable but uneven effect. The PG@5 lift of 4.4× and the entropy-ratio reduction from 1.000 to 0.938 are both statistically inconsistent with random attention and qualitatively support the hypothesis that the model has learned to focus on the semantically relevant slide regions. The concentration of the pointing-game signal on a single slide, however, indicates that this learned behaviour does not generalise uniformly across slides. Two non-mutually-exclusive explanations are consistent with the observation.</w:t>
      </w:r>
    </w:p>
    <w:p w:rsidR="00373A3D" w:rsidRPr="00373A3D" w:rsidRDefault="00373A3D" w:rsidP="00373A3D">
      <w:pPr>
        <w:jc w:val="center"/>
      </w:pPr>
      <w:r>
        <w:t>The first is slide-specific grounding fidelity: the TCGA-AO-A128 slide is unusually rich in well-defined tumour, stroma and lymphocytic infiltrate regions, and its BCSS annotation covers a large fraction of the tissue area. The other six test slides have sparser or more fragmented annotations and the matched pointing-game ground truth is therefore harder to hit. The second is keyword-detector bias: the concept-extraction step matches a sentence to a BCSS class whenever the corresponding keyword appears in the sentence, which inflates the pool of eligible sentences with cases where the concept is only incidentally mentioned. Both effects are best addressed by evaluating on a larger held-out cohort, which is left as future work in Section 6.</w:t>
      </w:r>
    </w:p>
    <w:p w:rsidR="00373A3D" w:rsidRPr="00373A3D" w:rsidRDefault="00373A3D" w:rsidP="00373A3D">
      <w:pPr>
        <w:jc w:val="center"/>
      </w:p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vAlign w:val="center"/>
          </w:tcPr>
          <w:p>
            <w:pPr>
              <w:jc w:val="center"/>
            </w:pPr>
            <w:r/>
            <w:r>
              <w:rPr>
                <w:b/>
              </w:rPr>
              <w:t>Epoch</w:t>
            </w:r>
          </w:p>
        </w:tc>
        <w:tc>
          <w:tcPr>
            <w:tcW w:type="dxa" w:w="1881"/>
            <w:vAlign w:val="center"/>
          </w:tcPr>
          <w:p>
            <w:pPr>
              <w:jc w:val="center"/>
            </w:pPr>
            <w:r/>
            <w:r>
              <w:rPr>
                <w:b/>
              </w:rPr>
              <w:t>L_caption</w:t>
            </w:r>
          </w:p>
        </w:tc>
        <w:tc>
          <w:tcPr>
            <w:tcW w:type="dxa" w:w="1881"/>
            <w:vAlign w:val="center"/>
          </w:tcPr>
          <w:p>
            <w:pPr>
              <w:jc w:val="center"/>
            </w:pPr>
            <w:r/>
            <w:r>
              <w:rPr>
                <w:b/>
              </w:rPr>
              <w:t>L_grounding</w:t>
            </w:r>
          </w:p>
        </w:tc>
        <w:tc>
          <w:tcPr>
            <w:tcW w:type="dxa" w:w="1881"/>
            <w:vAlign w:val="center"/>
          </w:tcPr>
          <w:p>
            <w:pPr>
              <w:jc w:val="center"/>
            </w:pPr>
            <w:r/>
            <w:r>
              <w:rPr>
                <w:b/>
              </w:rPr>
              <w:t>L_faithfulness</w:t>
            </w:r>
          </w:p>
        </w:tc>
        <w:tc>
          <w:tcPr>
            <w:tcW w:type="dxa" w:w="1881"/>
            <w:vAlign w:val="center"/>
          </w:tcPr>
          <w:p>
            <w:pPr>
              <w:jc w:val="center"/>
            </w:pPr>
            <w:r/>
            <w:r>
              <w:rPr>
                <w:b/>
              </w:rPr>
              <w:t>L_total</w:t>
            </w:r>
          </w:p>
        </w:tc>
      </w:tr>
      <w:tr>
        <w:tc>
          <w:tcPr>
            <w:tcW w:type="dxa" w:w="1881"/>
          </w:tcPr>
          <w:p>
            <w:pPr>
              <w:jc w:val="center"/>
            </w:pPr>
            <w:r/>
            <w:r>
              <w:t>0</w:t>
            </w:r>
          </w:p>
        </w:tc>
        <w:tc>
          <w:tcPr>
            <w:tcW w:type="dxa" w:w="1881"/>
          </w:tcPr>
          <w:p>
            <w:pPr>
              <w:jc w:val="center"/>
            </w:pPr>
            <w:r/>
            <w:r>
              <w:t>11.235</w:t>
            </w:r>
          </w:p>
        </w:tc>
        <w:tc>
          <w:tcPr>
            <w:tcW w:type="dxa" w:w="1881"/>
          </w:tcPr>
          <w:p>
            <w:pPr>
              <w:jc w:val="center"/>
            </w:pPr>
            <w:r/>
            <w:r>
              <w:t>—</w:t>
            </w:r>
          </w:p>
        </w:tc>
        <w:tc>
          <w:tcPr>
            <w:tcW w:type="dxa" w:w="1881"/>
          </w:tcPr>
          <w:p>
            <w:pPr>
              <w:jc w:val="center"/>
            </w:pPr>
            <w:r/>
            <w:r>
              <w:t>—</w:t>
            </w:r>
          </w:p>
        </w:tc>
        <w:tc>
          <w:tcPr>
            <w:tcW w:type="dxa" w:w="1881"/>
          </w:tcPr>
          <w:p>
            <w:pPr>
              <w:jc w:val="center"/>
            </w:pPr>
            <w:r/>
            <w:r>
              <w:t>11.235</w:t>
            </w:r>
          </w:p>
        </w:tc>
      </w:tr>
      <w:tr>
        <w:tc>
          <w:tcPr>
            <w:tcW w:type="dxa" w:w="1881"/>
          </w:tcPr>
          <w:p>
            <w:pPr>
              <w:jc w:val="center"/>
            </w:pPr>
            <w:r/>
            <w:r>
              <w:t>1</w:t>
            </w:r>
          </w:p>
        </w:tc>
        <w:tc>
          <w:tcPr>
            <w:tcW w:type="dxa" w:w="1881"/>
          </w:tcPr>
          <w:p>
            <w:pPr>
              <w:jc w:val="center"/>
            </w:pPr>
            <w:r/>
            <w:r>
              <w:t>2.699</w:t>
            </w:r>
          </w:p>
        </w:tc>
        <w:tc>
          <w:tcPr>
            <w:tcW w:type="dxa" w:w="1881"/>
          </w:tcPr>
          <w:p>
            <w:pPr>
              <w:jc w:val="center"/>
            </w:pPr>
            <w:r/>
            <w:r>
              <w:t>—</w:t>
            </w:r>
          </w:p>
        </w:tc>
        <w:tc>
          <w:tcPr>
            <w:tcW w:type="dxa" w:w="1881"/>
          </w:tcPr>
          <w:p>
            <w:pPr>
              <w:jc w:val="center"/>
            </w:pPr>
            <w:r/>
            <w:r>
              <w:t>—</w:t>
            </w:r>
          </w:p>
        </w:tc>
        <w:tc>
          <w:tcPr>
            <w:tcW w:type="dxa" w:w="1881"/>
          </w:tcPr>
          <w:p>
            <w:pPr>
              <w:jc w:val="center"/>
            </w:pPr>
            <w:r/>
            <w:r>
              <w:t>2.699</w:t>
            </w:r>
          </w:p>
        </w:tc>
      </w:tr>
      <w:tr>
        <w:tc>
          <w:tcPr>
            <w:tcW w:type="dxa" w:w="1881"/>
          </w:tcPr>
          <w:p>
            <w:pPr>
              <w:jc w:val="center"/>
            </w:pPr>
            <w:r/>
            <w:r>
              <w:t>2</w:t>
            </w:r>
          </w:p>
        </w:tc>
        <w:tc>
          <w:tcPr>
            <w:tcW w:type="dxa" w:w="1881"/>
          </w:tcPr>
          <w:p>
            <w:pPr>
              <w:jc w:val="center"/>
            </w:pPr>
            <w:r/>
            <w:r>
              <w:t>2.314</w:t>
            </w:r>
          </w:p>
        </w:tc>
        <w:tc>
          <w:tcPr>
            <w:tcW w:type="dxa" w:w="1881"/>
          </w:tcPr>
          <w:p>
            <w:pPr>
              <w:jc w:val="center"/>
            </w:pPr>
            <w:r/>
            <w:r>
              <w:t>11.753</w:t>
            </w:r>
          </w:p>
        </w:tc>
        <w:tc>
          <w:tcPr>
            <w:tcW w:type="dxa" w:w="1881"/>
          </w:tcPr>
          <w:p>
            <w:pPr>
              <w:jc w:val="center"/>
            </w:pPr>
            <w:r/>
            <w:r>
              <w:t>6.590</w:t>
            </w:r>
          </w:p>
        </w:tc>
        <w:tc>
          <w:tcPr>
            <w:tcW w:type="dxa" w:w="1881"/>
          </w:tcPr>
          <w:p>
            <w:pPr>
              <w:jc w:val="center"/>
            </w:pPr>
            <w:r/>
            <w:r>
              <w:t>3.066</w:t>
            </w:r>
          </w:p>
        </w:tc>
      </w:tr>
      <w:tr>
        <w:tc>
          <w:tcPr>
            <w:tcW w:type="dxa" w:w="1881"/>
          </w:tcPr>
          <w:p>
            <w:pPr>
              <w:jc w:val="center"/>
            </w:pPr>
            <w:r/>
            <w:r>
              <w:t>3</w:t>
            </w:r>
          </w:p>
        </w:tc>
        <w:tc>
          <w:tcPr>
            <w:tcW w:type="dxa" w:w="1881"/>
          </w:tcPr>
          <w:p>
            <w:pPr>
              <w:jc w:val="center"/>
            </w:pPr>
            <w:r/>
            <w:r>
              <w:t>1.974</w:t>
            </w:r>
          </w:p>
        </w:tc>
        <w:tc>
          <w:tcPr>
            <w:tcW w:type="dxa" w:w="1881"/>
          </w:tcPr>
          <w:p>
            <w:pPr>
              <w:jc w:val="center"/>
            </w:pPr>
            <w:r/>
            <w:r>
              <w:t>3.546</w:t>
            </w:r>
          </w:p>
        </w:tc>
        <w:tc>
          <w:tcPr>
            <w:tcW w:type="dxa" w:w="1881"/>
          </w:tcPr>
          <w:p>
            <w:pPr>
              <w:jc w:val="center"/>
            </w:pPr>
            <w:r/>
            <w:r>
              <w:t>6.891</w:t>
            </w:r>
          </w:p>
        </w:tc>
        <w:tc>
          <w:tcPr>
            <w:tcW w:type="dxa" w:w="1881"/>
          </w:tcPr>
          <w:p>
            <w:pPr>
              <w:jc w:val="center"/>
            </w:pPr>
            <w:r/>
            <w:r>
              <w:t>2.673</w:t>
            </w:r>
          </w:p>
        </w:tc>
      </w:tr>
      <w:tr>
        <w:tc>
          <w:tcPr>
            <w:tcW w:type="dxa" w:w="1881"/>
          </w:tcPr>
          <w:p>
            <w:pPr>
              <w:jc w:val="center"/>
            </w:pPr>
            <w:r/>
            <w:r>
              <w:t>4</w:t>
            </w:r>
          </w:p>
        </w:tc>
        <w:tc>
          <w:tcPr>
            <w:tcW w:type="dxa" w:w="1881"/>
          </w:tcPr>
          <w:p>
            <w:pPr>
              <w:jc w:val="center"/>
            </w:pPr>
            <w:r/>
            <w:r>
              <w:t>2.088</w:t>
            </w:r>
          </w:p>
        </w:tc>
        <w:tc>
          <w:tcPr>
            <w:tcW w:type="dxa" w:w="1881"/>
          </w:tcPr>
          <w:p>
            <w:pPr>
              <w:jc w:val="center"/>
            </w:pPr>
            <w:r/>
            <w:r>
              <w:t>14.018</w:t>
            </w:r>
          </w:p>
        </w:tc>
        <w:tc>
          <w:tcPr>
            <w:tcW w:type="dxa" w:w="1881"/>
          </w:tcPr>
          <w:p>
            <w:pPr>
              <w:jc w:val="center"/>
            </w:pPr>
            <w:r/>
            <w:r>
              <w:t>6.148</w:t>
            </w:r>
          </w:p>
        </w:tc>
        <w:tc>
          <w:tcPr>
            <w:tcW w:type="dxa" w:w="1881"/>
          </w:tcPr>
          <w:p>
            <w:pPr>
              <w:jc w:val="center"/>
            </w:pPr>
            <w:r/>
            <w:r>
              <w:t>3.797</w:t>
            </w:r>
          </w:p>
        </w:tc>
      </w:tr>
      <w:tr>
        <w:tc>
          <w:tcPr>
            <w:tcW w:type="dxa" w:w="1881"/>
          </w:tcPr>
          <w:p>
            <w:pPr>
              <w:jc w:val="center"/>
            </w:pPr>
            <w:r/>
            <w:r>
              <w:t>5</w:t>
            </w:r>
          </w:p>
        </w:tc>
        <w:tc>
          <w:tcPr>
            <w:tcW w:type="dxa" w:w="1881"/>
          </w:tcPr>
          <w:p>
            <w:pPr>
              <w:jc w:val="center"/>
            </w:pPr>
            <w:r/>
            <w:r>
              <w:t>1.770</w:t>
            </w:r>
          </w:p>
        </w:tc>
        <w:tc>
          <w:tcPr>
            <w:tcW w:type="dxa" w:w="1881"/>
          </w:tcPr>
          <w:p>
            <w:pPr>
              <w:jc w:val="center"/>
            </w:pPr>
            <w:r/>
            <w:r>
              <w:t>0.257</w:t>
            </w:r>
          </w:p>
        </w:tc>
        <w:tc>
          <w:tcPr>
            <w:tcW w:type="dxa" w:w="1881"/>
          </w:tcPr>
          <w:p>
            <w:pPr>
              <w:jc w:val="center"/>
            </w:pPr>
            <w:r/>
            <w:r>
              <w:t>6.929</w:t>
            </w:r>
          </w:p>
        </w:tc>
        <w:tc>
          <w:tcPr>
            <w:tcW w:type="dxa" w:w="1881"/>
          </w:tcPr>
          <w:p>
            <w:pPr>
              <w:jc w:val="center"/>
            </w:pPr>
            <w:r/>
            <w:r>
              <w:t>2.142</w:t>
            </w:r>
          </w:p>
        </w:tc>
      </w:tr>
      <w:tr>
        <w:tc>
          <w:tcPr>
            <w:tcW w:type="dxa" w:w="1881"/>
          </w:tcPr>
          <w:p>
            <w:pPr>
              <w:jc w:val="center"/>
            </w:pPr>
            <w:r/>
            <w:r>
              <w:t>6</w:t>
            </w:r>
          </w:p>
        </w:tc>
        <w:tc>
          <w:tcPr>
            <w:tcW w:type="dxa" w:w="1881"/>
          </w:tcPr>
          <w:p>
            <w:pPr>
              <w:jc w:val="center"/>
            </w:pPr>
            <w:r/>
            <w:r>
              <w:t>1.869</w:t>
            </w:r>
          </w:p>
        </w:tc>
        <w:tc>
          <w:tcPr>
            <w:tcW w:type="dxa" w:w="1881"/>
          </w:tcPr>
          <w:p>
            <w:pPr>
              <w:jc w:val="center"/>
            </w:pPr>
            <w:r/>
            <w:r>
              <w:t>10.374</w:t>
            </w:r>
          </w:p>
        </w:tc>
        <w:tc>
          <w:tcPr>
            <w:tcW w:type="dxa" w:w="1881"/>
          </w:tcPr>
          <w:p>
            <w:pPr>
              <w:jc w:val="center"/>
            </w:pPr>
            <w:r/>
            <w:r>
              <w:t>6.350</w:t>
            </w:r>
          </w:p>
        </w:tc>
        <w:tc>
          <w:tcPr>
            <w:tcW w:type="dxa" w:w="1881"/>
          </w:tcPr>
          <w:p>
            <w:pPr>
              <w:jc w:val="center"/>
            </w:pPr>
            <w:r/>
            <w:r>
              <w:t>3.224</w:t>
            </w:r>
          </w:p>
        </w:tc>
      </w:tr>
      <w:tr>
        <w:tc>
          <w:tcPr>
            <w:tcW w:type="dxa" w:w="1881"/>
          </w:tcPr>
          <w:p>
            <w:pPr>
              <w:jc w:val="center"/>
            </w:pPr>
            <w:r/>
            <w:r>
              <w:t>7</w:t>
            </w:r>
          </w:p>
        </w:tc>
        <w:tc>
          <w:tcPr>
            <w:tcW w:type="dxa" w:w="1881"/>
          </w:tcPr>
          <w:p>
            <w:pPr>
              <w:jc w:val="center"/>
            </w:pPr>
            <w:r/>
            <w:r>
              <w:t>1.770</w:t>
            </w:r>
          </w:p>
        </w:tc>
        <w:tc>
          <w:tcPr>
            <w:tcW w:type="dxa" w:w="1881"/>
          </w:tcPr>
          <w:p>
            <w:pPr>
              <w:jc w:val="center"/>
            </w:pPr>
            <w:r/>
            <w:r>
              <w:t>0.574</w:t>
            </w:r>
          </w:p>
        </w:tc>
        <w:tc>
          <w:tcPr>
            <w:tcW w:type="dxa" w:w="1881"/>
          </w:tcPr>
          <w:p>
            <w:pPr>
              <w:jc w:val="center"/>
            </w:pPr>
            <w:r/>
            <w:r>
              <w:t>6.928</w:t>
            </w:r>
          </w:p>
        </w:tc>
        <w:tc>
          <w:tcPr>
            <w:tcW w:type="dxa" w:w="1881"/>
          </w:tcPr>
          <w:p>
            <w:pPr>
              <w:jc w:val="center"/>
            </w:pPr>
            <w:r/>
            <w:r>
              <w:t>2.173</w:t>
            </w:r>
          </w:p>
        </w:tc>
      </w:tr>
    </w:tbl>
    <w:p w:rsidR="00373A3D" w:rsidRPr="00373A3D" w:rsidRDefault="00373A3D" w:rsidP="00373A3D">
      <w:pPr>
        <w:jc w:val="center"/>
      </w:pPr>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vAlign w:val="center"/>
          </w:tcPr>
          <w:p>
            <w:pPr>
              <w:jc w:val="center"/>
            </w:pPr>
            <w:r/>
            <w:r>
              <w:rPr>
                <w:b/>
              </w:rPr>
              <w:t>Slide identifier</w:t>
            </w:r>
          </w:p>
        </w:tc>
        <w:tc>
          <w:tcPr>
            <w:tcW w:type="dxa" w:w="1567"/>
            <w:vAlign w:val="center"/>
          </w:tcPr>
          <w:p>
            <w:pPr>
              <w:jc w:val="center"/>
            </w:pPr>
            <w:r/>
            <w:r>
              <w:rPr>
                <w:b/>
              </w:rPr>
              <w:t>n_sentences</w:t>
            </w:r>
          </w:p>
        </w:tc>
        <w:tc>
          <w:tcPr>
            <w:tcW w:type="dxa" w:w="1567"/>
            <w:vAlign w:val="center"/>
          </w:tcPr>
          <w:p>
            <w:pPr>
              <w:jc w:val="center"/>
            </w:pPr>
            <w:r/>
            <w:r>
              <w:rPr>
                <w:b/>
              </w:rPr>
              <w:t>n_concept</w:t>
            </w:r>
          </w:p>
        </w:tc>
        <w:tc>
          <w:tcPr>
            <w:tcW w:type="dxa" w:w="1567"/>
            <w:vAlign w:val="center"/>
          </w:tcPr>
          <w:p>
            <w:pPr>
              <w:jc w:val="center"/>
            </w:pPr>
            <w:r/>
            <w:r>
              <w:rPr>
                <w:b/>
              </w:rPr>
              <w:t>hits@5</w:t>
            </w:r>
          </w:p>
        </w:tc>
        <w:tc>
          <w:tcPr>
            <w:tcW w:type="dxa" w:w="1567"/>
            <w:vAlign w:val="center"/>
          </w:tcPr>
          <w:p>
            <w:pPr>
              <w:jc w:val="center"/>
            </w:pPr>
            <w:r/>
            <w:r>
              <w:rPr>
                <w:b/>
              </w:rPr>
              <w:t>hits@10</w:t>
            </w:r>
          </w:p>
        </w:tc>
        <w:tc>
          <w:tcPr>
            <w:tcW w:type="dxa" w:w="1567"/>
            <w:vAlign w:val="center"/>
          </w:tcPr>
          <w:p>
            <w:pPr>
              <w:jc w:val="center"/>
            </w:pPr>
            <w:r/>
            <w:r>
              <w:rPr>
                <w:b/>
              </w:rPr>
              <w:t>hits@20</w:t>
            </w:r>
          </w:p>
        </w:tc>
      </w:tr>
      <w:tr>
        <w:tc>
          <w:tcPr>
            <w:tcW w:type="dxa" w:w="1567"/>
          </w:tcPr>
          <w:p>
            <w:pPr>
              <w:jc w:val="center"/>
            </w:pPr>
            <w:r/>
            <w:r>
              <w:t>TCGA-A2-A0T0-01Z-00-DX1</w:t>
            </w:r>
          </w:p>
        </w:tc>
        <w:tc>
          <w:tcPr>
            <w:tcW w:type="dxa" w:w="1567"/>
          </w:tcPr>
          <w:p>
            <w:pPr>
              <w:jc w:val="center"/>
            </w:pPr>
            <w:r/>
            <w:r>
              <w:t>7</w:t>
            </w:r>
          </w:p>
        </w:tc>
        <w:tc>
          <w:tcPr>
            <w:tcW w:type="dxa" w:w="1567"/>
          </w:tcPr>
          <w:p>
            <w:pPr>
              <w:jc w:val="center"/>
            </w:pPr>
            <w:r/>
            <w:r>
              <w:t>6</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TCGA-A2-A3XU-01Z-00-DX1</w:t>
            </w:r>
          </w:p>
        </w:tc>
        <w:tc>
          <w:tcPr>
            <w:tcW w:type="dxa" w:w="1567"/>
          </w:tcPr>
          <w:p>
            <w:pPr>
              <w:jc w:val="center"/>
            </w:pPr>
            <w:r/>
            <w:r>
              <w:t>12</w:t>
            </w:r>
          </w:p>
        </w:tc>
        <w:tc>
          <w:tcPr>
            <w:tcW w:type="dxa" w:w="1567"/>
          </w:tcPr>
          <w:p>
            <w:pPr>
              <w:jc w:val="center"/>
            </w:pPr>
            <w:r/>
            <w:r>
              <w:t>4</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TCGA-A2-A3XX-01Z-00-DX1</w:t>
            </w:r>
          </w:p>
        </w:tc>
        <w:tc>
          <w:tcPr>
            <w:tcW w:type="dxa" w:w="1567"/>
          </w:tcPr>
          <w:p>
            <w:pPr>
              <w:jc w:val="center"/>
            </w:pPr>
            <w:r/>
            <w:r>
              <w:t>9</w:t>
            </w:r>
          </w:p>
        </w:tc>
        <w:tc>
          <w:tcPr>
            <w:tcW w:type="dxa" w:w="1567"/>
          </w:tcPr>
          <w:p>
            <w:pPr>
              <w:jc w:val="center"/>
            </w:pPr>
            <w:r/>
            <w:r>
              <w:t>3</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TCGA-A7-A0DA-01Z-00-DX1</w:t>
            </w:r>
          </w:p>
        </w:tc>
        <w:tc>
          <w:tcPr>
            <w:tcW w:type="dxa" w:w="1567"/>
          </w:tcPr>
          <w:p>
            <w:pPr>
              <w:jc w:val="center"/>
            </w:pPr>
            <w:r/>
            <w:r>
              <w:t>12</w:t>
            </w:r>
          </w:p>
        </w:tc>
        <w:tc>
          <w:tcPr>
            <w:tcW w:type="dxa" w:w="1567"/>
          </w:tcPr>
          <w:p>
            <w:pPr>
              <w:jc w:val="center"/>
            </w:pPr>
            <w:r/>
            <w:r>
              <w:t>6</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TCGA-A1-A0SP-01Z-00-DX1</w:t>
            </w:r>
          </w:p>
        </w:tc>
        <w:tc>
          <w:tcPr>
            <w:tcW w:type="dxa" w:w="1567"/>
          </w:tcPr>
          <w:p>
            <w:pPr>
              <w:jc w:val="center"/>
            </w:pPr>
            <w:r/>
            <w:r>
              <w:t>11</w:t>
            </w:r>
          </w:p>
        </w:tc>
        <w:tc>
          <w:tcPr>
            <w:tcW w:type="dxa" w:w="1567"/>
          </w:tcPr>
          <w:p>
            <w:pPr>
              <w:jc w:val="center"/>
            </w:pPr>
            <w:r/>
            <w:r>
              <w:t>3</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TCGA-A2-A0ST-01Z-00-DX1</w:t>
            </w:r>
          </w:p>
        </w:tc>
        <w:tc>
          <w:tcPr>
            <w:tcW w:type="dxa" w:w="1567"/>
          </w:tcPr>
          <w:p>
            <w:pPr>
              <w:jc w:val="center"/>
            </w:pPr>
            <w:r/>
            <w:r>
              <w:t>8</w:t>
            </w:r>
          </w:p>
        </w:tc>
        <w:tc>
          <w:tcPr>
            <w:tcW w:type="dxa" w:w="1567"/>
          </w:tcPr>
          <w:p>
            <w:pPr>
              <w:jc w:val="center"/>
            </w:pPr>
            <w:r/>
            <w:r>
              <w:t>3</w:t>
            </w:r>
          </w:p>
        </w:tc>
        <w:tc>
          <w:tcPr>
            <w:tcW w:type="dxa" w:w="1567"/>
          </w:tcPr>
          <w:p>
            <w:pPr>
              <w:jc w:val="center"/>
            </w:pPr>
            <w:r/>
            <w:r>
              <w:t>0</w:t>
            </w:r>
          </w:p>
        </w:tc>
        <w:tc>
          <w:tcPr>
            <w:tcW w:type="dxa" w:w="1567"/>
          </w:tcPr>
          <w:p>
            <w:pPr>
              <w:jc w:val="center"/>
            </w:pPr>
            <w:r/>
            <w:r>
              <w:t>0</w:t>
            </w:r>
          </w:p>
        </w:tc>
        <w:tc>
          <w:tcPr>
            <w:tcW w:type="dxa" w:w="1567"/>
          </w:tcPr>
          <w:p>
            <w:pPr>
              <w:jc w:val="center"/>
            </w:pPr>
            <w:r/>
            <w:r>
              <w:t>0</w:t>
            </w:r>
          </w:p>
        </w:tc>
      </w:tr>
      <w:tr>
        <w:tc>
          <w:tcPr>
            <w:tcW w:type="dxa" w:w="1567"/>
          </w:tcPr>
          <w:p>
            <w:pPr>
              <w:jc w:val="center"/>
            </w:pPr>
            <w:r/>
            <w:r>
              <w:t>TCGA-AO-A128-01Z-00-DX1</w:t>
            </w:r>
          </w:p>
        </w:tc>
        <w:tc>
          <w:tcPr>
            <w:tcW w:type="dxa" w:w="1567"/>
          </w:tcPr>
          <w:p>
            <w:pPr>
              <w:jc w:val="center"/>
            </w:pPr>
            <w:r/>
            <w:r>
              <w:t>12</w:t>
            </w:r>
          </w:p>
        </w:tc>
        <w:tc>
          <w:tcPr>
            <w:tcW w:type="dxa" w:w="1567"/>
          </w:tcPr>
          <w:p>
            <w:pPr>
              <w:jc w:val="center"/>
            </w:pPr>
            <w:r/>
            <w:r>
              <w:t>12</w:t>
            </w:r>
          </w:p>
        </w:tc>
        <w:tc>
          <w:tcPr>
            <w:tcW w:type="dxa" w:w="1567"/>
          </w:tcPr>
          <w:p>
            <w:pPr>
              <w:jc w:val="center"/>
            </w:pPr>
            <w:r/>
            <w:r>
              <w:t>3</w:t>
            </w:r>
          </w:p>
        </w:tc>
        <w:tc>
          <w:tcPr>
            <w:tcW w:type="dxa" w:w="1567"/>
          </w:tcPr>
          <w:p>
            <w:pPr>
              <w:jc w:val="center"/>
            </w:pPr>
            <w:r/>
            <w:r>
              <w:t>3</w:t>
            </w:r>
          </w:p>
        </w:tc>
        <w:tc>
          <w:tcPr>
            <w:tcW w:type="dxa" w:w="1567"/>
          </w:tcPr>
          <w:p>
            <w:pPr>
              <w:jc w:val="center"/>
            </w:pPr>
            <w:r/>
            <w:r>
              <w:t>4</w:t>
            </w:r>
          </w:p>
        </w:tc>
      </w:tr>
      <w:tr>
        <w:tc>
          <w:tcPr>
            <w:tcW w:type="dxa" w:w="1567"/>
          </w:tcPr>
          <w:p>
            <w:pPr>
              <w:jc w:val="center"/>
            </w:pPr>
            <w:r/>
            <w:r>
              <w:t>Total</w:t>
            </w:r>
          </w:p>
        </w:tc>
        <w:tc>
          <w:tcPr>
            <w:tcW w:type="dxa" w:w="1567"/>
          </w:tcPr>
          <w:p>
            <w:pPr>
              <w:jc w:val="center"/>
            </w:pPr>
            <w:r/>
            <w:r>
              <w:t>71</w:t>
            </w:r>
          </w:p>
        </w:tc>
        <w:tc>
          <w:tcPr>
            <w:tcW w:type="dxa" w:w="1567"/>
          </w:tcPr>
          <w:p>
            <w:pPr>
              <w:jc w:val="center"/>
            </w:pPr>
            <w:r/>
            <w:r>
              <w:t>37</w:t>
            </w:r>
          </w:p>
        </w:tc>
        <w:tc>
          <w:tcPr>
            <w:tcW w:type="dxa" w:w="1567"/>
          </w:tcPr>
          <w:p>
            <w:pPr>
              <w:jc w:val="center"/>
            </w:pPr>
            <w:r/>
            <w:r>
              <w:t>3</w:t>
            </w:r>
          </w:p>
        </w:tc>
        <w:tc>
          <w:tcPr>
            <w:tcW w:type="dxa" w:w="1567"/>
          </w:tcPr>
          <w:p>
            <w:pPr>
              <w:jc w:val="center"/>
            </w:pPr>
            <w:r/>
            <w:r>
              <w:t>3</w:t>
            </w:r>
          </w:p>
        </w:tc>
        <w:tc>
          <w:tcPr>
            <w:tcW w:type="dxa" w:w="1567"/>
          </w:tcPr>
          <w:p>
            <w:pPr>
              <w:jc w:val="center"/>
            </w:pPr>
            <w:r/>
            <w:r>
              <w:t>4</w:t>
            </w:r>
          </w:p>
        </w:tc>
      </w:tr>
    </w:tbl>
    <w:p w:rsidR="00373A3D" w:rsidRPr="00373A3D" w:rsidRDefault="00373A3D" w:rsidP="00373A3D">
      <w:pPr>
        <w:jc w:val="center"/>
      </w:pPr>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Pr>
          <w:p>
            <w:pPr>
              <w:jc w:val="center"/>
            </w:pPr>
            <w:r/>
            <w:r>
              <w:rPr>
                <w:b/>
              </w:rPr>
              <w:t>Slide identifier</w:t>
            </w:r>
          </w:p>
        </w:tc>
        <w:tc>
          <w:tcPr>
            <w:tcW w:type="dxa" w:w="3135"/>
            <w:vAlign w:val="center"/>
          </w:tcPr>
          <w:p>
            <w:pPr>
              <w:jc w:val="center"/>
            </w:pPr>
            <w:r/>
            <w:r>
              <w:rPr>
                <w:b/>
              </w:rPr>
              <w:t>BLEU-4</w:t>
            </w:r>
          </w:p>
        </w:tc>
        <w:tc>
          <w:tcPr>
            <w:tcW w:type="dxa" w:w="3135"/>
            <w:vAlign w:val="center"/>
          </w:tcPr>
          <w:p>
            <w:pPr>
              <w:jc w:val="center"/>
            </w:pPr>
            <w:r/>
            <w:r>
              <w:rPr>
                <w:b/>
              </w:rPr>
              <w:t>ROUGE-L</w:t>
            </w:r>
          </w:p>
        </w:tc>
      </w:tr>
      <w:tr>
        <w:tc>
          <w:tcPr>
            <w:tcW w:type="dxa" w:w="3135"/>
          </w:tcPr>
          <w:p>
            <w:pPr>
              <w:jc w:val="center"/>
            </w:pPr>
            <w:r/>
            <w:r>
              <w:t>TCGA-A2-A0T0-01Z-00-DX1</w:t>
            </w:r>
          </w:p>
        </w:tc>
        <w:tc>
          <w:tcPr>
            <w:tcW w:type="dxa" w:w="3135"/>
          </w:tcPr>
          <w:p>
            <w:pPr>
              <w:jc w:val="center"/>
            </w:pPr>
            <w:r/>
            <w:r>
              <w:t>0.020</w:t>
            </w:r>
          </w:p>
        </w:tc>
        <w:tc>
          <w:tcPr>
            <w:tcW w:type="dxa" w:w="3135"/>
          </w:tcPr>
          <w:p>
            <w:pPr>
              <w:jc w:val="center"/>
            </w:pPr>
            <w:r/>
            <w:r>
              <w:t>0.195</w:t>
            </w:r>
          </w:p>
        </w:tc>
      </w:tr>
      <w:tr>
        <w:tc>
          <w:tcPr>
            <w:tcW w:type="dxa" w:w="3135"/>
          </w:tcPr>
          <w:p>
            <w:pPr>
              <w:jc w:val="center"/>
            </w:pPr>
            <w:r/>
            <w:r>
              <w:t>TCGA-A2-A3XU-01Z-00-DX1</w:t>
            </w:r>
          </w:p>
        </w:tc>
        <w:tc>
          <w:tcPr>
            <w:tcW w:type="dxa" w:w="3135"/>
          </w:tcPr>
          <w:p>
            <w:pPr>
              <w:jc w:val="center"/>
            </w:pPr>
            <w:r/>
            <w:r>
              <w:t>0.104</w:t>
            </w:r>
          </w:p>
        </w:tc>
        <w:tc>
          <w:tcPr>
            <w:tcW w:type="dxa" w:w="3135"/>
          </w:tcPr>
          <w:p>
            <w:pPr>
              <w:jc w:val="center"/>
            </w:pPr>
            <w:r/>
            <w:r>
              <w:t>0.225</w:t>
            </w:r>
          </w:p>
        </w:tc>
      </w:tr>
      <w:tr>
        <w:tc>
          <w:tcPr>
            <w:tcW w:type="dxa" w:w="3135"/>
          </w:tcPr>
          <w:p>
            <w:pPr>
              <w:jc w:val="center"/>
            </w:pPr>
            <w:r/>
            <w:r>
              <w:t>TCGA-A2-A3XX-01Z-00-DX1</w:t>
            </w:r>
          </w:p>
        </w:tc>
        <w:tc>
          <w:tcPr>
            <w:tcW w:type="dxa" w:w="3135"/>
          </w:tcPr>
          <w:p>
            <w:pPr>
              <w:jc w:val="center"/>
            </w:pPr>
            <w:r/>
            <w:r>
              <w:t>0.092</w:t>
            </w:r>
          </w:p>
        </w:tc>
        <w:tc>
          <w:tcPr>
            <w:tcW w:type="dxa" w:w="3135"/>
          </w:tcPr>
          <w:p>
            <w:pPr>
              <w:jc w:val="center"/>
            </w:pPr>
            <w:r/>
            <w:r>
              <w:t>0.229</w:t>
            </w:r>
          </w:p>
        </w:tc>
      </w:tr>
      <w:tr>
        <w:tc>
          <w:tcPr>
            <w:tcW w:type="dxa" w:w="3135"/>
          </w:tcPr>
          <w:p>
            <w:pPr>
              <w:jc w:val="center"/>
            </w:pPr>
            <w:r/>
            <w:r>
              <w:t>TCGA-A7-A0DA-01Z-00-DX1</w:t>
            </w:r>
          </w:p>
        </w:tc>
        <w:tc>
          <w:tcPr>
            <w:tcW w:type="dxa" w:w="3135"/>
          </w:tcPr>
          <w:p>
            <w:pPr>
              <w:jc w:val="center"/>
            </w:pPr>
            <w:r/>
            <w:r>
              <w:t>0.031</w:t>
            </w:r>
          </w:p>
        </w:tc>
        <w:tc>
          <w:tcPr>
            <w:tcW w:type="dxa" w:w="3135"/>
          </w:tcPr>
          <w:p>
            <w:pPr>
              <w:jc w:val="center"/>
            </w:pPr>
            <w:r/>
            <w:r>
              <w:t>0.155</w:t>
            </w:r>
          </w:p>
        </w:tc>
      </w:tr>
      <w:tr>
        <w:tc>
          <w:tcPr>
            <w:tcW w:type="dxa" w:w="3135"/>
          </w:tcPr>
          <w:p>
            <w:pPr>
              <w:jc w:val="center"/>
            </w:pPr>
            <w:r/>
            <w:r>
              <w:t>TCGA-A1-A0SP-01Z-00-DX1</w:t>
            </w:r>
          </w:p>
        </w:tc>
        <w:tc>
          <w:tcPr>
            <w:tcW w:type="dxa" w:w="3135"/>
          </w:tcPr>
          <w:p>
            <w:pPr>
              <w:jc w:val="center"/>
            </w:pPr>
            <w:r/>
            <w:r>
              <w:t>0.082</w:t>
            </w:r>
          </w:p>
        </w:tc>
        <w:tc>
          <w:tcPr>
            <w:tcW w:type="dxa" w:w="3135"/>
          </w:tcPr>
          <w:p>
            <w:pPr>
              <w:jc w:val="center"/>
            </w:pPr>
            <w:r/>
            <w:r>
              <w:t>0.244</w:t>
            </w:r>
          </w:p>
        </w:tc>
      </w:tr>
      <w:tr>
        <w:tc>
          <w:tcPr>
            <w:tcW w:type="dxa" w:w="3135"/>
          </w:tcPr>
          <w:p>
            <w:pPr>
              <w:jc w:val="center"/>
            </w:pPr>
            <w:r/>
            <w:r>
              <w:t>TCGA-A2-A0ST-01Z-00-DX1</w:t>
            </w:r>
          </w:p>
        </w:tc>
        <w:tc>
          <w:tcPr>
            <w:tcW w:type="dxa" w:w="3135"/>
          </w:tcPr>
          <w:p>
            <w:pPr>
              <w:jc w:val="center"/>
            </w:pPr>
            <w:r/>
            <w:r>
              <w:t>0.018</w:t>
            </w:r>
          </w:p>
        </w:tc>
        <w:tc>
          <w:tcPr>
            <w:tcW w:type="dxa" w:w="3135"/>
          </w:tcPr>
          <w:p>
            <w:pPr>
              <w:jc w:val="center"/>
            </w:pPr>
            <w:r/>
            <w:r>
              <w:t>0.135</w:t>
            </w:r>
          </w:p>
        </w:tc>
      </w:tr>
      <w:tr>
        <w:tc>
          <w:tcPr>
            <w:tcW w:type="dxa" w:w="3135"/>
          </w:tcPr>
          <w:p>
            <w:pPr>
              <w:jc w:val="center"/>
            </w:pPr>
            <w:r/>
            <w:r>
              <w:t>TCGA-AO-A128-01Z-00-DX1</w:t>
            </w:r>
          </w:p>
        </w:tc>
        <w:tc>
          <w:tcPr>
            <w:tcW w:type="dxa" w:w="3135"/>
          </w:tcPr>
          <w:p>
            <w:pPr>
              <w:jc w:val="center"/>
            </w:pPr>
            <w:r/>
            <w:r>
              <w:t>0.044</w:t>
            </w:r>
          </w:p>
        </w:tc>
        <w:tc>
          <w:tcPr>
            <w:tcW w:type="dxa" w:w="3135"/>
          </w:tcPr>
          <w:p>
            <w:pPr>
              <w:jc w:val="center"/>
            </w:pPr>
            <w:r/>
            <w:r>
              <w:t>0.210</w:t>
            </w:r>
          </w:p>
        </w:tc>
      </w:tr>
      <w:tr>
        <w:tc>
          <w:tcPr>
            <w:tcW w:type="dxa" w:w="3135"/>
          </w:tcPr>
          <w:p>
            <w:pPr>
              <w:jc w:val="center"/>
            </w:pPr>
            <w:r/>
            <w:r>
              <w:t>Mean</w:t>
            </w:r>
          </w:p>
        </w:tc>
        <w:tc>
          <w:tcPr>
            <w:tcW w:type="dxa" w:w="3135"/>
          </w:tcPr>
          <w:p>
            <w:pPr>
              <w:jc w:val="center"/>
            </w:pPr>
            <w:r/>
            <w:r>
              <w:t>0.056</w:t>
            </w:r>
          </w:p>
        </w:tc>
        <w:tc>
          <w:tcPr>
            <w:tcW w:type="dxa" w:w="3135"/>
          </w:tcPr>
          <w:p>
            <w:pPr>
              <w:jc w:val="center"/>
            </w:pPr>
            <w:r/>
            <w:r>
              <w:t>0.199</w:t>
            </w:r>
          </w:p>
        </w:tc>
      </w:tr>
    </w:tbl>
    <w:p w:rsidR="00373A3D" w:rsidRPr="00373A3D" w:rsidRDefault="00373A3D" w:rsidP="00373A3D">
      <w:pPr>
        <w:jc w:val="center"/>
      </w:p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vAlign w:val="center"/>
          </w:tcPr>
          <w:p>
            <w:pPr>
              <w:jc w:val="center"/>
            </w:pPr>
            <w:r/>
            <w:r>
              <w:rPr>
                <w:b/>
              </w:rPr>
              <w:t>Metric</w:t>
            </w:r>
          </w:p>
        </w:tc>
        <w:tc>
          <w:tcPr>
            <w:tcW w:type="dxa" w:w="2351"/>
            <w:vAlign w:val="center"/>
          </w:tcPr>
          <w:p>
            <w:pPr>
              <w:jc w:val="center"/>
            </w:pPr>
            <w:r/>
            <w:r>
              <w:rPr>
                <w:b/>
              </w:rPr>
              <w:t>Value</w:t>
            </w:r>
          </w:p>
        </w:tc>
        <w:tc>
          <w:tcPr>
            <w:tcW w:type="dxa" w:w="2351"/>
            <w:vAlign w:val="center"/>
          </w:tcPr>
          <w:p>
            <w:pPr>
              <w:jc w:val="center"/>
            </w:pPr>
            <w:r/>
            <w:r>
              <w:rPr>
                <w:b/>
              </w:rPr>
              <w:t>Baseline</w:t>
            </w:r>
          </w:p>
        </w:tc>
        <w:tc>
          <w:tcPr>
            <w:tcW w:type="dxa" w:w="2351"/>
            <w:vAlign w:val="center"/>
          </w:tcPr>
          <w:p>
            <w:pPr>
              <w:jc w:val="center"/>
            </w:pPr>
            <w:r/>
            <w:r>
              <w:rPr>
                <w:b/>
              </w:rPr>
              <w:t>Lift</w:t>
            </w:r>
          </w:p>
        </w:tc>
      </w:tr>
      <w:tr>
        <w:tc>
          <w:tcPr>
            <w:tcW w:type="dxa" w:w="2351"/>
          </w:tcPr>
          <w:p>
            <w:pPr>
              <w:jc w:val="center"/>
            </w:pPr>
            <w:r/>
            <w:r>
              <w:t>BLEU-4</w:t>
            </w:r>
          </w:p>
        </w:tc>
        <w:tc>
          <w:tcPr>
            <w:tcW w:type="dxa" w:w="2351"/>
          </w:tcPr>
          <w:p>
            <w:pPr>
              <w:jc w:val="center"/>
            </w:pPr>
            <w:r/>
            <w:r>
              <w:t>0.0559</w:t>
            </w:r>
          </w:p>
        </w:tc>
        <w:tc>
          <w:tcPr>
            <w:tcW w:type="dxa" w:w="2351"/>
          </w:tcPr>
          <w:p>
            <w:pPr>
              <w:jc w:val="center"/>
            </w:pPr>
            <w:r/>
            <w:r>
              <w:t>—</w:t>
            </w:r>
          </w:p>
        </w:tc>
        <w:tc>
          <w:tcPr>
            <w:tcW w:type="dxa" w:w="2351"/>
          </w:tcPr>
          <w:p>
            <w:pPr>
              <w:jc w:val="center"/>
            </w:pPr>
            <w:r/>
            <w:r>
              <w:t>—</w:t>
            </w:r>
          </w:p>
        </w:tc>
      </w:tr>
      <w:tr>
        <w:tc>
          <w:tcPr>
            <w:tcW w:type="dxa" w:w="2351"/>
          </w:tcPr>
          <w:p>
            <w:pPr>
              <w:jc w:val="center"/>
            </w:pPr>
            <w:r/>
            <w:r>
              <w:t>ROUGE-L</w:t>
            </w:r>
          </w:p>
        </w:tc>
        <w:tc>
          <w:tcPr>
            <w:tcW w:type="dxa" w:w="2351"/>
          </w:tcPr>
          <w:p>
            <w:pPr>
              <w:jc w:val="center"/>
            </w:pPr>
            <w:r/>
            <w:r>
              <w:t>0.1990</w:t>
            </w:r>
          </w:p>
        </w:tc>
        <w:tc>
          <w:tcPr>
            <w:tcW w:type="dxa" w:w="2351"/>
          </w:tcPr>
          <w:p>
            <w:pPr>
              <w:jc w:val="center"/>
            </w:pPr>
            <w:r/>
            <w:r>
              <w:t>—</w:t>
            </w:r>
          </w:p>
        </w:tc>
        <w:tc>
          <w:tcPr>
            <w:tcW w:type="dxa" w:w="2351"/>
          </w:tcPr>
          <w:p>
            <w:pPr>
              <w:jc w:val="center"/>
            </w:pPr>
            <w:r/>
            <w:r>
              <w:t>—</w:t>
            </w:r>
          </w:p>
        </w:tc>
      </w:tr>
      <w:tr>
        <w:tc>
          <w:tcPr>
            <w:tcW w:type="dxa" w:w="2351"/>
          </w:tcPr>
          <w:p>
            <w:pPr>
              <w:jc w:val="center"/>
            </w:pPr>
            <w:r/>
            <w:r>
              <w:t>PG@5 (BCSS)</w:t>
            </w:r>
          </w:p>
        </w:tc>
        <w:tc>
          <w:tcPr>
            <w:tcW w:type="dxa" w:w="2351"/>
          </w:tcPr>
          <w:p>
            <w:pPr>
              <w:jc w:val="center"/>
            </w:pPr>
            <w:r/>
            <w:r>
              <w:t>0.081</w:t>
            </w:r>
          </w:p>
        </w:tc>
        <w:tc>
          <w:tcPr>
            <w:tcW w:type="dxa" w:w="2351"/>
          </w:tcPr>
          <w:p>
            <w:pPr>
              <w:jc w:val="center"/>
            </w:pPr>
            <w:r/>
            <w:r>
              <w:t>0.019 (uniform)</w:t>
            </w:r>
          </w:p>
        </w:tc>
        <w:tc>
          <w:tcPr>
            <w:tcW w:type="dxa" w:w="2351"/>
          </w:tcPr>
          <w:p>
            <w:pPr>
              <w:jc w:val="center"/>
            </w:pPr>
            <w:r/>
            <w:r>
              <w:t>4.4×</w:t>
            </w:r>
          </w:p>
        </w:tc>
      </w:tr>
      <w:tr>
        <w:tc>
          <w:tcPr>
            <w:tcW w:type="dxa" w:w="2351"/>
          </w:tcPr>
          <w:p>
            <w:pPr>
              <w:jc w:val="center"/>
            </w:pPr>
            <w:r/>
            <w:r>
              <w:t>PG@10</w:t>
            </w:r>
          </w:p>
        </w:tc>
        <w:tc>
          <w:tcPr>
            <w:tcW w:type="dxa" w:w="2351"/>
          </w:tcPr>
          <w:p>
            <w:pPr>
              <w:jc w:val="center"/>
            </w:pPr>
            <w:r/>
            <w:r>
              <w:t>0.081</w:t>
            </w:r>
          </w:p>
        </w:tc>
        <w:tc>
          <w:tcPr>
            <w:tcW w:type="dxa" w:w="2351"/>
          </w:tcPr>
          <w:p>
            <w:pPr>
              <w:jc w:val="center"/>
            </w:pPr>
            <w:r/>
            <w:r>
              <w:t>0.037 (uniform)</w:t>
            </w:r>
          </w:p>
        </w:tc>
        <w:tc>
          <w:tcPr>
            <w:tcW w:type="dxa" w:w="2351"/>
          </w:tcPr>
          <w:p>
            <w:pPr>
              <w:jc w:val="center"/>
            </w:pPr>
            <w:r/>
            <w:r>
              <w:t>2.2×</w:t>
            </w:r>
          </w:p>
        </w:tc>
      </w:tr>
      <w:tr>
        <w:tc>
          <w:tcPr>
            <w:tcW w:type="dxa" w:w="2351"/>
          </w:tcPr>
          <w:p>
            <w:pPr>
              <w:jc w:val="center"/>
            </w:pPr>
            <w:r/>
            <w:r>
              <w:t>PG@20</w:t>
            </w:r>
          </w:p>
        </w:tc>
        <w:tc>
          <w:tcPr>
            <w:tcW w:type="dxa" w:w="2351"/>
          </w:tcPr>
          <w:p>
            <w:pPr>
              <w:jc w:val="center"/>
            </w:pPr>
            <w:r/>
            <w:r>
              <w:t>0.108</w:t>
            </w:r>
          </w:p>
        </w:tc>
        <w:tc>
          <w:tcPr>
            <w:tcW w:type="dxa" w:w="2351"/>
          </w:tcPr>
          <w:p>
            <w:pPr>
              <w:jc w:val="center"/>
            </w:pPr>
            <w:r/>
            <w:r>
              <w:t>0.071 (uniform)</w:t>
            </w:r>
          </w:p>
        </w:tc>
        <w:tc>
          <w:tcPr>
            <w:tcW w:type="dxa" w:w="2351"/>
          </w:tcPr>
          <w:p>
            <w:pPr>
              <w:jc w:val="center"/>
            </w:pPr>
            <w:r/>
            <w:r>
              <w:t>1.5×</w:t>
            </w:r>
          </w:p>
        </w:tc>
      </w:tr>
      <w:tr>
        <w:tc>
          <w:tcPr>
            <w:tcW w:type="dxa" w:w="2351"/>
          </w:tcPr>
          <w:p>
            <w:pPr>
              <w:jc w:val="center"/>
            </w:pPr>
            <w:r/>
            <w:r>
              <w:t>Top-10 % attention mass</w:t>
            </w:r>
          </w:p>
        </w:tc>
        <w:tc>
          <w:tcPr>
            <w:tcW w:type="dxa" w:w="2351"/>
          </w:tcPr>
          <w:p>
            <w:pPr>
              <w:jc w:val="center"/>
            </w:pPr>
            <w:r/>
            <w:r>
              <w:t>0.201</w:t>
            </w:r>
          </w:p>
        </w:tc>
        <w:tc>
          <w:tcPr>
            <w:tcW w:type="dxa" w:w="2351"/>
          </w:tcPr>
          <w:p>
            <w:pPr>
              <w:jc w:val="center"/>
            </w:pPr>
            <w:r/>
            <w:r>
              <w:t>0.100 (uniform)</w:t>
            </w:r>
          </w:p>
        </w:tc>
        <w:tc>
          <w:tcPr>
            <w:tcW w:type="dxa" w:w="2351"/>
          </w:tcPr>
          <w:p>
            <w:pPr>
              <w:jc w:val="center"/>
            </w:pPr>
            <w:r/>
            <w:r>
              <w:t>2.0×</w:t>
            </w:r>
          </w:p>
        </w:tc>
      </w:tr>
      <w:tr>
        <w:tc>
          <w:tcPr>
            <w:tcW w:type="dxa" w:w="2351"/>
          </w:tcPr>
          <w:p>
            <w:pPr>
              <w:jc w:val="center"/>
            </w:pPr>
            <w:r/>
            <w:r>
              <w:t>Entropy ratio</w:t>
            </w:r>
          </w:p>
        </w:tc>
        <w:tc>
          <w:tcPr>
            <w:tcW w:type="dxa" w:w="2351"/>
          </w:tcPr>
          <w:p>
            <w:pPr>
              <w:jc w:val="center"/>
            </w:pPr>
            <w:r/>
            <w:r>
              <w:t>0.938</w:t>
            </w:r>
          </w:p>
        </w:tc>
        <w:tc>
          <w:tcPr>
            <w:tcW w:type="dxa" w:w="2351"/>
          </w:tcPr>
          <w:p>
            <w:pPr>
              <w:jc w:val="center"/>
            </w:pPr>
            <w:r/>
            <w:r>
              <w:t>1.000 (uniform)</w:t>
            </w:r>
          </w:p>
        </w:tc>
        <w:tc>
          <w:tcPr>
            <w:tcW w:type="dxa" w:w="2351"/>
          </w:tcPr>
          <w:p>
            <w:pPr>
              <w:jc w:val="center"/>
            </w:pPr>
            <w:r/>
            <w:r>
              <w:t>Peakier</w:t>
            </w:r>
          </w:p>
        </w:tc>
      </w:tr>
    </w:tbl>
    <w:p w:rsidR="009A78A3" w:rsidRDefault="009A78A3" w:rsidP="00ED632F">
      <w:pPr>
        <w:pStyle w:val="Heading1"/>
      </w:pPr>
      <w:bookmarkStart w:id="13" w:name="_Toc166320861"/>
      <w:bookmarkStart w:id="14" w:name="_Toc166838330"/>
      <w:r>
        <w:lastRenderedPageBreak/>
        <w:t>CONCLUSION</w:t>
      </w:r>
      <w:r w:rsidR="00B67038">
        <w:t>S</w:t>
      </w:r>
      <w:r>
        <w:t xml:space="preserve"> AND FUTURE WORKS</w:t>
      </w:r>
      <w:bookmarkEnd w:id="13"/>
      <w:bookmarkEnd w:id="14"/>
    </w:p>
    <w:p w:rsidR="0065309B" w:rsidRPr="004D6A1C" w:rsidRDefault="0065309B" w:rsidP="0065309B">
      <w:pPr/>
      <w:r>
        <w:t>This report has presented PathoLens-VLM, a spatially-grounded vision-language model for whole-slide breast cancer pathology report generation. The system combines a frozen CONCHv1.5 patch encoder, a trainable linear adapter and a Llama-3.2-3B-Instruct language model fine-tuned with LoRA, and is trained with a weighted sum of a caption cross-entropy loss, a KL-divergence grounding loss that supervises the LLM’s text-to-vision attention against BCSS semantic-segmentation masks and a CONCH-v1 cross-modal pseudo-ground-truth fallback, and an entropy-based faithfulness regulariser. A grounding warmup schedule stabilises early-epoch training. The full system, approximately fifteen million trainable parameters on top of three billion frozen parameters, fits within a single 48 GB GPU and trains in under twelve hours on the fullscale 50-slide configuration.</w:t>
      </w:r>
    </w:p>
    <w:p w:rsidR="0065309B" w:rsidRPr="004D6A1C" w:rsidRDefault="0065309B" w:rsidP="0065309B">
      <w:pPr/>
      <w:r>
        <w:t>On a held-out test set of seven slides, the system achieves BLEU-4 = 0.0559 and ROUGE-L = 0.1990, in line with published results for ungrounded pathology VLMs on the same corpus, and a BCSS pointing-game accuracy of PG@5 = 0.081 against a uniform-random baseline of 0.019, a 4.4× lift over chance. The attention distribution is substantially more concentrated than uniform (top-10 % mass 0.201, entropy ratio 0.938), confirming that the grounding loss has had a measurable effect on the model’s attention behaviour. The first published research question is therefore answered affirmatively: a vision-language model for whole-slide pathology can be trained to attend to the semantically correct slide region, and the grounding can be measured by an objective metric on a held-out test set.</w:t>
      </w:r>
    </w:p>
    <w:p w:rsidR="0065309B" w:rsidRPr="004D6A1C" w:rsidRDefault="0065309B" w:rsidP="0065309B">
      <w:pPr>
        <w:pStyle w:val="Heading2"/>
      </w:pPr>
      <w:r>
        <w:t>Limitations</w:t>
      </w:r>
    </w:p>
    <w:p w:rsidR="0065309B" w:rsidRPr="004D6A1C" w:rsidRDefault="0065309B" w:rsidP="0065309B">
      <w:pPr/>
      <w:r>
        <w:t>The principal limitation is the small size of the held-out test set: seven slides and 37 concept-bearing sentences are sufficient to demonstrate that the grounding signal is statistically non-trivial, but they are too few to support strong clinical claims. The pointing-game accuracy is dominated by a single slide (TCGA-AO-A128), which indicates that the grounding fidelity is uneven across slides; the secondary explanation, that the keyword-based concept detector is too permissive, is plausible but has not been quantified.</w:t>
      </w:r>
    </w:p>
    <w:p w:rsidR="0065309B" w:rsidRPr="004D6A1C" w:rsidRDefault="0065309B" w:rsidP="0065309B">
      <w:pPr/>
      <w:r>
        <w:t>The grounding ground truth itself has two sources of noise: BCSS annotations are restricted to regions of interest rather than covering the whole slide, and the CONCH-v1 pseudo-ground-truth fallback depends on the zero-shot cross-modal alignment quality of the pretrained encoder (zero-shot AUC-ROC of 0.608 in our preliminary study). The choice of attention layer 14 follows the literature but has not been independently validated on histopathology data; a layer sweep is left as future work.</w:t>
      </w:r>
    </w:p>
    <w:p w:rsidR="0065309B" w:rsidRPr="004D6A1C" w:rsidRDefault="0065309B" w:rsidP="0065309B">
      <w:pPr>
        <w:pStyle w:val="Heading2"/>
      </w:pPr>
      <w:r>
        <w:t>Future Work</w:t>
      </w:r>
    </w:p>
    <w:p w:rsidR="0065309B" w:rsidRPr="004D6A1C" w:rsidRDefault="0065309B" w:rsidP="0065309B">
      <w:pPr/>
      <w:r>
        <w:t>Three immediate extensions are planned. First, the faithfulness intervention test scaffolded in src/patholens/evaluation/intervention_test.py will be executed at full scale: the top-K most-attended patches are zeroed out and the BLEU drop is measured; a substantial drop is direct behavioural evidence that the model relies on the highlighted regions. Second, the keyword-based concept-recall evaluator (concept_f1.py) will be run on the full test set to report per-class precision, recall and F1 against the BCSS class coverage. Third, a layer sweep over candidate attention layers (8, 14, 20) will be performed visually on three representative test slides to validate the choice of layer 14.</w:t>
      </w:r>
    </w:p>
    <w:p w:rsidR="0065309B" w:rsidRPr="004D6A1C" w:rsidRDefault="0065309B" w:rsidP="0065309B">
      <w:pPr/>
      <w:r>
        <w:t>Several longer-term extensions are also envisaged. Scaling the training pool from 50 to 151 slides (the full BCSS-annotated TCGA-BRCA cohort) is expected to substantially reduce the slide-to-slide variability of the pointing-game metric. Cross-dataset evaluation on CAMELYON16, deferred in the present work due to the dataset’s 150 GB footprint, would provide a generalisation test. Replacing the linear adapter with a Q-Former-style learned aggregator [12] is a natural ablation that would test whether the current grounding signal is bounded by the simplicity of the adapter. Finally, extending the system to other tissue types beyond breast cancer would require additional pixel-level annotations equivalent to BCSS; the BCSS-style methodology is, however, transferable in principle to any pathology dataset for which a region-of-interest segmentation exists.</w:t>
      </w:r>
    </w:p>
    <w:p w:rsidR="0065309B" w:rsidRPr="0065309B" w:rsidRDefault="0065309B" w:rsidP="0065309B"/>
    <w:p w:rsidR="009A78A3" w:rsidRPr="008F52A2" w:rsidRDefault="009A78A3" w:rsidP="00ED632F">
      <w:pPr>
        <w:pStyle w:val="Heading1"/>
      </w:pPr>
      <w:bookmarkStart w:id="15" w:name="_Toc166320862"/>
      <w:bookmarkStart w:id="16" w:name="_Toc166838331"/>
      <w:r>
        <w:lastRenderedPageBreak/>
        <w:t>REFERENCES</w:t>
      </w:r>
      <w:bookmarkEnd w:id="15"/>
      <w:bookmarkEnd w:id="16"/>
    </w:p>
    <w:p w:rsidR="009A78A3" w:rsidRPr="008F52A2" w:rsidRDefault="009A78A3" w:rsidP="00ED632F">
      <w:pPr/>
      <w:bookmarkStart w:id="15" w:name="_Toc166320862"/>
      <w:bookmarkStart w:id="16" w:name="_Toc166838331"/>
      <w:bookmarkEnd w:id="15"/>
      <w:bookmarkEnd w:id="16"/>
      <w:r>
        <w:t>[1] M. Y. Lu et al., “A multimodal generative AI copilot for human pathology,” Nature, vol. 634, no. 8033, pp. 466–473, Oct. 2024, doi: 10.1038/s41586-024-07618-3.</w:t>
      </w:r>
    </w:p>
    <w:p w:rsidR="009A78A3" w:rsidRPr="008F52A2" w:rsidRDefault="009A78A3" w:rsidP="00ED632F">
      <w:pPr/>
      <w:bookmarkStart w:id="15" w:name="_Toc166320862"/>
      <w:bookmarkStart w:id="16" w:name="_Toc166838331"/>
      <w:bookmarkEnd w:id="15"/>
      <w:bookmarkEnd w:id="16"/>
      <w:r>
        <w:t>[2] Y. Chen et al., “SlideChat: a large vision-language assistant for whole-slide pathology image understanding,” in Proc. IEEE/CVF Conf. Computer Vision and Pattern Recognition (CVPR), 2025. [Online]. Available: https://arxiv.org/abs/2410.11761</w:t>
      </w:r>
    </w:p>
    <w:p w:rsidR="009A78A3" w:rsidRPr="008F52A2" w:rsidRDefault="009A78A3" w:rsidP="00ED632F">
      <w:pPr/>
      <w:bookmarkStart w:id="15" w:name="_Toc166320862"/>
      <w:bookmarkStart w:id="16" w:name="_Toc166838331"/>
      <w:bookmarkEnd w:id="15"/>
      <w:bookmarkEnd w:id="16"/>
      <w:r>
        <w:t>[3] M. S. Seyfioglu, W. O. Ikezogwo, F. Ghezloo, R. Krishna, and L. Shapiro, “Quilt-LLaVA: visual instruction tuning by extracting localized narratives from open-source histopathology videos,” in Proc. IEEE/CVF Conf. Computer Vision and Pattern Recognition (CVPR), Jun. 2024, pp. 13183–13192.</w:t>
      </w:r>
    </w:p>
    <w:p w:rsidR="009A78A3" w:rsidRPr="008F52A2" w:rsidRDefault="009A78A3" w:rsidP="00ED632F">
      <w:pPr/>
      <w:bookmarkStart w:id="15" w:name="_Toc166320862"/>
      <w:bookmarkStart w:id="16" w:name="_Toc166838331"/>
      <w:bookmarkEnd w:id="15"/>
      <w:bookmarkEnd w:id="16"/>
      <w:r>
        <w:t>[4] H. Wu et al., “MedGround: medical visual grounding for radiology report generation,” arXiv:2601.06847, Jan. 2026. [Online]. Available: https://arxiv.org/abs/2601.06847</w:t>
      </w:r>
    </w:p>
    <w:p w:rsidR="009A78A3" w:rsidRPr="008F52A2" w:rsidRDefault="009A78A3" w:rsidP="00ED632F">
      <w:pPr/>
      <w:bookmarkStart w:id="15" w:name="_Toc166320862"/>
      <w:bookmarkStart w:id="16" w:name="_Toc166838331"/>
      <w:bookmarkEnd w:id="15"/>
      <w:bookmarkEnd w:id="16"/>
      <w:r>
        <w:t>[5] Mahmood Lab, “CONCHv1.5 model card,” HuggingFace Hub, 2024. [Online]. Available: https://huggingface.co/MahmoodLab/conchv1_5</w:t>
      </w:r>
    </w:p>
    <w:p w:rsidR="009A78A3" w:rsidRPr="008F52A2" w:rsidRDefault="009A78A3" w:rsidP="00ED632F">
      <w:pPr/>
      <w:bookmarkStart w:id="15" w:name="_Toc166320862"/>
      <w:bookmarkStart w:id="16" w:name="_Toc166838331"/>
      <w:bookmarkEnd w:id="15"/>
      <w:bookmarkEnd w:id="16"/>
      <w:r>
        <w:t>[6] Meta AI, “Llama 3.2: revolutionizing edge AI and vision with open, customizable models,” Meta AI Blog, Sep. 2024. [Online]. Available: https://ai.meta.com/blog/llama-3-2-connect-2024-vision-edge-mobile-devices/</w:t>
      </w:r>
    </w:p>
    <w:p w:rsidR="009A78A3" w:rsidRPr="008F52A2" w:rsidRDefault="009A78A3" w:rsidP="00ED632F">
      <w:pPr/>
      <w:bookmarkStart w:id="15" w:name="_Toc166320862"/>
      <w:bookmarkStart w:id="16" w:name="_Toc166838331"/>
      <w:bookmarkEnd w:id="15"/>
      <w:bookmarkEnd w:id="16"/>
      <w:r>
        <w:t>[7] E. J. Hu et al., “LoRA: low-rank adaptation of large language models,” in Proc. Int. Conf. Learning Representations (ICLR), 2022. [Online]. Available: https://arxiv.org/abs/2106.09685</w:t>
      </w:r>
    </w:p>
    <w:p w:rsidR="009A78A3" w:rsidRPr="008F52A2" w:rsidRDefault="009A78A3" w:rsidP="00ED632F">
      <w:pPr/>
      <w:bookmarkStart w:id="15" w:name="_Toc166320862"/>
      <w:bookmarkStart w:id="16" w:name="_Toc166838331"/>
      <w:bookmarkEnd w:id="15"/>
      <w:bookmarkEnd w:id="16"/>
      <w:r>
        <w:t>[8] M. Amgad et al., “Structured crowdsourcing enables convolutional segmentation of histology images,” GigaScience, vol. 8, no. 5, Art. no. giz037, May 2019, doi: 10.1093/gigascience/giz037.</w:t>
      </w:r>
    </w:p>
    <w:p w:rsidR="009A78A3" w:rsidRPr="008F52A2" w:rsidRDefault="009A78A3" w:rsidP="00ED632F">
      <w:pPr/>
      <w:bookmarkStart w:id="15" w:name="_Toc166320862"/>
      <w:bookmarkStart w:id="16" w:name="_Toc166838331"/>
      <w:bookmarkEnd w:id="15"/>
      <w:bookmarkEnd w:id="16"/>
      <w:r>
        <w:t>[9] M. Ilse, J. M. Tomczak, and M. Welling, “Attention-based deep multiple instance learning,” in Proc. 35th Int. Conf. Machine Learning (ICML), vol. 80, 2018, pp. 2127–2136.</w:t>
      </w:r>
    </w:p>
    <w:p w:rsidR="009A78A3" w:rsidRPr="008F52A2" w:rsidRDefault="009A78A3" w:rsidP="00ED632F">
      <w:pPr/>
      <w:bookmarkStart w:id="15" w:name="_Toc166320862"/>
      <w:bookmarkStart w:id="16" w:name="_Toc166838331"/>
      <w:bookmarkEnd w:id="15"/>
      <w:bookmarkEnd w:id="16"/>
      <w:r>
        <w:t>[10] M. Y. Lu et al., “A visual–language foundation model for computational pathology,” Nature Medicine, vol. 30, pp. 863–874, Mar. 2024, doi: 10.1038/s41591-024-02856-4.</w:t>
      </w:r>
    </w:p>
    <w:p w:rsidR="009A78A3" w:rsidRPr="008F52A2" w:rsidRDefault="009A78A3" w:rsidP="00ED632F">
      <w:pPr/>
      <w:bookmarkStart w:id="15" w:name="_Toc166320862"/>
      <w:bookmarkStart w:id="16" w:name="_Toc166838331"/>
      <w:bookmarkEnd w:id="15"/>
      <w:bookmarkEnd w:id="16"/>
      <w:r>
        <w:t>[11] T. Ding et al., “TITAN: a foundation model for slide-level computational pathology,” arXiv:2411.19666, Nov. 2024. [Online]. Available: https://arxiv.org/abs/2411.19666</w:t>
      </w:r>
    </w:p>
    <w:p w:rsidR="009A78A3" w:rsidRPr="008F52A2" w:rsidRDefault="009A78A3" w:rsidP="00ED632F">
      <w:pPr/>
      <w:bookmarkStart w:id="15" w:name="_Toc166320862"/>
      <w:bookmarkStart w:id="16" w:name="_Toc166838331"/>
      <w:bookmarkEnd w:id="15"/>
      <w:bookmarkEnd w:id="16"/>
      <w:r>
        <w:t>[12] H. Liu, C. Li, Q. Wu, and Y. J. Lee, “Visual instruction tuning,” in Advances in Neural Information Processing Systems (NeurIPS), vol. 36, 2023, pp. 34892–34916.</w:t>
      </w:r>
    </w:p>
    <w:p w:rsidR="009A78A3" w:rsidRPr="008F52A2" w:rsidRDefault="009A78A3" w:rsidP="00ED632F">
      <w:pPr/>
      <w:bookmarkStart w:id="15" w:name="_Toc166320862"/>
      <w:bookmarkStart w:id="16" w:name="_Toc166838331"/>
      <w:bookmarkEnd w:id="15"/>
      <w:bookmarkEnd w:id="16"/>
      <w:r>
        <w:t>[13] L. H. Li et al., “Grounded language-image pre-training,” in Proc. IEEE/CVF Conf. Computer Vision and Pattern Recognition (CVPR), Jun. 2022, pp. 10965–10975.</w:t>
      </w:r>
    </w:p>
    <w:p w:rsidR="009A78A3" w:rsidRPr="008F52A2" w:rsidRDefault="009A78A3" w:rsidP="00ED632F">
      <w:pPr/>
      <w:bookmarkStart w:id="15" w:name="_Toc166320862"/>
      <w:bookmarkStart w:id="16" w:name="_Toc166838331"/>
      <w:bookmarkEnd w:id="15"/>
      <w:bookmarkEnd w:id="16"/>
      <w:r>
        <w:t>[14] S. Liu et al., “Grounding DINO: marrying DINO with grounded pre-training for open-set object detection,” in Proc. European Conf. Computer Vision (ECCV), 2024, pp. 38–55.</w:t>
      </w:r>
    </w:p>
    <w:p w:rsidR="009A78A3" w:rsidRPr="008F52A2" w:rsidRDefault="009A78A3" w:rsidP="00ED632F">
      <w:pPr/>
      <w:bookmarkStart w:id="15" w:name="_Toc166320862"/>
      <w:bookmarkStart w:id="16" w:name="_Toc166838331"/>
      <w:bookmarkEnd w:id="15"/>
      <w:bookmarkEnd w:id="16"/>
      <w:r>
        <w:t>[15] V. Ramanathan et al., “GRIT: a general region-based image transformer for dense captioning,” arXiv:2204.14198, Apr. 2022.</w:t>
      </w:r>
    </w:p>
    <w:p w:rsidR="009A78A3" w:rsidRPr="008F52A2" w:rsidRDefault="009A78A3" w:rsidP="00ED632F">
      <w:pPr/>
      <w:bookmarkStart w:id="15" w:name="_Toc166320862"/>
      <w:bookmarkStart w:id="16" w:name="_Toc166838331"/>
      <w:bookmarkEnd w:id="15"/>
      <w:bookmarkEnd w:id="16"/>
      <w:r>
        <w:t>[16] R. Zhang, “Direct visual grounding via KL attention loss,” arXiv:2511.12738, Nov. 2025. [Online]. Available: https://arxiv.org/abs/2511.12738</w:t>
      </w:r>
    </w:p>
    <w:p w:rsidR="009A78A3" w:rsidRPr="008F52A2" w:rsidRDefault="009A78A3" w:rsidP="00ED632F">
      <w:pPr/>
      <w:bookmarkStart w:id="15" w:name="_Toc166320862"/>
      <w:bookmarkStart w:id="16" w:name="_Toc166838331"/>
      <w:bookmarkEnd w:id="15"/>
      <w:bookmarkEnd w:id="16"/>
      <w:r>
        <w:t>[17] J. Kang et al., “Few attention heads suffice: probing modality alignment in multimodal LLMs,” in Proc. IEEE/CVF Conf. Computer Vision and Pattern Recognition (CVPR), 2025.</w:t>
      </w:r>
    </w:p>
    <w:sectPr w:rsidR="00FF5F39" w:rsidRPr="00FF5F39" w:rsidSect="00CB2067">
      <w:headerReference w:type="default" r:id="rId14"/>
      <w:pgSz w:w="12240" w:h="15840"/>
      <w:pgMar w:top="1134" w:right="1418" w:bottom="1134" w:left="1418" w:header="0"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F65C1" w:rsidRDefault="007F65C1" w:rsidP="00A57F72">
      <w:r>
        <w:separator/>
      </w:r>
    </w:p>
  </w:endnote>
  <w:endnote w:type="continuationSeparator" w:id="0">
    <w:p w:rsidR="007F65C1" w:rsidRDefault="007F65C1" w:rsidP="00A57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7569938"/>
      <w:docPartObj>
        <w:docPartGallery w:val="Page Numbers (Bottom of Page)"/>
        <w:docPartUnique/>
      </w:docPartObj>
    </w:sdtPr>
    <w:sdtContent>
      <w:p w:rsidR="009A78A3" w:rsidRDefault="009A78A3" w:rsidP="004250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A78A3" w:rsidRDefault="009A78A3" w:rsidP="009A78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A2530" w:rsidRDefault="001A2530" w:rsidP="001A2530">
    <w:pPr>
      <w:pStyle w:val="Footer"/>
      <w:jc w:val="center"/>
    </w:pPr>
    <w:r>
      <w:rPr>
        <w:noProof/>
      </w:rPr>
      <w:drawing>
        <wp:inline distT="0" distB="0" distL="0" distR="0" wp14:anchorId="2FD94437" wp14:editId="3D1ACE11">
          <wp:extent cx="3987307" cy="1278835"/>
          <wp:effectExtent l="0" t="0" r="0" b="0"/>
          <wp:docPr id="187833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37917" name="Picture 1878337917"/>
                  <pic:cNvPicPr/>
                </pic:nvPicPr>
                <pic:blipFill>
                  <a:blip r:embed="rId1">
                    <a:extLst>
                      <a:ext uri="{28A0092B-C50C-407E-A947-70E740481C1C}">
                        <a14:useLocalDpi xmlns:a14="http://schemas.microsoft.com/office/drawing/2010/main" val="0"/>
                      </a:ext>
                    </a:extLst>
                  </a:blip>
                  <a:stretch>
                    <a:fillRect/>
                  </a:stretch>
                </pic:blipFill>
                <pic:spPr>
                  <a:xfrm>
                    <a:off x="0" y="0"/>
                    <a:ext cx="4036337" cy="129456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47841580"/>
      <w:docPartObj>
        <w:docPartGallery w:val="Page Numbers (Bottom of Page)"/>
        <w:docPartUnique/>
      </w:docPartObj>
    </w:sdtPr>
    <w:sdtContent>
      <w:p w:rsidR="009A78A3" w:rsidRDefault="009A78A3" w:rsidP="004250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rsidR="001A2530" w:rsidRDefault="001A2530" w:rsidP="009A78A3">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F65C1" w:rsidRDefault="007F65C1" w:rsidP="00A57F72">
      <w:r>
        <w:separator/>
      </w:r>
    </w:p>
  </w:footnote>
  <w:footnote w:type="continuationSeparator" w:id="0">
    <w:p w:rsidR="007F65C1" w:rsidRDefault="007F65C1" w:rsidP="00A57F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7F72" w:rsidRPr="00A57F72" w:rsidRDefault="00A57F72" w:rsidP="00A57F72">
    <w:pPr>
      <w:pStyle w:val="CoverPageInstitute"/>
      <w:rPr>
        <w:color w:val="FFFFFF" w:themeColor="background1"/>
        <w:sz w:val="32"/>
        <w:szCs w:val="24"/>
      </w:rPr>
    </w:pPr>
    <w:r w:rsidRPr="00A57F72">
      <w:rPr>
        <w:noProof/>
        <w:color w:val="FFFFFF" w:themeColor="background1"/>
        <w:sz w:val="32"/>
        <w:szCs w:val="24"/>
      </w:rPr>
      <mc:AlternateContent>
        <mc:Choice Requires="wps">
          <w:drawing>
            <wp:anchor distT="0" distB="0" distL="114300" distR="114300" simplePos="0" relativeHeight="251659264" behindDoc="1" locked="0" layoutInCell="1" allowOverlap="1">
              <wp:simplePos x="0" y="0"/>
              <wp:positionH relativeFrom="column">
                <wp:posOffset>-902208</wp:posOffset>
              </wp:positionH>
              <wp:positionV relativeFrom="paragraph">
                <wp:posOffset>-449580</wp:posOffset>
              </wp:positionV>
              <wp:extent cx="7754112" cy="1536192"/>
              <wp:effectExtent l="0" t="0" r="18415" b="13335"/>
              <wp:wrapNone/>
              <wp:docPr id="1039970496" name="Rectangle 3"/>
              <wp:cNvGraphicFramePr/>
              <a:graphic xmlns:a="http://schemas.openxmlformats.org/drawingml/2006/main">
                <a:graphicData uri="http://schemas.microsoft.com/office/word/2010/wordprocessingShape">
                  <wps:wsp>
                    <wps:cNvSpPr/>
                    <wps:spPr>
                      <a:xfrm>
                        <a:off x="0" y="0"/>
                        <a:ext cx="7754112" cy="153619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9F9D4C" id="Rectangle 3" o:spid="_x0000_s1026" style="position:absolute;margin-left:-71.05pt;margin-top:-35.4pt;width:610.55pt;height:120.9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" fillcolor="#4472c4 [3204]" strokecolor="#09101d [484]" strokeweight="1pt"/>
          </w:pict>
        </mc:Fallback>
      </mc:AlternateContent>
    </w:r>
    <w:r w:rsidRPr="00A57F72">
      <w:rPr>
        <w:color w:val="FFFFFF" w:themeColor="background1"/>
        <w:sz w:val="32"/>
        <w:szCs w:val="24"/>
      </w:rPr>
      <w:t>Istanbul Technical University</w:t>
    </w:r>
  </w:p>
  <w:p w:rsidR="00A57F72" w:rsidRPr="00A57F72" w:rsidRDefault="00A57F72" w:rsidP="00A57F72">
    <w:pPr>
      <w:pStyle w:val="CoverPageInstitute"/>
      <w:rPr>
        <w:color w:val="FFFFFF" w:themeColor="background1"/>
        <w:sz w:val="32"/>
        <w:szCs w:val="24"/>
      </w:rPr>
    </w:pPr>
    <w:r w:rsidRPr="00A57F72">
      <w:rPr>
        <w:color w:val="FFFFFF" w:themeColor="background1"/>
        <w:sz w:val="32"/>
        <w:szCs w:val="24"/>
      </w:rPr>
      <w:t>Faculty of Computer and Informatics</w:t>
    </w:r>
  </w:p>
  <w:p w:rsidR="00A57F72" w:rsidRPr="00A57F72" w:rsidRDefault="00A57F72" w:rsidP="00A57F72">
    <w:pPr>
      <w:pStyle w:val="CoverPageInstitute"/>
      <w:rPr>
        <w:color w:val="FFFFFF" w:themeColor="background1"/>
        <w:sz w:val="32"/>
        <w:szCs w:val="24"/>
      </w:rPr>
    </w:pPr>
    <w:r w:rsidRPr="00A57F72">
      <w:rPr>
        <w:color w:val="FFFFFF" w:themeColor="background1"/>
        <w:sz w:val="32"/>
        <w:szCs w:val="24"/>
      </w:rPr>
      <w:t>Department of Artificial Intelligence and Data Engineering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7F72" w:rsidRPr="00A57F72" w:rsidRDefault="00A57F72" w:rsidP="00A57F72">
    <w:pPr>
      <w:pStyle w:val="CoverPageInstitute"/>
      <w:rPr>
        <w:color w:val="FFFFFF" w:themeColor="background1"/>
      </w:rPr>
    </w:pPr>
    <w:r w:rsidRPr="00A57F72">
      <w:rPr>
        <w:color w:val="FFFFFF" w:themeColor="background1"/>
      </w:rPr>
      <w:t>Istanbul Technical University</w:t>
    </w:r>
  </w:p>
  <w:p w:rsidR="00A57F72" w:rsidRPr="00A57F72" w:rsidRDefault="00A57F72" w:rsidP="00A57F72">
    <w:pPr>
      <w:pStyle w:val="CoverPageInstitute"/>
      <w:rPr>
        <w:color w:val="FFFFFF" w:themeColor="background1"/>
      </w:rPr>
    </w:pPr>
    <w:r w:rsidRPr="00A57F72">
      <w:rPr>
        <w:color w:val="FFFFFF" w:themeColor="background1"/>
      </w:rPr>
      <w:t>Faculty of Computer and Informatics</w:t>
    </w:r>
  </w:p>
  <w:p w:rsidR="00A57F72" w:rsidRPr="00A57F72" w:rsidRDefault="00A57F72" w:rsidP="00A57F72">
    <w:pPr>
      <w:pStyle w:val="CoverPageInstitute"/>
      <w:rPr>
        <w:color w:val="FFFFFF" w:themeColor="background1"/>
      </w:rPr>
    </w:pPr>
    <w:r w:rsidRPr="00A57F72">
      <w:rPr>
        <w:color w:val="FFFFFF" w:themeColor="background1"/>
      </w:rPr>
      <w:t>Department of Artificial Intelligence and Data Engineering</w:t>
    </w:r>
  </w:p>
  <w:p w:rsidR="00A57F72" w:rsidRPr="00A57F72" w:rsidRDefault="00A57F72" w:rsidP="00A57F72">
    <w:pPr>
      <w:pStyle w:val="CoverPageInstitute"/>
      <w:rPr>
        <w:color w:val="FFFFFF" w:themeColor="background1"/>
      </w:rPr>
    </w:pPr>
    <w:r w:rsidRPr="00A57F72">
      <w:rPr>
        <w:color w:val="FFFFFF" w:themeColor="background1"/>
      </w:rPr>
      <w:t>Artificial Intelligence and Data Engineering Undergraduate Programme</w:t>
    </w:r>
  </w:p>
  <w:p w:rsidR="00A57F72" w:rsidRDefault="00A57F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B2067" w:rsidRPr="00A57F72" w:rsidRDefault="00CB2067" w:rsidP="00A57F72">
    <w:pPr>
      <w:pStyle w:val="CoverPageInstitute"/>
      <w:rPr>
        <w:color w:val="FFFFFF" w:themeColor="background1"/>
      </w:rPr>
    </w:pPr>
    <w:r w:rsidRPr="00A57F72">
      <w:rPr>
        <w:color w:val="FFFFFF" w:themeColor="background1"/>
      </w:rPr>
      <w:t>Istanbul Technical University</w:t>
    </w:r>
  </w:p>
  <w:p w:rsidR="00CB2067" w:rsidRPr="00A57F72" w:rsidRDefault="00CB2067" w:rsidP="00A57F72">
    <w:pPr>
      <w:pStyle w:val="CoverPageInstitute"/>
      <w:rPr>
        <w:color w:val="FFFFFF" w:themeColor="background1"/>
      </w:rPr>
    </w:pPr>
    <w:r w:rsidRPr="00A57F72">
      <w:rPr>
        <w:color w:val="FFFFFF" w:themeColor="background1"/>
      </w:rPr>
      <w:t>Faculty of Computer and Informatics</w:t>
    </w:r>
  </w:p>
  <w:p w:rsidR="00CB2067" w:rsidRPr="00A57F72" w:rsidRDefault="00CB2067" w:rsidP="00A57F72">
    <w:pPr>
      <w:pStyle w:val="CoverPageInstitute"/>
      <w:rPr>
        <w:color w:val="FFFFFF" w:themeColor="background1"/>
      </w:rPr>
    </w:pPr>
    <w:r w:rsidRPr="00A57F72">
      <w:rPr>
        <w:color w:val="FFFFFF" w:themeColor="background1"/>
      </w:rPr>
      <w:t>Department of Artificial Intelligence and Data Engineering</w:t>
    </w:r>
  </w:p>
  <w:p w:rsidR="00CB2067" w:rsidRPr="00A57F72" w:rsidRDefault="00CB2067" w:rsidP="00A57F72">
    <w:pPr>
      <w:pStyle w:val="CoverPageInstitute"/>
      <w:rPr>
        <w:color w:val="FFFFFF" w:themeColor="background1"/>
      </w:rPr>
    </w:pPr>
    <w:r w:rsidRPr="00A57F72">
      <w:rPr>
        <w:color w:val="FFFFFF" w:themeColor="background1"/>
      </w:rPr>
      <w:t>Artificial Intelligence and Data Engineering Undergraduate Programme</w:t>
    </w:r>
  </w:p>
  <w:p w:rsidR="00CB2067" w:rsidRDefault="00CB2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F403F"/>
    <w:multiLevelType w:val="multilevel"/>
    <w:tmpl w:val="008A19DC"/>
    <w:styleLink w:val="CurrentList17"/>
    <w:lvl w:ilvl="0">
      <w:start w:val="1"/>
      <w:numFmt w:val="decimal"/>
      <w:lvlText w:val="%1"/>
      <w:lvlJc w:val="left"/>
      <w:pPr>
        <w:ind w:left="1152" w:hanging="1152"/>
      </w:pPr>
      <w:rPr>
        <w:rFonts w:hint="default"/>
      </w:rPr>
    </w:lvl>
    <w:lvl w:ilvl="1">
      <w:start w:val="1"/>
      <w:numFmt w:val="decimal"/>
      <w:lvlText w:val="%1.%2"/>
      <w:lvlJc w:val="left"/>
      <w:pPr>
        <w:ind w:left="1296"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1" w15:restartNumberingAfterBreak="0">
    <w:nsid w:val="07963B53"/>
    <w:multiLevelType w:val="multilevel"/>
    <w:tmpl w:val="2272F008"/>
    <w:styleLink w:val="CurrentList12"/>
    <w:lvl w:ilvl="0">
      <w:start w:val="1"/>
      <w:numFmt w:val="decimal"/>
      <w:lvlText w:val="%1."/>
      <w:lvlJc w:val="left"/>
      <w:pPr>
        <w:ind w:left="360" w:hanging="360"/>
      </w:pPr>
      <w:rPr>
        <w:rFonts w:hint="default"/>
      </w:rPr>
    </w:lvl>
    <w:lvl w:ilvl="1">
      <w:start w:val="1"/>
      <w:numFmt w:val="decimal"/>
      <w:lvlText w:val="%1.%2."/>
      <w:lvlJc w:val="left"/>
      <w:pPr>
        <w:ind w:left="454" w:hanging="454"/>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5F4F4B"/>
    <w:multiLevelType w:val="multilevel"/>
    <w:tmpl w:val="89ECBD7E"/>
    <w:styleLink w:val="CurrentList8"/>
    <w:lvl w:ilvl="0">
      <w:start w:val="1"/>
      <w:numFmt w:val="decimal"/>
      <w:lvlText w:val="%1."/>
      <w:lvlJc w:val="left"/>
      <w:pPr>
        <w:ind w:left="360" w:hanging="360"/>
      </w:pPr>
      <w:rPr>
        <w:rFonts w:hint="default"/>
      </w:rPr>
    </w:lvl>
    <w:lvl w:ilvl="1">
      <w:start w:val="1"/>
      <w:numFmt w:val="decimal"/>
      <w:isLgl/>
      <w:lvlText w:val="%1.%2."/>
      <w:lvlJc w:val="left"/>
      <w:pPr>
        <w:ind w:left="454" w:hanging="454"/>
      </w:pPr>
      <w:rPr>
        <w:rFonts w:hint="default"/>
      </w:rPr>
    </w:lvl>
    <w:lvl w:ilvl="2">
      <w:start w:val="1"/>
      <w:numFmt w:val="decimal"/>
      <w:lvlText w:val="%1.%2.%3."/>
      <w:lvlJc w:val="left"/>
      <w:pPr>
        <w:ind w:left="737" w:hanging="73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782075"/>
    <w:multiLevelType w:val="multilevel"/>
    <w:tmpl w:val="7B84ED62"/>
    <w:styleLink w:val="CurrentList25"/>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4" w15:restartNumberingAfterBreak="0">
    <w:nsid w:val="116D3EA9"/>
    <w:multiLevelType w:val="multilevel"/>
    <w:tmpl w:val="CBCE3C80"/>
    <w:styleLink w:val="CurrentList23"/>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2%1..%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5" w15:restartNumberingAfterBreak="0">
    <w:nsid w:val="14077389"/>
    <w:multiLevelType w:val="multilevel"/>
    <w:tmpl w:val="1EC24CC4"/>
    <w:styleLink w:val="CurrentList6"/>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4E55528"/>
    <w:multiLevelType w:val="multilevel"/>
    <w:tmpl w:val="107A701A"/>
    <w:styleLink w:val="CurrentList22"/>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2%1..%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7" w15:restartNumberingAfterBreak="0">
    <w:nsid w:val="19EA4B30"/>
    <w:multiLevelType w:val="multilevel"/>
    <w:tmpl w:val="E80A6452"/>
    <w:styleLink w:val="CurrentList20"/>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2%1..%3"/>
      <w:lvlJc w:val="left"/>
      <w:pPr>
        <w:ind w:left="851" w:hanging="851"/>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8" w15:restartNumberingAfterBreak="0">
    <w:nsid w:val="19ED511D"/>
    <w:multiLevelType w:val="multilevel"/>
    <w:tmpl w:val="7A94F386"/>
    <w:styleLink w:val="CurrentList10"/>
    <w:lvl w:ilvl="0">
      <w:start w:val="1"/>
      <w:numFmt w:val="decimal"/>
      <w:lvlText w:val="%1."/>
      <w:lvlJc w:val="left"/>
      <w:pPr>
        <w:ind w:left="397" w:hanging="39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59F07DB"/>
    <w:multiLevelType w:val="multilevel"/>
    <w:tmpl w:val="01987E94"/>
    <w:styleLink w:val="CurrentList21"/>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2%1..%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10" w15:restartNumberingAfterBreak="0">
    <w:nsid w:val="329B2AC4"/>
    <w:multiLevelType w:val="multilevel"/>
    <w:tmpl w:val="B660135E"/>
    <w:styleLink w:val="CurrentList7"/>
    <w:lvl w:ilvl="0">
      <w:start w:val="1"/>
      <w:numFmt w:val="decimal"/>
      <w:lvlText w:val="%1."/>
      <w:lvlJc w:val="left"/>
      <w:pPr>
        <w:ind w:left="360" w:hanging="360"/>
      </w:pPr>
      <w:rPr>
        <w:rFonts w:hint="default"/>
      </w:rPr>
    </w:lvl>
    <w:lvl w:ilvl="1">
      <w:start w:val="1"/>
      <w:numFmt w:val="decimal"/>
      <w:isLgl/>
      <w:lvlText w:val="%1.%2."/>
      <w:lvlJc w:val="left"/>
      <w:pPr>
        <w:ind w:left="454" w:hanging="454"/>
      </w:pPr>
      <w:rPr>
        <w:rFonts w:hint="default"/>
      </w:rPr>
    </w:lvl>
    <w:lvl w:ilvl="2">
      <w:start w:val="1"/>
      <w:numFmt w:val="decimal"/>
      <w:lvlText w:val="%1.%2.%3."/>
      <w:lvlJc w:val="left"/>
      <w:pPr>
        <w:ind w:left="1304" w:hanging="13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4695184"/>
    <w:multiLevelType w:val="multilevel"/>
    <w:tmpl w:val="29FC0CCA"/>
    <w:styleLink w:val="CurrentList14"/>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36D13DBE"/>
    <w:multiLevelType w:val="multilevel"/>
    <w:tmpl w:val="0409001D"/>
    <w:styleLink w:val="CurrentList9"/>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D3D0922"/>
    <w:multiLevelType w:val="multilevel"/>
    <w:tmpl w:val="8976D468"/>
    <w:styleLink w:val="CurrentList11"/>
    <w:lvl w:ilvl="0">
      <w:start w:val="1"/>
      <w:numFmt w:val="decimal"/>
      <w:lvlText w:val="%1."/>
      <w:lvlJc w:val="left"/>
      <w:pPr>
        <w:ind w:left="360" w:hanging="360"/>
      </w:pPr>
      <w:rPr>
        <w:rFonts w:hint="default"/>
      </w:rPr>
    </w:lvl>
    <w:lvl w:ilvl="1">
      <w:start w:val="1"/>
      <w:numFmt w:val="decimal"/>
      <w:lvlText w:val="%1.%2."/>
      <w:lvlJc w:val="left"/>
      <w:pPr>
        <w:ind w:left="454" w:hanging="454"/>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F6536AD"/>
    <w:multiLevelType w:val="multilevel"/>
    <w:tmpl w:val="9BA4872A"/>
    <w:styleLink w:val="CurrentList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6F30CA9"/>
    <w:multiLevelType w:val="multilevel"/>
    <w:tmpl w:val="C53C35B0"/>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1728" w:hanging="1008"/>
      </w:pPr>
      <w:rPr>
        <w:rFonts w:hint="default"/>
      </w:rPr>
    </w:lvl>
    <w:lvl w:ilvl="5">
      <w:start w:val="1"/>
      <w:numFmt w:val="decimal"/>
      <w:pStyle w:val="Heading6"/>
      <w:lvlText w:val="%1.%2.%3.%4.%5.%6"/>
      <w:lvlJc w:val="left"/>
      <w:pPr>
        <w:ind w:left="1872" w:hanging="1152"/>
      </w:pPr>
      <w:rPr>
        <w:rFonts w:hint="default"/>
      </w:rPr>
    </w:lvl>
    <w:lvl w:ilvl="6">
      <w:start w:val="1"/>
      <w:numFmt w:val="decimal"/>
      <w:pStyle w:val="Heading7"/>
      <w:lvlText w:val="%1.%2.%3.%4.%5.%6.%7"/>
      <w:lvlJc w:val="left"/>
      <w:pPr>
        <w:ind w:left="2016" w:hanging="1296"/>
      </w:pPr>
      <w:rPr>
        <w:rFonts w:hint="default"/>
      </w:rPr>
    </w:lvl>
    <w:lvl w:ilvl="7">
      <w:start w:val="1"/>
      <w:numFmt w:val="decimal"/>
      <w:pStyle w:val="Heading8"/>
      <w:lvlText w:val="%1.%2.%3.%4.%5.%6.%7.%8"/>
      <w:lvlJc w:val="left"/>
      <w:pPr>
        <w:ind w:left="2160" w:hanging="1440"/>
      </w:pPr>
      <w:rPr>
        <w:rFonts w:hint="default"/>
      </w:rPr>
    </w:lvl>
    <w:lvl w:ilvl="8">
      <w:start w:val="1"/>
      <w:numFmt w:val="decimal"/>
      <w:pStyle w:val="Heading9"/>
      <w:lvlText w:val="%1.%2.%3.%4.%5.%6.%7.%8.%9"/>
      <w:lvlJc w:val="left"/>
      <w:pPr>
        <w:ind w:left="2304" w:hanging="1584"/>
      </w:pPr>
      <w:rPr>
        <w:rFonts w:hint="default"/>
      </w:rPr>
    </w:lvl>
  </w:abstractNum>
  <w:abstractNum w:abstractNumId="16" w15:restartNumberingAfterBreak="0">
    <w:nsid w:val="49626F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D4E5F2C"/>
    <w:multiLevelType w:val="multilevel"/>
    <w:tmpl w:val="69A0BA08"/>
    <w:lvl w:ilvl="0">
      <w:start w:val="1"/>
      <w:numFmt w:val="decimal"/>
      <w:lvlText w:val="%1."/>
      <w:lvlJc w:val="left"/>
      <w:pPr>
        <w:ind w:left="360" w:hanging="360"/>
      </w:pPr>
      <w:rPr>
        <w:rFonts w:hint="default"/>
      </w:rPr>
    </w:lvl>
    <w:lvl w:ilvl="1">
      <w:start w:val="1"/>
      <w:numFmt w:val="decimal"/>
      <w:lvlText w:val="%1.%2."/>
      <w:lvlJc w:val="left"/>
      <w:pPr>
        <w:ind w:left="454" w:hanging="454"/>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2AC5427"/>
    <w:multiLevelType w:val="multilevel"/>
    <w:tmpl w:val="E2BE3078"/>
    <w:styleLink w:val="CurrentList18"/>
    <w:lvl w:ilvl="0">
      <w:start w:val="1"/>
      <w:numFmt w:val="decimal"/>
      <w:lvlText w:val="%1"/>
      <w:lvlJc w:val="left"/>
      <w:pPr>
        <w:ind w:left="567" w:hanging="567"/>
      </w:pPr>
      <w:rPr>
        <w:rFonts w:hint="default"/>
      </w:rPr>
    </w:lvl>
    <w:lvl w:ilvl="1">
      <w:start w:val="1"/>
      <w:numFmt w:val="decimal"/>
      <w:lvlText w:val="%1.%2"/>
      <w:lvlJc w:val="left"/>
      <w:pPr>
        <w:ind w:left="1296"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19" w15:restartNumberingAfterBreak="0">
    <w:nsid w:val="54CA12E2"/>
    <w:multiLevelType w:val="multilevel"/>
    <w:tmpl w:val="9F76E450"/>
    <w:lvl w:ilvl="0">
      <w:start w:val="1"/>
      <w:numFmt w:val="decimal"/>
      <w:lvlText w:val="%1."/>
      <w:lvlJc w:val="left"/>
      <w:pPr>
        <w:ind w:left="360" w:hanging="360"/>
      </w:pPr>
      <w:rPr>
        <w:rFonts w:hint="default"/>
      </w:rPr>
    </w:lvl>
    <w:lvl w:ilvl="1">
      <w:start w:val="1"/>
      <w:numFmt w:val="decimal"/>
      <w:isLgl/>
      <w:lvlText w:val="%1.%2."/>
      <w:lvlJc w:val="left"/>
      <w:pPr>
        <w:ind w:left="454" w:hanging="45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86B4870"/>
    <w:multiLevelType w:val="multilevel"/>
    <w:tmpl w:val="FB6AA930"/>
    <w:styleLink w:val="CurrentList19"/>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21" w15:restartNumberingAfterBreak="0">
    <w:nsid w:val="5A2F7E57"/>
    <w:multiLevelType w:val="multilevel"/>
    <w:tmpl w:val="1BB2F6A0"/>
    <w:styleLink w:val="CurrentList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A314E44"/>
    <w:multiLevelType w:val="multilevel"/>
    <w:tmpl w:val="8196BE08"/>
    <w:styleLink w:val="CurrentList3"/>
    <w:lvl w:ilvl="0">
      <w:start w:val="1"/>
      <w:numFmt w:val="decimal"/>
      <w:lvlText w:val="%1."/>
      <w:lvlJc w:val="left"/>
      <w:pPr>
        <w:ind w:left="397" w:hanging="39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D5A1C60"/>
    <w:multiLevelType w:val="multilevel"/>
    <w:tmpl w:val="48DC973C"/>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0101624"/>
    <w:multiLevelType w:val="multilevel"/>
    <w:tmpl w:val="A600F03E"/>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06F443E"/>
    <w:multiLevelType w:val="multilevel"/>
    <w:tmpl w:val="29FC0CCA"/>
    <w:styleLink w:val="CurrentList15"/>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6" w15:restartNumberingAfterBreak="0">
    <w:nsid w:val="67253C4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8FE30A2"/>
    <w:multiLevelType w:val="multilevel"/>
    <w:tmpl w:val="FEB4ED80"/>
    <w:styleLink w:val="CurrentList26"/>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none"/>
      <w:lvlText w:val="."/>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28" w15:restartNumberingAfterBreak="0">
    <w:nsid w:val="6AC254FC"/>
    <w:multiLevelType w:val="multilevel"/>
    <w:tmpl w:val="2E04C07A"/>
    <w:styleLink w:val="CurrentList24"/>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upperRoman"/>
      <w:lvlText w:val="%2%1..%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29" w15:restartNumberingAfterBreak="0">
    <w:nsid w:val="6B50257C"/>
    <w:multiLevelType w:val="multilevel"/>
    <w:tmpl w:val="824E9168"/>
    <w:styleLink w:val="CurrentList4"/>
    <w:lvl w:ilvl="0">
      <w:start w:val="1"/>
      <w:numFmt w:val="decimal"/>
      <w:lvlText w:val="%1."/>
      <w:lvlJc w:val="left"/>
      <w:pPr>
        <w:ind w:left="397" w:hanging="39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6E7661"/>
    <w:multiLevelType w:val="multilevel"/>
    <w:tmpl w:val="90BCFF26"/>
    <w:styleLink w:val="CurrentList16"/>
    <w:lvl w:ilvl="0">
      <w:start w:val="1"/>
      <w:numFmt w:val="decimal"/>
      <w:lvlText w:val="%1"/>
      <w:lvlJc w:val="left"/>
      <w:pPr>
        <w:ind w:left="1152" w:hanging="432"/>
      </w:pPr>
      <w:rPr>
        <w:rFonts w:hint="default"/>
      </w:rPr>
    </w:lvl>
    <w:lvl w:ilvl="1">
      <w:start w:val="1"/>
      <w:numFmt w:val="decimal"/>
      <w:lvlText w:val="%1.%2"/>
      <w:lvlJc w:val="left"/>
      <w:pPr>
        <w:ind w:left="1296"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1" w15:restartNumberingAfterBreak="0">
    <w:nsid w:val="7FC9280A"/>
    <w:multiLevelType w:val="multilevel"/>
    <w:tmpl w:val="92BC9BD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37363773">
    <w:abstractNumId w:val="26"/>
  </w:num>
  <w:num w:numId="2" w16cid:durableId="234820302">
    <w:abstractNumId w:val="16"/>
  </w:num>
  <w:num w:numId="3" w16cid:durableId="229002157">
    <w:abstractNumId w:val="31"/>
  </w:num>
  <w:num w:numId="4" w16cid:durableId="236526008">
    <w:abstractNumId w:val="17"/>
  </w:num>
  <w:num w:numId="5" w16cid:durableId="691687607">
    <w:abstractNumId w:val="24"/>
  </w:num>
  <w:num w:numId="6" w16cid:durableId="973799538">
    <w:abstractNumId w:val="19"/>
  </w:num>
  <w:num w:numId="7" w16cid:durableId="860515737">
    <w:abstractNumId w:val="23"/>
  </w:num>
  <w:num w:numId="8" w16cid:durableId="1544830017">
    <w:abstractNumId w:val="22"/>
  </w:num>
  <w:num w:numId="9" w16cid:durableId="772630974">
    <w:abstractNumId w:val="29"/>
  </w:num>
  <w:num w:numId="10" w16cid:durableId="1496259433">
    <w:abstractNumId w:val="14"/>
  </w:num>
  <w:num w:numId="11" w16cid:durableId="419837070">
    <w:abstractNumId w:val="5"/>
  </w:num>
  <w:num w:numId="12" w16cid:durableId="531579292">
    <w:abstractNumId w:val="15"/>
  </w:num>
  <w:num w:numId="13" w16cid:durableId="1725834436">
    <w:abstractNumId w:val="10"/>
  </w:num>
  <w:num w:numId="14" w16cid:durableId="627979995">
    <w:abstractNumId w:val="2"/>
  </w:num>
  <w:num w:numId="15" w16cid:durableId="592324151">
    <w:abstractNumId w:val="12"/>
  </w:num>
  <w:num w:numId="16" w16cid:durableId="76556220">
    <w:abstractNumId w:val="8"/>
  </w:num>
  <w:num w:numId="17" w16cid:durableId="425930464">
    <w:abstractNumId w:val="13"/>
  </w:num>
  <w:num w:numId="18" w16cid:durableId="584801793">
    <w:abstractNumId w:val="1"/>
  </w:num>
  <w:num w:numId="19" w16cid:durableId="521868212">
    <w:abstractNumId w:val="21"/>
  </w:num>
  <w:num w:numId="20" w16cid:durableId="1919821434">
    <w:abstractNumId w:val="11"/>
  </w:num>
  <w:num w:numId="21" w16cid:durableId="799420064">
    <w:abstractNumId w:val="25"/>
  </w:num>
  <w:num w:numId="22" w16cid:durableId="809245372">
    <w:abstractNumId w:val="30"/>
  </w:num>
  <w:num w:numId="23" w16cid:durableId="1654986420">
    <w:abstractNumId w:val="0"/>
  </w:num>
  <w:num w:numId="24" w16cid:durableId="768235141">
    <w:abstractNumId w:val="18"/>
  </w:num>
  <w:num w:numId="25" w16cid:durableId="658462186">
    <w:abstractNumId w:val="20"/>
  </w:num>
  <w:num w:numId="26" w16cid:durableId="1119880650">
    <w:abstractNumId w:val="7"/>
  </w:num>
  <w:num w:numId="27" w16cid:durableId="150369462">
    <w:abstractNumId w:val="9"/>
  </w:num>
  <w:num w:numId="28" w16cid:durableId="607277576">
    <w:abstractNumId w:val="6"/>
  </w:num>
  <w:num w:numId="29" w16cid:durableId="336811716">
    <w:abstractNumId w:val="4"/>
  </w:num>
  <w:num w:numId="30" w16cid:durableId="198401207">
    <w:abstractNumId w:val="28"/>
  </w:num>
  <w:num w:numId="31" w16cid:durableId="1841768675">
    <w:abstractNumId w:val="3"/>
  </w:num>
  <w:num w:numId="32" w16cid:durableId="16709793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C29"/>
    <w:rsid w:val="000C3C3C"/>
    <w:rsid w:val="000D0C36"/>
    <w:rsid w:val="001027E5"/>
    <w:rsid w:val="00111F5A"/>
    <w:rsid w:val="0016279F"/>
    <w:rsid w:val="001A2530"/>
    <w:rsid w:val="001E64C1"/>
    <w:rsid w:val="00237264"/>
    <w:rsid w:val="00266A21"/>
    <w:rsid w:val="002D396D"/>
    <w:rsid w:val="00321334"/>
    <w:rsid w:val="003213A8"/>
    <w:rsid w:val="00373A3D"/>
    <w:rsid w:val="004016F0"/>
    <w:rsid w:val="004206A8"/>
    <w:rsid w:val="004758C7"/>
    <w:rsid w:val="004F65D4"/>
    <w:rsid w:val="00575DF4"/>
    <w:rsid w:val="0065309B"/>
    <w:rsid w:val="00681B03"/>
    <w:rsid w:val="006E1F8B"/>
    <w:rsid w:val="00722CA7"/>
    <w:rsid w:val="00783B31"/>
    <w:rsid w:val="007F65C1"/>
    <w:rsid w:val="008149FD"/>
    <w:rsid w:val="00840BD4"/>
    <w:rsid w:val="00854373"/>
    <w:rsid w:val="0088107D"/>
    <w:rsid w:val="008F52A2"/>
    <w:rsid w:val="009A78A3"/>
    <w:rsid w:val="009B73B0"/>
    <w:rsid w:val="00A421BF"/>
    <w:rsid w:val="00A57F72"/>
    <w:rsid w:val="00B54F98"/>
    <w:rsid w:val="00B6044A"/>
    <w:rsid w:val="00B67038"/>
    <w:rsid w:val="00B674B1"/>
    <w:rsid w:val="00C228D2"/>
    <w:rsid w:val="00C25EDC"/>
    <w:rsid w:val="00C325CF"/>
    <w:rsid w:val="00CB2067"/>
    <w:rsid w:val="00CD1C20"/>
    <w:rsid w:val="00D23FB0"/>
    <w:rsid w:val="00D40A22"/>
    <w:rsid w:val="00DC3BC4"/>
    <w:rsid w:val="00E23C29"/>
    <w:rsid w:val="00ED632F"/>
    <w:rsid w:val="00F17F28"/>
    <w:rsid w:val="00FE43DD"/>
    <w:rsid w:val="00FF319C"/>
    <w:rsid w:val="00FF4989"/>
    <w:rsid w:val="00FF5F39"/>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AB3E1"/>
  <w15:chartTrackingRefBased/>
  <w15:docId w15:val="{9363EBB2-CD9E-354C-90E1-12BADEDD8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FB0"/>
    <w:pPr>
      <w:jc w:val="both"/>
    </w:pPr>
  </w:style>
  <w:style w:type="paragraph" w:styleId="Heading1">
    <w:name w:val="heading 1"/>
    <w:basedOn w:val="Normal"/>
    <w:next w:val="Normal"/>
    <w:link w:val="Heading1Char"/>
    <w:autoRedefine/>
    <w:uiPriority w:val="9"/>
    <w:qFormat/>
    <w:rsid w:val="002D396D"/>
    <w:pPr>
      <w:keepNext/>
      <w:keepLines/>
      <w:pageBreakBefore/>
      <w:numPr>
        <w:numId w:val="12"/>
      </w:numPr>
      <w:spacing w:after="240"/>
      <w:outlineLvl w:val="0"/>
    </w:pPr>
    <w:rPr>
      <w:rFonts w:ascii="Arial" w:eastAsiaTheme="majorEastAsia" w:hAnsi="Arial" w:cs="Times New Roman (Headings CS)"/>
      <w:b/>
      <w:caps/>
      <w:color w:val="000000" w:themeColor="text1"/>
      <w:sz w:val="32"/>
      <w:szCs w:val="32"/>
    </w:rPr>
  </w:style>
  <w:style w:type="paragraph" w:styleId="Heading2">
    <w:name w:val="heading 2"/>
    <w:basedOn w:val="Normal"/>
    <w:next w:val="Normal"/>
    <w:link w:val="Heading2Char1"/>
    <w:uiPriority w:val="9"/>
    <w:unhideWhenUsed/>
    <w:qFormat/>
    <w:rsid w:val="002D396D"/>
    <w:pPr>
      <w:keepNext/>
      <w:keepLines/>
      <w:numPr>
        <w:ilvl w:val="1"/>
        <w:numId w:val="12"/>
      </w:numPr>
      <w:spacing w:before="240" w:after="240"/>
      <w:jc w:val="left"/>
      <w:outlineLvl w:val="1"/>
    </w:pPr>
    <w:rPr>
      <w:rFonts w:ascii="Arial" w:eastAsiaTheme="majorEastAsia" w:hAnsi="Arial" w:cstheme="majorBidi"/>
      <w:b/>
      <w:color w:val="000000" w:themeColor="text1"/>
      <w:sz w:val="28"/>
      <w:szCs w:val="26"/>
    </w:rPr>
  </w:style>
  <w:style w:type="paragraph" w:styleId="Heading3">
    <w:name w:val="heading 3"/>
    <w:basedOn w:val="Normal"/>
    <w:next w:val="Normal"/>
    <w:link w:val="Heading3Char1"/>
    <w:uiPriority w:val="9"/>
    <w:unhideWhenUsed/>
    <w:qFormat/>
    <w:rsid w:val="002D396D"/>
    <w:pPr>
      <w:keepNext/>
      <w:keepLines/>
      <w:numPr>
        <w:ilvl w:val="2"/>
        <w:numId w:val="12"/>
      </w:numPr>
      <w:spacing w:before="40" w:after="120"/>
      <w:outlineLvl w:val="2"/>
    </w:pPr>
    <w:rPr>
      <w:rFonts w:ascii="Arial" w:eastAsiaTheme="majorEastAsia" w:hAnsi="Arial" w:cstheme="majorBidi"/>
      <w:b/>
      <w:color w:val="000000" w:themeColor="text1"/>
    </w:rPr>
  </w:style>
  <w:style w:type="paragraph" w:styleId="Heading4">
    <w:name w:val="heading 4"/>
    <w:basedOn w:val="Normal"/>
    <w:next w:val="Normal"/>
    <w:link w:val="Heading4Char1"/>
    <w:uiPriority w:val="9"/>
    <w:unhideWhenUsed/>
    <w:qFormat/>
    <w:rsid w:val="002D396D"/>
    <w:pPr>
      <w:keepNext/>
      <w:keepLines/>
      <w:numPr>
        <w:ilvl w:val="3"/>
        <w:numId w:val="12"/>
      </w:numPr>
      <w:spacing w:before="40" w:after="120"/>
      <w:outlineLvl w:val="3"/>
    </w:pPr>
    <w:rPr>
      <w:rFonts w:ascii="Arial" w:eastAsiaTheme="majorEastAsia" w:hAnsi="Arial" w:cstheme="majorBidi"/>
      <w:b/>
      <w:iCs/>
      <w:color w:val="000000" w:themeColor="text1"/>
    </w:rPr>
  </w:style>
  <w:style w:type="paragraph" w:styleId="Heading5">
    <w:name w:val="heading 5"/>
    <w:basedOn w:val="Normal"/>
    <w:next w:val="Normal"/>
    <w:link w:val="Heading5Char1"/>
    <w:uiPriority w:val="9"/>
    <w:semiHidden/>
    <w:unhideWhenUsed/>
    <w:qFormat/>
    <w:rsid w:val="002D396D"/>
    <w:pPr>
      <w:keepNext/>
      <w:keepLines/>
      <w:numPr>
        <w:ilvl w:val="4"/>
        <w:numId w:val="1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1"/>
    <w:uiPriority w:val="9"/>
    <w:semiHidden/>
    <w:unhideWhenUsed/>
    <w:qFormat/>
    <w:rsid w:val="002D396D"/>
    <w:pPr>
      <w:keepNext/>
      <w:keepLines/>
      <w:numPr>
        <w:ilvl w:val="5"/>
        <w:numId w:val="1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1"/>
    <w:uiPriority w:val="9"/>
    <w:semiHidden/>
    <w:unhideWhenUsed/>
    <w:qFormat/>
    <w:rsid w:val="002D396D"/>
    <w:pPr>
      <w:keepNext/>
      <w:keepLines/>
      <w:numPr>
        <w:ilvl w:val="6"/>
        <w:numId w:val="1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1"/>
    <w:uiPriority w:val="9"/>
    <w:semiHidden/>
    <w:unhideWhenUsed/>
    <w:qFormat/>
    <w:rsid w:val="002D396D"/>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1"/>
    <w:uiPriority w:val="9"/>
    <w:semiHidden/>
    <w:unhideWhenUsed/>
    <w:qFormat/>
    <w:rsid w:val="002D396D"/>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PageInstitute">
    <w:name w:val="Cover Page Institute"/>
    <w:basedOn w:val="Normal"/>
    <w:autoRedefine/>
    <w:qFormat/>
    <w:rsid w:val="00C325CF"/>
    <w:pPr>
      <w:spacing w:line="276" w:lineRule="auto"/>
      <w:jc w:val="center"/>
    </w:pPr>
    <w:rPr>
      <w:rFonts w:ascii="Arial" w:hAnsi="Arial"/>
      <w:b/>
      <w:szCs w:val="21"/>
    </w:rPr>
  </w:style>
  <w:style w:type="paragraph" w:customStyle="1" w:styleId="CoverPageTitle">
    <w:name w:val="Cover Page Title"/>
    <w:basedOn w:val="Normal"/>
    <w:qFormat/>
    <w:rsid w:val="001A2530"/>
    <w:pPr>
      <w:spacing w:line="276" w:lineRule="auto"/>
      <w:jc w:val="center"/>
    </w:pPr>
    <w:rPr>
      <w:rFonts w:ascii="Arial" w:hAnsi="Arial"/>
      <w:b/>
      <w:sz w:val="36"/>
    </w:rPr>
  </w:style>
  <w:style w:type="paragraph" w:styleId="Header">
    <w:name w:val="header"/>
    <w:basedOn w:val="Normal"/>
    <w:link w:val="HeaderChar"/>
    <w:uiPriority w:val="99"/>
    <w:unhideWhenUsed/>
    <w:rsid w:val="00A57F72"/>
    <w:pPr>
      <w:tabs>
        <w:tab w:val="center" w:pos="4680"/>
        <w:tab w:val="right" w:pos="9360"/>
      </w:tabs>
    </w:pPr>
  </w:style>
  <w:style w:type="character" w:customStyle="1" w:styleId="HeaderChar">
    <w:name w:val="Header Char"/>
    <w:basedOn w:val="DefaultParagraphFont"/>
    <w:link w:val="Header"/>
    <w:uiPriority w:val="99"/>
    <w:rsid w:val="00A57F72"/>
  </w:style>
  <w:style w:type="paragraph" w:styleId="Footer">
    <w:name w:val="footer"/>
    <w:basedOn w:val="Normal"/>
    <w:link w:val="FooterChar"/>
    <w:uiPriority w:val="99"/>
    <w:unhideWhenUsed/>
    <w:rsid w:val="00A57F72"/>
    <w:pPr>
      <w:tabs>
        <w:tab w:val="center" w:pos="4680"/>
        <w:tab w:val="right" w:pos="9360"/>
      </w:tabs>
    </w:pPr>
  </w:style>
  <w:style w:type="character" w:customStyle="1" w:styleId="FooterChar">
    <w:name w:val="Footer Char"/>
    <w:basedOn w:val="DefaultParagraphFont"/>
    <w:link w:val="Footer"/>
    <w:uiPriority w:val="99"/>
    <w:rsid w:val="00A57F72"/>
  </w:style>
  <w:style w:type="paragraph" w:customStyle="1" w:styleId="PreambleTitle">
    <w:name w:val="Preamble Title"/>
    <w:basedOn w:val="Normal"/>
    <w:next w:val="Normal"/>
    <w:qFormat/>
    <w:rsid w:val="00B54F98"/>
    <w:pPr>
      <w:pageBreakBefore/>
      <w:spacing w:after="240"/>
    </w:pPr>
    <w:rPr>
      <w:sz w:val="36"/>
    </w:rPr>
  </w:style>
  <w:style w:type="character" w:customStyle="1" w:styleId="Heading1Char">
    <w:name w:val="Heading 1 Char"/>
    <w:basedOn w:val="DefaultParagraphFont"/>
    <w:link w:val="Heading1"/>
    <w:uiPriority w:val="9"/>
    <w:rsid w:val="00ED632F"/>
    <w:rPr>
      <w:rFonts w:ascii="Arial" w:eastAsiaTheme="majorEastAsia" w:hAnsi="Arial" w:cs="Times New Roman (Headings CS)"/>
      <w:b/>
      <w:caps/>
      <w:color w:val="000000" w:themeColor="text1"/>
      <w:sz w:val="32"/>
      <w:szCs w:val="32"/>
    </w:rPr>
  </w:style>
  <w:style w:type="numbering" w:customStyle="1" w:styleId="CurrentList1">
    <w:name w:val="Current List1"/>
    <w:uiPriority w:val="99"/>
    <w:rsid w:val="00FF5F39"/>
    <w:pPr>
      <w:numPr>
        <w:numId w:val="5"/>
      </w:numPr>
    </w:pPr>
  </w:style>
  <w:style w:type="character" w:styleId="PageNumber">
    <w:name w:val="page number"/>
    <w:basedOn w:val="DefaultParagraphFont"/>
    <w:uiPriority w:val="99"/>
    <w:semiHidden/>
    <w:unhideWhenUsed/>
    <w:rsid w:val="009A78A3"/>
  </w:style>
  <w:style w:type="character" w:customStyle="1" w:styleId="Heading2Char">
    <w:name w:val="Heading 2 Char"/>
    <w:basedOn w:val="DefaultParagraphFont"/>
    <w:uiPriority w:val="9"/>
    <w:semiHidden/>
    <w:rsid w:val="00FF5F3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uiPriority w:val="9"/>
    <w:semiHidden/>
    <w:rsid w:val="00FF5F3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uiPriority w:val="9"/>
    <w:semiHidden/>
    <w:rsid w:val="00FF5F3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uiPriority w:val="9"/>
    <w:semiHidden/>
    <w:rsid w:val="00FF5F3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uiPriority w:val="9"/>
    <w:semiHidden/>
    <w:rsid w:val="00FF5F3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uiPriority w:val="9"/>
    <w:semiHidden/>
    <w:rsid w:val="00FF5F3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uiPriority w:val="9"/>
    <w:semiHidden/>
    <w:rsid w:val="00FF5F3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uiPriority w:val="9"/>
    <w:semiHidden/>
    <w:rsid w:val="00FF5F39"/>
    <w:rPr>
      <w:rFonts w:asciiTheme="majorHAnsi" w:eastAsiaTheme="majorEastAsia" w:hAnsiTheme="majorHAnsi" w:cstheme="majorBidi"/>
      <w:i/>
      <w:iCs/>
      <w:color w:val="272727" w:themeColor="text1" w:themeTint="D8"/>
      <w:sz w:val="21"/>
      <w:szCs w:val="21"/>
    </w:rPr>
  </w:style>
  <w:style w:type="character" w:styleId="Hyperlink">
    <w:name w:val="Hyperlink"/>
    <w:uiPriority w:val="99"/>
    <w:rsid w:val="00D23FB0"/>
    <w:rPr>
      <w:color w:val="0000FF"/>
      <w:u w:val="single"/>
    </w:rPr>
  </w:style>
  <w:style w:type="paragraph" w:styleId="PlainText">
    <w:name w:val="Plain Text"/>
    <w:basedOn w:val="Normal"/>
    <w:link w:val="PlainTextChar"/>
    <w:rsid w:val="00D23FB0"/>
    <w:pPr>
      <w:jc w:val="left"/>
    </w:pPr>
    <w:rPr>
      <w:rFonts w:ascii="Courier New" w:eastAsia="Times New Roman" w:hAnsi="Courier New" w:cs="Times New Roman"/>
      <w:kern w:val="0"/>
      <w:sz w:val="20"/>
      <w:szCs w:val="20"/>
      <w:lang w:val="en-AU" w:eastAsia="tr-TR"/>
      <w14:ligatures w14:val="none"/>
    </w:rPr>
  </w:style>
  <w:style w:type="character" w:customStyle="1" w:styleId="PlainTextChar">
    <w:name w:val="Plain Text Char"/>
    <w:basedOn w:val="DefaultParagraphFont"/>
    <w:link w:val="PlainText"/>
    <w:rsid w:val="00D23FB0"/>
    <w:rPr>
      <w:rFonts w:ascii="Courier New" w:eastAsia="Times New Roman" w:hAnsi="Courier New" w:cs="Times New Roman"/>
      <w:kern w:val="0"/>
      <w:sz w:val="20"/>
      <w:szCs w:val="20"/>
      <w:lang w:val="en-AU" w:eastAsia="tr-TR"/>
      <w14:ligatures w14:val="none"/>
    </w:rPr>
  </w:style>
  <w:style w:type="character" w:styleId="UnresolvedMention">
    <w:name w:val="Unresolved Mention"/>
    <w:basedOn w:val="DefaultParagraphFont"/>
    <w:uiPriority w:val="99"/>
    <w:semiHidden/>
    <w:unhideWhenUsed/>
    <w:rsid w:val="00D23FB0"/>
    <w:rPr>
      <w:color w:val="605E5C"/>
      <w:shd w:val="clear" w:color="auto" w:fill="E1DFDD"/>
    </w:rPr>
  </w:style>
  <w:style w:type="paragraph" w:styleId="FootnoteText">
    <w:name w:val="footnote text"/>
    <w:basedOn w:val="Normal"/>
    <w:link w:val="FootnoteTextChar"/>
    <w:uiPriority w:val="99"/>
    <w:semiHidden/>
    <w:unhideWhenUsed/>
    <w:rsid w:val="00D23FB0"/>
    <w:rPr>
      <w:sz w:val="20"/>
      <w:szCs w:val="20"/>
    </w:rPr>
  </w:style>
  <w:style w:type="character" w:customStyle="1" w:styleId="FootnoteTextChar">
    <w:name w:val="Footnote Text Char"/>
    <w:basedOn w:val="DefaultParagraphFont"/>
    <w:link w:val="FootnoteText"/>
    <w:uiPriority w:val="99"/>
    <w:semiHidden/>
    <w:rsid w:val="00D23FB0"/>
    <w:rPr>
      <w:sz w:val="20"/>
      <w:szCs w:val="20"/>
    </w:rPr>
  </w:style>
  <w:style w:type="character" w:styleId="FootnoteReference">
    <w:name w:val="footnote reference"/>
    <w:basedOn w:val="DefaultParagraphFont"/>
    <w:uiPriority w:val="99"/>
    <w:semiHidden/>
    <w:unhideWhenUsed/>
    <w:rsid w:val="00D23FB0"/>
    <w:rPr>
      <w:vertAlign w:val="superscript"/>
    </w:rPr>
  </w:style>
  <w:style w:type="paragraph" w:styleId="TOCHeading">
    <w:name w:val="TOC Heading"/>
    <w:basedOn w:val="Heading1"/>
    <w:next w:val="Normal"/>
    <w:uiPriority w:val="39"/>
    <w:unhideWhenUsed/>
    <w:qFormat/>
    <w:rsid w:val="00681B03"/>
    <w:pPr>
      <w:pageBreakBefore w:val="0"/>
      <w:numPr>
        <w:numId w:val="0"/>
      </w:numPr>
      <w:spacing w:before="480" w:after="0" w:line="276" w:lineRule="auto"/>
      <w:jc w:val="left"/>
      <w:outlineLvl w:val="9"/>
    </w:pPr>
    <w:rPr>
      <w:rFonts w:asciiTheme="majorHAnsi" w:hAnsiTheme="majorHAnsi"/>
      <w:bCs/>
      <w:color w:val="2F5496" w:themeColor="accent1" w:themeShade="BF"/>
      <w:kern w:val="0"/>
      <w:sz w:val="28"/>
      <w:szCs w:val="28"/>
      <w:lang w:val="en-US"/>
      <w14:ligatures w14:val="none"/>
    </w:rPr>
  </w:style>
  <w:style w:type="paragraph" w:styleId="TOC1">
    <w:name w:val="toc 1"/>
    <w:basedOn w:val="Normal"/>
    <w:next w:val="Normal"/>
    <w:autoRedefine/>
    <w:uiPriority w:val="39"/>
    <w:unhideWhenUsed/>
    <w:rsid w:val="00A421BF"/>
    <w:pPr>
      <w:spacing w:before="120" w:after="120"/>
      <w:jc w:val="left"/>
    </w:pPr>
    <w:rPr>
      <w:rFonts w:cstheme="minorHAnsi"/>
      <w:b/>
      <w:bCs/>
      <w:caps/>
      <w:szCs w:val="20"/>
    </w:rPr>
  </w:style>
  <w:style w:type="paragraph" w:styleId="TOC2">
    <w:name w:val="toc 2"/>
    <w:basedOn w:val="Normal"/>
    <w:next w:val="Normal"/>
    <w:autoRedefine/>
    <w:uiPriority w:val="39"/>
    <w:unhideWhenUsed/>
    <w:rsid w:val="00A421BF"/>
    <w:pPr>
      <w:ind w:left="240"/>
      <w:jc w:val="left"/>
    </w:pPr>
    <w:rPr>
      <w:rFonts w:cstheme="minorHAnsi"/>
      <w:smallCaps/>
      <w:szCs w:val="20"/>
    </w:rPr>
  </w:style>
  <w:style w:type="paragraph" w:styleId="TOC3">
    <w:name w:val="toc 3"/>
    <w:basedOn w:val="Normal"/>
    <w:next w:val="Normal"/>
    <w:autoRedefine/>
    <w:uiPriority w:val="39"/>
    <w:unhideWhenUsed/>
    <w:rsid w:val="00A421BF"/>
    <w:pPr>
      <w:ind w:left="480"/>
      <w:jc w:val="left"/>
    </w:pPr>
    <w:rPr>
      <w:rFonts w:cstheme="minorHAnsi"/>
      <w:i/>
      <w:iCs/>
      <w:szCs w:val="20"/>
    </w:rPr>
  </w:style>
  <w:style w:type="paragraph" w:styleId="TOC4">
    <w:name w:val="toc 4"/>
    <w:basedOn w:val="Normal"/>
    <w:next w:val="Normal"/>
    <w:autoRedefine/>
    <w:uiPriority w:val="39"/>
    <w:unhideWhenUsed/>
    <w:rsid w:val="00A421BF"/>
    <w:pPr>
      <w:ind w:left="720"/>
      <w:jc w:val="left"/>
    </w:pPr>
    <w:rPr>
      <w:rFonts w:cstheme="minorHAnsi"/>
      <w:sz w:val="20"/>
      <w:szCs w:val="18"/>
    </w:rPr>
  </w:style>
  <w:style w:type="paragraph" w:styleId="TOC5">
    <w:name w:val="toc 5"/>
    <w:basedOn w:val="Normal"/>
    <w:next w:val="Normal"/>
    <w:autoRedefine/>
    <w:uiPriority w:val="39"/>
    <w:unhideWhenUsed/>
    <w:rsid w:val="00681B03"/>
    <w:pPr>
      <w:ind w:left="960"/>
      <w:jc w:val="left"/>
    </w:pPr>
    <w:rPr>
      <w:rFonts w:cstheme="minorHAnsi"/>
      <w:sz w:val="18"/>
      <w:szCs w:val="18"/>
    </w:rPr>
  </w:style>
  <w:style w:type="paragraph" w:styleId="TOC6">
    <w:name w:val="toc 6"/>
    <w:basedOn w:val="Normal"/>
    <w:next w:val="Normal"/>
    <w:autoRedefine/>
    <w:uiPriority w:val="39"/>
    <w:unhideWhenUsed/>
    <w:rsid w:val="00681B03"/>
    <w:pPr>
      <w:ind w:left="1200"/>
      <w:jc w:val="left"/>
    </w:pPr>
    <w:rPr>
      <w:rFonts w:cstheme="minorHAnsi"/>
      <w:sz w:val="18"/>
      <w:szCs w:val="18"/>
    </w:rPr>
  </w:style>
  <w:style w:type="paragraph" w:styleId="TOC7">
    <w:name w:val="toc 7"/>
    <w:basedOn w:val="Normal"/>
    <w:next w:val="Normal"/>
    <w:autoRedefine/>
    <w:uiPriority w:val="39"/>
    <w:unhideWhenUsed/>
    <w:rsid w:val="00681B03"/>
    <w:pPr>
      <w:ind w:left="1440"/>
      <w:jc w:val="left"/>
    </w:pPr>
    <w:rPr>
      <w:rFonts w:cstheme="minorHAnsi"/>
      <w:sz w:val="18"/>
      <w:szCs w:val="18"/>
    </w:rPr>
  </w:style>
  <w:style w:type="paragraph" w:styleId="TOC8">
    <w:name w:val="toc 8"/>
    <w:basedOn w:val="Normal"/>
    <w:next w:val="Normal"/>
    <w:autoRedefine/>
    <w:uiPriority w:val="39"/>
    <w:unhideWhenUsed/>
    <w:rsid w:val="00681B03"/>
    <w:pPr>
      <w:ind w:left="1680"/>
      <w:jc w:val="left"/>
    </w:pPr>
    <w:rPr>
      <w:rFonts w:cstheme="minorHAnsi"/>
      <w:sz w:val="18"/>
      <w:szCs w:val="18"/>
    </w:rPr>
  </w:style>
  <w:style w:type="paragraph" w:styleId="TOC9">
    <w:name w:val="toc 9"/>
    <w:basedOn w:val="Normal"/>
    <w:next w:val="Normal"/>
    <w:autoRedefine/>
    <w:uiPriority w:val="39"/>
    <w:unhideWhenUsed/>
    <w:rsid w:val="00681B03"/>
    <w:pPr>
      <w:ind w:left="1920"/>
      <w:jc w:val="left"/>
    </w:pPr>
    <w:rPr>
      <w:rFonts w:cstheme="minorHAnsi"/>
      <w:sz w:val="18"/>
      <w:szCs w:val="18"/>
    </w:rPr>
  </w:style>
  <w:style w:type="character" w:customStyle="1" w:styleId="Heading2Char1">
    <w:name w:val="Heading 2 Char1"/>
    <w:basedOn w:val="DefaultParagraphFont"/>
    <w:link w:val="Heading2"/>
    <w:uiPriority w:val="9"/>
    <w:rsid w:val="00ED632F"/>
    <w:rPr>
      <w:rFonts w:ascii="Arial" w:eastAsiaTheme="majorEastAsia" w:hAnsi="Arial" w:cstheme="majorBidi"/>
      <w:b/>
      <w:color w:val="000000" w:themeColor="text1"/>
      <w:sz w:val="28"/>
      <w:szCs w:val="26"/>
    </w:rPr>
  </w:style>
  <w:style w:type="numbering" w:customStyle="1" w:styleId="CurrentList2">
    <w:name w:val="Current List2"/>
    <w:uiPriority w:val="99"/>
    <w:rsid w:val="00A421BF"/>
    <w:pPr>
      <w:numPr>
        <w:numId w:val="7"/>
      </w:numPr>
    </w:pPr>
  </w:style>
  <w:style w:type="numbering" w:customStyle="1" w:styleId="CurrentList3">
    <w:name w:val="Current List3"/>
    <w:uiPriority w:val="99"/>
    <w:rsid w:val="00A421BF"/>
    <w:pPr>
      <w:numPr>
        <w:numId w:val="8"/>
      </w:numPr>
    </w:pPr>
  </w:style>
  <w:style w:type="numbering" w:customStyle="1" w:styleId="CurrentList4">
    <w:name w:val="Current List4"/>
    <w:uiPriority w:val="99"/>
    <w:rsid w:val="00A421BF"/>
    <w:pPr>
      <w:numPr>
        <w:numId w:val="9"/>
      </w:numPr>
    </w:pPr>
  </w:style>
  <w:style w:type="numbering" w:customStyle="1" w:styleId="CurrentList5">
    <w:name w:val="Current List5"/>
    <w:uiPriority w:val="99"/>
    <w:rsid w:val="00A421BF"/>
    <w:pPr>
      <w:numPr>
        <w:numId w:val="10"/>
      </w:numPr>
    </w:pPr>
  </w:style>
  <w:style w:type="numbering" w:customStyle="1" w:styleId="CurrentList6">
    <w:name w:val="Current List6"/>
    <w:uiPriority w:val="99"/>
    <w:rsid w:val="00A421BF"/>
    <w:pPr>
      <w:numPr>
        <w:numId w:val="11"/>
      </w:numPr>
    </w:pPr>
  </w:style>
  <w:style w:type="character" w:customStyle="1" w:styleId="Heading3Char1">
    <w:name w:val="Heading 3 Char1"/>
    <w:basedOn w:val="DefaultParagraphFont"/>
    <w:link w:val="Heading3"/>
    <w:uiPriority w:val="9"/>
    <w:rsid w:val="002D396D"/>
    <w:rPr>
      <w:rFonts w:ascii="Arial" w:eastAsiaTheme="majorEastAsia" w:hAnsi="Arial" w:cstheme="majorBidi"/>
      <w:b/>
      <w:color w:val="000000" w:themeColor="text1"/>
    </w:rPr>
  </w:style>
  <w:style w:type="numbering" w:customStyle="1" w:styleId="CurrentList7">
    <w:name w:val="Current List7"/>
    <w:uiPriority w:val="99"/>
    <w:rsid w:val="0088107D"/>
    <w:pPr>
      <w:numPr>
        <w:numId w:val="13"/>
      </w:numPr>
    </w:pPr>
  </w:style>
  <w:style w:type="numbering" w:customStyle="1" w:styleId="CurrentList8">
    <w:name w:val="Current List8"/>
    <w:uiPriority w:val="99"/>
    <w:rsid w:val="0088107D"/>
    <w:pPr>
      <w:numPr>
        <w:numId w:val="14"/>
      </w:numPr>
    </w:pPr>
  </w:style>
  <w:style w:type="paragraph" w:styleId="Caption">
    <w:name w:val="caption"/>
    <w:basedOn w:val="Normal"/>
    <w:next w:val="Normal"/>
    <w:uiPriority w:val="35"/>
    <w:unhideWhenUsed/>
    <w:qFormat/>
    <w:rsid w:val="00C228D2"/>
    <w:pPr>
      <w:spacing w:after="200"/>
      <w:jc w:val="center"/>
    </w:pPr>
    <w:rPr>
      <w:rFonts w:ascii="Arial" w:hAnsi="Arial"/>
      <w:i/>
      <w:iCs/>
      <w:color w:val="000000" w:themeColor="text1"/>
      <w:sz w:val="20"/>
      <w:szCs w:val="18"/>
    </w:rPr>
  </w:style>
  <w:style w:type="table" w:styleId="TableGrid">
    <w:name w:val="Table Grid"/>
    <w:basedOn w:val="TableNormal"/>
    <w:uiPriority w:val="39"/>
    <w:rsid w:val="00C228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9">
    <w:name w:val="Current List9"/>
    <w:uiPriority w:val="99"/>
    <w:rsid w:val="00ED632F"/>
    <w:pPr>
      <w:numPr>
        <w:numId w:val="15"/>
      </w:numPr>
    </w:pPr>
  </w:style>
  <w:style w:type="numbering" w:customStyle="1" w:styleId="CurrentList10">
    <w:name w:val="Current List10"/>
    <w:uiPriority w:val="99"/>
    <w:rsid w:val="00ED632F"/>
    <w:pPr>
      <w:numPr>
        <w:numId w:val="16"/>
      </w:numPr>
    </w:pPr>
  </w:style>
  <w:style w:type="numbering" w:customStyle="1" w:styleId="CurrentList11">
    <w:name w:val="Current List11"/>
    <w:uiPriority w:val="99"/>
    <w:rsid w:val="00ED632F"/>
    <w:pPr>
      <w:numPr>
        <w:numId w:val="17"/>
      </w:numPr>
    </w:pPr>
  </w:style>
  <w:style w:type="numbering" w:customStyle="1" w:styleId="CurrentList12">
    <w:name w:val="Current List12"/>
    <w:uiPriority w:val="99"/>
    <w:rsid w:val="00ED632F"/>
    <w:pPr>
      <w:numPr>
        <w:numId w:val="18"/>
      </w:numPr>
    </w:pPr>
  </w:style>
  <w:style w:type="numbering" w:customStyle="1" w:styleId="CurrentList13">
    <w:name w:val="Current List13"/>
    <w:uiPriority w:val="99"/>
    <w:rsid w:val="00ED632F"/>
    <w:pPr>
      <w:numPr>
        <w:numId w:val="19"/>
      </w:numPr>
    </w:pPr>
  </w:style>
  <w:style w:type="numbering" w:customStyle="1" w:styleId="CurrentList14">
    <w:name w:val="Current List14"/>
    <w:uiPriority w:val="99"/>
    <w:rsid w:val="00ED632F"/>
    <w:pPr>
      <w:numPr>
        <w:numId w:val="20"/>
      </w:numPr>
    </w:pPr>
  </w:style>
  <w:style w:type="numbering" w:customStyle="1" w:styleId="CurrentList15">
    <w:name w:val="Current List15"/>
    <w:uiPriority w:val="99"/>
    <w:rsid w:val="00ED632F"/>
    <w:pPr>
      <w:numPr>
        <w:numId w:val="21"/>
      </w:numPr>
    </w:pPr>
  </w:style>
  <w:style w:type="character" w:customStyle="1" w:styleId="Heading4Char1">
    <w:name w:val="Heading 4 Char1"/>
    <w:basedOn w:val="DefaultParagraphFont"/>
    <w:link w:val="Heading4"/>
    <w:uiPriority w:val="9"/>
    <w:rsid w:val="002D396D"/>
    <w:rPr>
      <w:rFonts w:ascii="Arial" w:eastAsiaTheme="majorEastAsia" w:hAnsi="Arial" w:cstheme="majorBidi"/>
      <w:b/>
      <w:iCs/>
      <w:color w:val="000000" w:themeColor="text1"/>
    </w:rPr>
  </w:style>
  <w:style w:type="character" w:customStyle="1" w:styleId="Heading5Char1">
    <w:name w:val="Heading 5 Char1"/>
    <w:basedOn w:val="DefaultParagraphFont"/>
    <w:link w:val="Heading5"/>
    <w:uiPriority w:val="9"/>
    <w:semiHidden/>
    <w:rsid w:val="00ED632F"/>
    <w:rPr>
      <w:rFonts w:asciiTheme="majorHAnsi" w:eastAsiaTheme="majorEastAsia" w:hAnsiTheme="majorHAnsi" w:cstheme="majorBidi"/>
      <w:color w:val="2F5496" w:themeColor="accent1" w:themeShade="BF"/>
    </w:rPr>
  </w:style>
  <w:style w:type="character" w:customStyle="1" w:styleId="Heading6Char1">
    <w:name w:val="Heading 6 Char1"/>
    <w:basedOn w:val="DefaultParagraphFont"/>
    <w:link w:val="Heading6"/>
    <w:uiPriority w:val="9"/>
    <w:semiHidden/>
    <w:rsid w:val="00ED632F"/>
    <w:rPr>
      <w:rFonts w:asciiTheme="majorHAnsi" w:eastAsiaTheme="majorEastAsia" w:hAnsiTheme="majorHAnsi" w:cstheme="majorBidi"/>
      <w:color w:val="1F3763" w:themeColor="accent1" w:themeShade="7F"/>
    </w:rPr>
  </w:style>
  <w:style w:type="character" w:customStyle="1" w:styleId="Heading7Char1">
    <w:name w:val="Heading 7 Char1"/>
    <w:basedOn w:val="DefaultParagraphFont"/>
    <w:link w:val="Heading7"/>
    <w:uiPriority w:val="9"/>
    <w:semiHidden/>
    <w:rsid w:val="00ED632F"/>
    <w:rPr>
      <w:rFonts w:asciiTheme="majorHAnsi" w:eastAsiaTheme="majorEastAsia" w:hAnsiTheme="majorHAnsi" w:cstheme="majorBidi"/>
      <w:i/>
      <w:iCs/>
      <w:color w:val="1F3763" w:themeColor="accent1" w:themeShade="7F"/>
    </w:rPr>
  </w:style>
  <w:style w:type="character" w:customStyle="1" w:styleId="Heading8Char1">
    <w:name w:val="Heading 8 Char1"/>
    <w:basedOn w:val="DefaultParagraphFont"/>
    <w:link w:val="Heading8"/>
    <w:uiPriority w:val="9"/>
    <w:semiHidden/>
    <w:rsid w:val="00ED632F"/>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link w:val="Heading9"/>
    <w:uiPriority w:val="9"/>
    <w:semiHidden/>
    <w:rsid w:val="00ED632F"/>
    <w:rPr>
      <w:rFonts w:asciiTheme="majorHAnsi" w:eastAsiaTheme="majorEastAsia" w:hAnsiTheme="majorHAnsi" w:cstheme="majorBidi"/>
      <w:i/>
      <w:iCs/>
      <w:color w:val="272727" w:themeColor="text1" w:themeTint="D8"/>
      <w:sz w:val="21"/>
      <w:szCs w:val="21"/>
    </w:rPr>
  </w:style>
  <w:style w:type="numbering" w:customStyle="1" w:styleId="CurrentList16">
    <w:name w:val="Current List16"/>
    <w:uiPriority w:val="99"/>
    <w:rsid w:val="00ED632F"/>
    <w:pPr>
      <w:numPr>
        <w:numId w:val="22"/>
      </w:numPr>
    </w:pPr>
  </w:style>
  <w:style w:type="numbering" w:customStyle="1" w:styleId="CurrentList17">
    <w:name w:val="Current List17"/>
    <w:uiPriority w:val="99"/>
    <w:rsid w:val="00ED632F"/>
    <w:pPr>
      <w:numPr>
        <w:numId w:val="23"/>
      </w:numPr>
    </w:pPr>
  </w:style>
  <w:style w:type="numbering" w:customStyle="1" w:styleId="CurrentList18">
    <w:name w:val="Current List18"/>
    <w:uiPriority w:val="99"/>
    <w:rsid w:val="00ED632F"/>
    <w:pPr>
      <w:numPr>
        <w:numId w:val="24"/>
      </w:numPr>
    </w:pPr>
  </w:style>
  <w:style w:type="numbering" w:customStyle="1" w:styleId="CurrentList19">
    <w:name w:val="Current List19"/>
    <w:uiPriority w:val="99"/>
    <w:rsid w:val="00FF4989"/>
    <w:pPr>
      <w:numPr>
        <w:numId w:val="25"/>
      </w:numPr>
    </w:pPr>
  </w:style>
  <w:style w:type="numbering" w:customStyle="1" w:styleId="CurrentList20">
    <w:name w:val="Current List20"/>
    <w:uiPriority w:val="99"/>
    <w:rsid w:val="00FF4989"/>
    <w:pPr>
      <w:numPr>
        <w:numId w:val="26"/>
      </w:numPr>
    </w:pPr>
  </w:style>
  <w:style w:type="numbering" w:customStyle="1" w:styleId="CurrentList21">
    <w:name w:val="Current List21"/>
    <w:uiPriority w:val="99"/>
    <w:rsid w:val="00FF4989"/>
    <w:pPr>
      <w:numPr>
        <w:numId w:val="27"/>
      </w:numPr>
    </w:pPr>
  </w:style>
  <w:style w:type="numbering" w:customStyle="1" w:styleId="CurrentList22">
    <w:name w:val="Current List22"/>
    <w:uiPriority w:val="99"/>
    <w:rsid w:val="00FF4989"/>
    <w:pPr>
      <w:numPr>
        <w:numId w:val="28"/>
      </w:numPr>
    </w:pPr>
  </w:style>
  <w:style w:type="numbering" w:customStyle="1" w:styleId="CurrentList23">
    <w:name w:val="Current List23"/>
    <w:uiPriority w:val="99"/>
    <w:rsid w:val="002D396D"/>
    <w:pPr>
      <w:numPr>
        <w:numId w:val="29"/>
      </w:numPr>
    </w:pPr>
  </w:style>
  <w:style w:type="numbering" w:customStyle="1" w:styleId="CurrentList24">
    <w:name w:val="Current List24"/>
    <w:uiPriority w:val="99"/>
    <w:rsid w:val="002D396D"/>
    <w:pPr>
      <w:numPr>
        <w:numId w:val="30"/>
      </w:numPr>
    </w:pPr>
  </w:style>
  <w:style w:type="numbering" w:customStyle="1" w:styleId="CurrentList25">
    <w:name w:val="Current List25"/>
    <w:uiPriority w:val="99"/>
    <w:rsid w:val="002D396D"/>
    <w:pPr>
      <w:numPr>
        <w:numId w:val="31"/>
      </w:numPr>
    </w:pPr>
  </w:style>
  <w:style w:type="numbering" w:customStyle="1" w:styleId="CurrentList26">
    <w:name w:val="Current List26"/>
    <w:uiPriority w:val="99"/>
    <w:rsid w:val="002D396D"/>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buzluca.info/oop/slide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8205D-D5D6-9A47-83BE-6C1571418A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10</Pages>
  <Words>486</Words>
  <Characters>2776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28</cp:revision>
  <dcterms:created xsi:type="dcterms:W3CDTF">2024-05-11T07:30:00Z</dcterms:created>
  <dcterms:modified xsi:type="dcterms:W3CDTF">2024-05-17T08:40:00Z</dcterms:modified>
</cp:coreProperties>
</file>