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2"/>
        <w:gridCol w:w="4176"/>
        <w:gridCol w:w="2412"/>
      </w:tblGrid>
      <w:tr w:rsidR="00BF77CA" w:rsidTr="00E37AFF">
        <w:trPr>
          <w:cantSplit/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thickThinSmallGap" w:sz="24" w:space="0" w:color="auto"/>
            </w:tcBorders>
            <w:shd w:val="pct25" w:color="auto" w:fill="auto"/>
            <w:vAlign w:val="bottom"/>
          </w:tcPr>
          <w:bookmarkStart w:id="0" w:name="_MON_1569845037"/>
          <w:bookmarkEnd w:id="0"/>
          <w:p w:rsidR="00BF77CA" w:rsidRDefault="000074BE" w:rsidP="00E37AFF">
            <w:pPr>
              <w:ind w:right="144"/>
              <w:jc w:val="right"/>
              <w:rPr>
                <w:b/>
              </w:rPr>
            </w:pPr>
            <w:r>
              <w:rPr>
                <w:b/>
              </w:rPr>
              <w:object w:dxaOrig="9360" w:dyaOrig="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68pt;height:22.5pt" o:ole="">
                  <v:imagedata r:id="rId8" o:title=""/>
                </v:shape>
                <o:OLEObject Type="Embed" ProgID="Word.OpenDocumentText.12" ShapeID="_x0000_i1041" DrawAspect="Content" ObjectID="_1569932266" r:id="rId9"/>
              </w:object>
            </w:r>
            <w:r w:rsidR="00BF77CA">
              <w:rPr>
                <w:b/>
              </w:rPr>
              <w:t>Title</w:t>
            </w:r>
          </w:p>
        </w:tc>
        <w:tc>
          <w:tcPr>
            <w:tcW w:w="6588" w:type="dxa"/>
            <w:gridSpan w:val="2"/>
            <w:tcBorders>
              <w:top w:val="single" w:sz="12" w:space="0" w:color="auto"/>
              <w:bottom w:val="thickThinSmallGap" w:sz="24" w:space="0" w:color="auto"/>
              <w:right w:val="single" w:sz="12" w:space="0" w:color="auto"/>
            </w:tcBorders>
            <w:shd w:val="pct25" w:color="auto" w:fill="auto"/>
            <w:vAlign w:val="bottom"/>
          </w:tcPr>
          <w:p w:rsidR="00BF77CA" w:rsidRPr="00627CE6" w:rsidRDefault="00BF77CA" w:rsidP="00E37AFF">
            <w:pPr>
              <w:rPr>
                <w:b/>
              </w:rPr>
            </w:pPr>
            <w:r w:rsidRPr="00333461">
              <w:rPr>
                <w:rFonts w:ascii="Arial Narrow" w:hAnsi="Arial Narrow"/>
              </w:rPr>
              <w:t>Halo_sv2_v1.0 Bioinformatics Validation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thickThinSmallGap" w:sz="24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BF77CA" w:rsidRDefault="00BF77CA" w:rsidP="00E37AFF">
            <w:pPr>
              <w:ind w:right="144"/>
              <w:jc w:val="center"/>
              <w:rPr>
                <w:b/>
              </w:rPr>
            </w:pPr>
            <w:r>
              <w:rPr>
                <w:b/>
              </w:rPr>
              <w:t>Summary Statement</w:t>
            </w:r>
          </w:p>
        </w:tc>
        <w:tc>
          <w:tcPr>
            <w:tcW w:w="6588" w:type="dxa"/>
            <w:gridSpan w:val="2"/>
            <w:tcBorders>
              <w:top w:val="thickThinSmallGap" w:sz="24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D34307">
            <w:r>
              <w:rPr>
                <w:b/>
              </w:rPr>
              <w:t xml:space="preserve">The following documentation contains </w:t>
            </w:r>
            <w:r w:rsidR="00D34307">
              <w:rPr>
                <w:b/>
              </w:rPr>
              <w:t>the protocol to run the Archer V 5.0.6 Analysis Software for Translocations at the Center of Personalized Diagnostics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thickThinSmallGap" w:sz="24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4176" w:type="dxa"/>
            <w:tcBorders>
              <w:top w:val="thickThinSmallGap" w:sz="24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Pr="00647369" w:rsidRDefault="00BF77CA" w:rsidP="00E37AFF">
            <w:pPr>
              <w:rPr>
                <w:b/>
              </w:rPr>
            </w:pPr>
            <w:r>
              <w:rPr>
                <w:b/>
              </w:rPr>
              <w:t>Ashkan Bigdeli</w:t>
            </w:r>
          </w:p>
        </w:tc>
        <w:tc>
          <w:tcPr>
            <w:tcW w:w="2412" w:type="dxa"/>
            <w:tcBorders>
              <w:top w:val="thickThinSmallGap" w:sz="24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r>
              <w:t xml:space="preserve">Date: </w:t>
            </w:r>
            <w:r w:rsidR="00D34307">
              <w:t>10/19/2017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  <w:r>
              <w:rPr>
                <w:b/>
              </w:rPr>
              <w:t xml:space="preserve">Approved by </w:t>
            </w:r>
          </w:p>
        </w:tc>
        <w:tc>
          <w:tcPr>
            <w:tcW w:w="4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Default="00BF77CA" w:rsidP="00E37AFF">
            <w:pPr>
              <w:rPr>
                <w:b/>
              </w:rPr>
            </w:pPr>
          </w:p>
          <w:p w:rsidR="00BF77CA" w:rsidRDefault="00BF77CA" w:rsidP="00E37AFF">
            <w:pPr>
              <w:rPr>
                <w:b/>
              </w:rPr>
            </w:pPr>
          </w:p>
          <w:p w:rsidR="00BF77C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r>
              <w:t xml:space="preserve">Date: 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  <w:r>
              <w:rPr>
                <w:b/>
              </w:rPr>
              <w:t xml:space="preserve">Approved by </w:t>
            </w:r>
          </w:p>
        </w:tc>
        <w:tc>
          <w:tcPr>
            <w:tcW w:w="4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Default="00BF77CA" w:rsidP="00E37AFF">
            <w:pPr>
              <w:rPr>
                <w:b/>
              </w:rPr>
            </w:pPr>
          </w:p>
          <w:p w:rsidR="00BF77CA" w:rsidRDefault="00BF77CA" w:rsidP="00E37AFF">
            <w:pPr>
              <w:rPr>
                <w:b/>
              </w:rPr>
            </w:pPr>
          </w:p>
          <w:p w:rsidR="00BF77C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r>
              <w:t xml:space="preserve">Date: 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</w:p>
        </w:tc>
        <w:tc>
          <w:tcPr>
            <w:tcW w:w="4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Pr="003446D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r>
              <w:t xml:space="preserve">Date: 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</w:p>
        </w:tc>
        <w:tc>
          <w:tcPr>
            <w:tcW w:w="4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r>
              <w:t>Date:</w:t>
            </w:r>
          </w:p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</w:p>
        </w:tc>
        <w:tc>
          <w:tcPr>
            <w:tcW w:w="417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pct15" w:color="auto" w:fill="auto"/>
            <w:vAlign w:val="bottom"/>
          </w:tcPr>
          <w:p w:rsidR="00BF77C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auto"/>
            <w:vAlign w:val="bottom"/>
          </w:tcPr>
          <w:p w:rsidR="00BF77CA" w:rsidRDefault="00BF77CA" w:rsidP="00E37AFF"/>
        </w:tc>
      </w:tr>
      <w:tr w:rsidR="00BF77CA" w:rsidTr="00E37AFF">
        <w:trPr>
          <w:trHeight w:val="480"/>
        </w:trPr>
        <w:tc>
          <w:tcPr>
            <w:tcW w:w="3672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vAlign w:val="bottom"/>
          </w:tcPr>
          <w:p w:rsidR="00BF77CA" w:rsidRDefault="00BF77CA" w:rsidP="00E37AFF">
            <w:pPr>
              <w:ind w:right="144"/>
              <w:jc w:val="right"/>
              <w:rPr>
                <w:b/>
              </w:rPr>
            </w:pPr>
            <w:r>
              <w:rPr>
                <w:b/>
              </w:rPr>
              <w:t>Retired by</w:t>
            </w:r>
          </w:p>
        </w:tc>
        <w:tc>
          <w:tcPr>
            <w:tcW w:w="4176" w:type="dxa"/>
            <w:tcBorders>
              <w:top w:val="thinThickSmallGap" w:sz="24" w:space="0" w:color="auto"/>
              <w:bottom w:val="single" w:sz="12" w:space="0" w:color="auto"/>
              <w:right w:val="nil"/>
            </w:tcBorders>
            <w:vAlign w:val="bottom"/>
          </w:tcPr>
          <w:p w:rsidR="00BF77CA" w:rsidRDefault="00BF77CA" w:rsidP="00E37AFF">
            <w:pPr>
              <w:rPr>
                <w:b/>
              </w:rPr>
            </w:pPr>
          </w:p>
        </w:tc>
        <w:tc>
          <w:tcPr>
            <w:tcW w:w="2412" w:type="dxa"/>
            <w:tcBorders>
              <w:top w:val="thinThickSmallGap" w:sz="2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BF77CA" w:rsidRDefault="00BF77CA" w:rsidP="00E37AFF">
            <w:r>
              <w:t>Date:</w:t>
            </w:r>
          </w:p>
        </w:tc>
      </w:tr>
    </w:tbl>
    <w:p w:rsidR="00BF77CA" w:rsidRDefault="00BF77CA" w:rsidP="00A713B3">
      <w:pPr>
        <w:sectPr w:rsidR="00BF77CA" w:rsidSect="00BF77CA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D39A9" w:rsidRPr="00BF77CA" w:rsidRDefault="000D39A9" w:rsidP="00A713B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090447616"/>
        <w:docPartObj>
          <w:docPartGallery w:val="Table of Contents"/>
          <w:docPartUnique/>
        </w:docPartObj>
      </w:sdtPr>
      <w:sdtEndPr/>
      <w:sdtContent>
        <w:p w:rsidR="000D39A9" w:rsidRPr="00A713B3" w:rsidRDefault="000D39A9" w:rsidP="00A713B3">
          <w:pPr>
            <w:pStyle w:val="TOCHeading"/>
            <w:spacing w:line="276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713B3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0D39A9" w:rsidRPr="00BF77CA" w:rsidRDefault="000D39A9" w:rsidP="00BF77CA">
          <w:pPr>
            <w:pStyle w:val="TOC1"/>
            <w:spacing w:line="276" w:lineRule="auto"/>
            <w:rPr>
              <w:rFonts w:ascii="Times New Roman" w:hAnsi="Times New Roman"/>
              <w:sz w:val="24"/>
              <w:szCs w:val="24"/>
            </w:rPr>
          </w:pPr>
          <w:r w:rsidRPr="00BF77CA">
            <w:rPr>
              <w:rFonts w:ascii="Times New Roman" w:hAnsi="Times New Roman"/>
              <w:b/>
              <w:bCs/>
              <w:sz w:val="24"/>
              <w:szCs w:val="24"/>
            </w:rPr>
            <w:t>Introduction</w:t>
          </w:r>
          <w:r w:rsidRPr="00BF77C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713B3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:rsidR="00C76292" w:rsidRDefault="000D39A9" w:rsidP="00BF77CA">
          <w:pPr>
            <w:pStyle w:val="TOC1"/>
            <w:spacing w:line="276" w:lineRule="auto"/>
            <w:rPr>
              <w:rFonts w:ascii="Times New Roman" w:hAnsi="Times New Roman"/>
              <w:bCs/>
              <w:sz w:val="24"/>
              <w:szCs w:val="24"/>
            </w:rPr>
          </w:pPr>
          <w:r w:rsidRPr="00BF77CA">
            <w:rPr>
              <w:rFonts w:ascii="Times New Roman" w:hAnsi="Times New Roman"/>
              <w:b/>
              <w:bCs/>
              <w:sz w:val="24"/>
              <w:szCs w:val="24"/>
            </w:rPr>
            <w:t>Software</w:t>
          </w:r>
          <w:r w:rsidR="00787D17" w:rsidRPr="00BF77CA">
            <w:rPr>
              <w:rFonts w:ascii="Times New Roman" w:hAnsi="Times New Roman"/>
              <w:b/>
              <w:bCs/>
              <w:sz w:val="24"/>
              <w:szCs w:val="24"/>
            </w:rPr>
            <w:t xml:space="preserve"> and Reference </w:t>
          </w:r>
          <w:r w:rsidRPr="00BF77CA">
            <w:rPr>
              <w:rFonts w:ascii="Times New Roman" w:hAnsi="Times New Roman"/>
              <w:b/>
              <w:bCs/>
              <w:sz w:val="24"/>
              <w:szCs w:val="24"/>
            </w:rPr>
            <w:t>Documentation</w:t>
          </w:r>
          <w:r w:rsidRPr="00BF77C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34307"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:rsidR="000C67C1" w:rsidRPr="000C67C1" w:rsidRDefault="00773FDE" w:rsidP="000C67C1">
          <w:pPr>
            <w:pStyle w:val="TOC1"/>
            <w:spacing w:line="276" w:lineRule="auto"/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Virtual Machine Configuration</w:t>
          </w:r>
          <w:r w:rsidR="000C67C1" w:rsidRPr="00BF77C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C67C1">
            <w:rPr>
              <w:rFonts w:ascii="Times New Roman" w:hAnsi="Times New Roman"/>
              <w:bCs/>
              <w:sz w:val="24"/>
              <w:szCs w:val="24"/>
            </w:rPr>
            <w:t>2</w:t>
          </w:r>
        </w:p>
        <w:p w:rsidR="00540460" w:rsidRPr="00BF77CA" w:rsidRDefault="00005914" w:rsidP="000074BE">
          <w:pPr>
            <w:pStyle w:val="TOC3"/>
            <w:spacing w:line="276" w:lineRule="auto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Analysis </w:t>
          </w:r>
          <w:r w:rsidR="00C76292" w:rsidRPr="00BF77CA">
            <w:rPr>
              <w:rFonts w:ascii="Times New Roman" w:hAnsi="Times New Roman"/>
              <w:b/>
              <w:sz w:val="24"/>
              <w:szCs w:val="24"/>
            </w:rPr>
            <w:t>Protocol</w:t>
          </w:r>
          <w:r w:rsidR="000D39A9" w:rsidRPr="00BF77CA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713B3">
            <w:rPr>
              <w:rFonts w:ascii="Times New Roman" w:hAnsi="Times New Roman"/>
              <w:sz w:val="24"/>
              <w:szCs w:val="24"/>
            </w:rPr>
            <w:t>3</w:t>
          </w:r>
        </w:p>
      </w:sdtContent>
    </w:sdt>
    <w:p w:rsidR="00A14247" w:rsidRDefault="00A14247" w:rsidP="00BF77CA">
      <w:pPr>
        <w:spacing w:line="276" w:lineRule="auto"/>
        <w:rPr>
          <w:rFonts w:ascii="Times New Roman" w:hAnsi="Times New Roman" w:cs="Times New Roman"/>
        </w:rPr>
      </w:pPr>
    </w:p>
    <w:p w:rsidR="00540460" w:rsidRPr="00A14247" w:rsidRDefault="00233984" w:rsidP="00BF77CA">
      <w:pPr>
        <w:spacing w:line="276" w:lineRule="auto"/>
        <w:rPr>
          <w:rFonts w:ascii="Times New Roman" w:hAnsi="Times New Roman" w:cs="Times New Roman"/>
          <w:b/>
        </w:rPr>
      </w:pPr>
      <w:r w:rsidRPr="00A14247">
        <w:rPr>
          <w:rFonts w:ascii="Times New Roman" w:hAnsi="Times New Roman" w:cs="Times New Roman"/>
          <w:b/>
        </w:rPr>
        <w:t>Introduction</w:t>
      </w:r>
    </w:p>
    <w:p w:rsidR="00E01C5F" w:rsidRPr="00655B74" w:rsidRDefault="00233984" w:rsidP="00BF77CA">
      <w:p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ab/>
        <w:t>This document outlines the processes to convert raw Next-Generation Sequencing data to</w:t>
      </w:r>
      <w:r w:rsidR="00BF77CA" w:rsidRPr="00BF77CA">
        <w:rPr>
          <w:rFonts w:ascii="Times New Roman" w:hAnsi="Times New Roman" w:cs="Times New Roman"/>
        </w:rPr>
        <w:t xml:space="preserve"> interpretation ready reports using the</w:t>
      </w:r>
      <w:r w:rsidR="00E01C5F">
        <w:rPr>
          <w:rFonts w:ascii="Times New Roman" w:hAnsi="Times New Roman" w:cs="Times New Roman"/>
        </w:rPr>
        <w:t xml:space="preserve"> </w:t>
      </w:r>
      <w:proofErr w:type="spellStart"/>
      <w:r w:rsidR="00E01C5F">
        <w:rPr>
          <w:rFonts w:ascii="Times New Roman" w:hAnsi="Times New Roman" w:cs="Times New Roman"/>
        </w:rPr>
        <w:t>ArcherDX</w:t>
      </w:r>
      <w:proofErr w:type="spellEnd"/>
      <w:r w:rsidR="00E01C5F">
        <w:rPr>
          <w:rFonts w:ascii="Times New Roman" w:hAnsi="Times New Roman" w:cs="Times New Roman"/>
        </w:rPr>
        <w:t xml:space="preserve"> Version 5.0.6 analysis pipeline</w:t>
      </w:r>
      <w:r w:rsidR="00BF77CA" w:rsidRPr="00BF77CA">
        <w:rPr>
          <w:rFonts w:ascii="Times New Roman" w:hAnsi="Times New Roman" w:cs="Times New Roman"/>
        </w:rPr>
        <w:t xml:space="preserve">. </w:t>
      </w:r>
      <w:r w:rsidRPr="00BF77CA">
        <w:rPr>
          <w:rFonts w:ascii="Times New Roman" w:hAnsi="Times New Roman" w:cs="Times New Roman"/>
        </w:rPr>
        <w:t>Individual applications, algorithms, software, scripts, references and annotat</w:t>
      </w:r>
      <w:r w:rsidR="0036426D" w:rsidRPr="00BF77CA">
        <w:rPr>
          <w:rFonts w:ascii="Times New Roman" w:hAnsi="Times New Roman" w:cs="Times New Roman"/>
        </w:rPr>
        <w:t>ion mechanisms are clearly stated</w:t>
      </w:r>
      <w:r w:rsidR="00AD78A3" w:rsidRPr="00BF77CA">
        <w:rPr>
          <w:rFonts w:ascii="Times New Roman" w:hAnsi="Times New Roman" w:cs="Times New Roman"/>
        </w:rPr>
        <w:t>. A</w:t>
      </w:r>
      <w:r w:rsidRPr="00BF77CA">
        <w:rPr>
          <w:rFonts w:ascii="Times New Roman" w:hAnsi="Times New Roman" w:cs="Times New Roman"/>
        </w:rPr>
        <w:t>ll CPD developed code</w:t>
      </w:r>
      <w:r w:rsidR="005D0456" w:rsidRPr="00BF77CA">
        <w:rPr>
          <w:rFonts w:ascii="Times New Roman" w:hAnsi="Times New Roman" w:cs="Times New Roman"/>
        </w:rPr>
        <w:t xml:space="preserve"> including the connection of discrete applications and utilized parameters are provided</w:t>
      </w:r>
      <w:r w:rsidR="00AD78A3" w:rsidRPr="00BF77CA">
        <w:rPr>
          <w:rFonts w:ascii="Times New Roman" w:hAnsi="Times New Roman" w:cs="Times New Roman"/>
        </w:rPr>
        <w:t>, and in the case of thir</w:t>
      </w:r>
      <w:r w:rsidR="0036426D" w:rsidRPr="00BF77CA">
        <w:rPr>
          <w:rFonts w:ascii="Times New Roman" w:hAnsi="Times New Roman" w:cs="Times New Roman"/>
        </w:rPr>
        <w:t xml:space="preserve">d party software and references, </w:t>
      </w:r>
      <w:r w:rsidR="00AD78A3" w:rsidRPr="00BF77CA">
        <w:rPr>
          <w:rFonts w:ascii="Times New Roman" w:hAnsi="Times New Roman" w:cs="Times New Roman"/>
        </w:rPr>
        <w:t xml:space="preserve">locations for retrieval </w:t>
      </w:r>
      <w:r w:rsidR="0036426D" w:rsidRPr="00BF77CA">
        <w:rPr>
          <w:rFonts w:ascii="Times New Roman" w:hAnsi="Times New Roman" w:cs="Times New Roman"/>
        </w:rPr>
        <w:t xml:space="preserve">of these resources </w:t>
      </w:r>
      <w:r w:rsidR="00AD78A3" w:rsidRPr="00BF77CA">
        <w:rPr>
          <w:rFonts w:ascii="Times New Roman" w:hAnsi="Times New Roman" w:cs="Times New Roman"/>
        </w:rPr>
        <w:t>are provided</w:t>
      </w:r>
      <w:r w:rsidRPr="00BF77CA">
        <w:rPr>
          <w:rFonts w:ascii="Times New Roman" w:hAnsi="Times New Roman" w:cs="Times New Roman"/>
        </w:rPr>
        <w:t>.</w:t>
      </w:r>
      <w:r w:rsidR="00A14247">
        <w:rPr>
          <w:rFonts w:ascii="Times New Roman" w:hAnsi="Times New Roman" w:cs="Times New Roman"/>
        </w:rPr>
        <w:t xml:space="preserve"> All utilized bed files and scripts are provid</w:t>
      </w:r>
      <w:r w:rsidR="00E01C5F">
        <w:rPr>
          <w:rFonts w:ascii="Times New Roman" w:hAnsi="Times New Roman" w:cs="Times New Roman"/>
        </w:rPr>
        <w:t xml:space="preserve">ed with this document and expanded details </w:t>
      </w:r>
      <w:r w:rsidR="00A14247">
        <w:rPr>
          <w:rFonts w:ascii="Times New Roman" w:hAnsi="Times New Roman" w:cs="Times New Roman"/>
        </w:rPr>
        <w:t>can be found in the appendices.</w:t>
      </w:r>
      <w:r w:rsidRPr="00BF77CA">
        <w:rPr>
          <w:rFonts w:ascii="Times New Roman" w:hAnsi="Times New Roman" w:cs="Times New Roman"/>
        </w:rPr>
        <w:t xml:space="preserve"> </w:t>
      </w:r>
      <w:r w:rsidR="00BF77CA" w:rsidRPr="00BF77CA">
        <w:rPr>
          <w:rFonts w:ascii="Times New Roman" w:hAnsi="Times New Roman" w:cs="Times New Roman"/>
        </w:rPr>
        <w:t xml:space="preserve">For validation documentation including acceptation and rejection criteria as well as </w:t>
      </w:r>
      <w:r w:rsidR="00E01C5F">
        <w:rPr>
          <w:rFonts w:ascii="Times New Roman" w:hAnsi="Times New Roman" w:cs="Times New Roman"/>
        </w:rPr>
        <w:t>the variant spectrum and laboratory processes please see (ask Robyn for name for doc)</w:t>
      </w:r>
      <w:r w:rsidR="00BF77CA" w:rsidRPr="00BF77CA">
        <w:rPr>
          <w:rFonts w:ascii="Times New Roman" w:hAnsi="Times New Roman" w:cs="Times New Roman"/>
        </w:rPr>
        <w:t xml:space="preserve">. </w:t>
      </w:r>
    </w:p>
    <w:p w:rsidR="0086286E" w:rsidRPr="00BF77CA" w:rsidRDefault="0086286E" w:rsidP="00BF77CA">
      <w:pPr>
        <w:spacing w:line="276" w:lineRule="auto"/>
        <w:rPr>
          <w:rFonts w:ascii="Times New Roman" w:hAnsi="Times New Roman" w:cs="Times New Roman"/>
          <w:b/>
        </w:rPr>
      </w:pPr>
      <w:r w:rsidRPr="00BF77CA">
        <w:rPr>
          <w:rFonts w:ascii="Times New Roman" w:hAnsi="Times New Roman" w:cs="Times New Roman"/>
          <w:b/>
        </w:rPr>
        <w:t xml:space="preserve">Software and </w:t>
      </w:r>
      <w:r w:rsidR="00447EEA" w:rsidRPr="00BF77CA">
        <w:rPr>
          <w:rFonts w:ascii="Times New Roman" w:hAnsi="Times New Roman" w:cs="Times New Roman"/>
          <w:b/>
        </w:rPr>
        <w:t xml:space="preserve">Reference </w:t>
      </w:r>
      <w:r w:rsidRPr="00BF77CA">
        <w:rPr>
          <w:rFonts w:ascii="Times New Roman" w:hAnsi="Times New Roman" w:cs="Times New Roman"/>
          <w:b/>
        </w:rPr>
        <w:t xml:space="preserve">Documentation </w:t>
      </w:r>
    </w:p>
    <w:p w:rsidR="00BF77CA" w:rsidRDefault="0086286E" w:rsidP="00BF77CA">
      <w:p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ab/>
        <w:t>All utilized software, including third party and in-house developed, are provided below. Links for documentation and download, as well as the utilized version are provided. CPD developed</w:t>
      </w:r>
      <w:r w:rsidR="000B4397">
        <w:rPr>
          <w:rFonts w:ascii="Times New Roman" w:hAnsi="Times New Roman" w:cs="Times New Roman"/>
        </w:rPr>
        <w:t xml:space="preserve"> code can be retrieved from our </w:t>
      </w:r>
      <w:proofErr w:type="spellStart"/>
      <w:r w:rsidR="000B4397">
        <w:rPr>
          <w:rFonts w:ascii="Times New Roman" w:hAnsi="Times New Roman" w:cs="Times New Roman"/>
        </w:rPr>
        <w:t>Github</w:t>
      </w:r>
      <w:proofErr w:type="spellEnd"/>
      <w:r w:rsidR="000B4397">
        <w:rPr>
          <w:rFonts w:ascii="Times New Roman" w:hAnsi="Times New Roman" w:cs="Times New Roman"/>
        </w:rPr>
        <w:t xml:space="preserve"> page (</w:t>
      </w:r>
      <w:hyperlink r:id="rId12" w:history="1">
        <w:r w:rsidR="000B4397" w:rsidRPr="005223BD">
          <w:rPr>
            <w:rStyle w:val="Hyperlink"/>
            <w:rFonts w:ascii="Times New Roman" w:hAnsi="Times New Roman" w:cs="Times New Roman"/>
          </w:rPr>
          <w:t>https://github.com/faryabiLab/cpdUpenn</w:t>
        </w:r>
      </w:hyperlink>
      <w:r w:rsidR="000B4397">
        <w:rPr>
          <w:rFonts w:ascii="Times New Roman" w:hAnsi="Times New Roman" w:cs="Times New Roman"/>
        </w:rPr>
        <w:t>). For access to code and utilized servers contact the appropriate CPD personnel. For detailed information and additional downloads should one be needed cont</w:t>
      </w:r>
      <w:r w:rsidR="000074BE">
        <w:rPr>
          <w:rFonts w:ascii="Times New Roman" w:hAnsi="Times New Roman" w:cs="Times New Roman"/>
        </w:rPr>
        <w:t xml:space="preserve">act an </w:t>
      </w:r>
      <w:proofErr w:type="spellStart"/>
      <w:r w:rsidR="000074BE">
        <w:rPr>
          <w:rFonts w:ascii="Times New Roman" w:hAnsi="Times New Roman" w:cs="Times New Roman"/>
        </w:rPr>
        <w:t>ArcherDX</w:t>
      </w:r>
      <w:proofErr w:type="spellEnd"/>
      <w:r w:rsidR="000074BE">
        <w:rPr>
          <w:rFonts w:ascii="Times New Roman" w:hAnsi="Times New Roman" w:cs="Times New Roman"/>
        </w:rPr>
        <w:t xml:space="preserve"> representative or refer to the software manual located at UPHSISILON\</w:t>
      </w:r>
      <w:proofErr w:type="spellStart"/>
      <w:r w:rsidR="000074BE">
        <w:rPr>
          <w:rFonts w:ascii="Times New Roman" w:hAnsi="Times New Roman" w:cs="Times New Roman"/>
        </w:rPr>
        <w:t>PathCPD</w:t>
      </w:r>
      <w:proofErr w:type="spellEnd"/>
      <w:r w:rsidR="000074BE">
        <w:rPr>
          <w:rFonts w:ascii="Times New Roman" w:hAnsi="Times New Roman" w:cs="Times New Roman"/>
        </w:rPr>
        <w:t>\</w:t>
      </w:r>
      <w:r w:rsidR="000074BE" w:rsidRPr="000074BE">
        <w:rPr>
          <w:rFonts w:ascii="Times New Roman" w:hAnsi="Times New Roman" w:cs="Times New Roman"/>
        </w:rPr>
        <w:t>Informatics\Software\Archer</w:t>
      </w:r>
      <w:r w:rsidR="00D34307">
        <w:rPr>
          <w:rFonts w:ascii="Times New Roman" w:hAnsi="Times New Roman" w:cs="Times New Roman"/>
        </w:rPr>
        <w:t>.</w:t>
      </w:r>
    </w:p>
    <w:p w:rsidR="00D34307" w:rsidRDefault="00D34307" w:rsidP="00BF77CA">
      <w:pPr>
        <w:spacing w:line="276" w:lineRule="auto"/>
        <w:rPr>
          <w:rFonts w:ascii="Times New Roman" w:hAnsi="Times New Roman" w:cs="Times New Roman"/>
        </w:rPr>
      </w:pPr>
    </w:p>
    <w:p w:rsidR="00D34307" w:rsidRDefault="00D34307" w:rsidP="00BF77CA">
      <w:pPr>
        <w:spacing w:line="276" w:lineRule="auto"/>
        <w:rPr>
          <w:rFonts w:ascii="Times New Roman" w:hAnsi="Times New Roman" w:cs="Times New Roman"/>
        </w:rPr>
      </w:pPr>
    </w:p>
    <w:p w:rsidR="008275F3" w:rsidRDefault="008275F3" w:rsidP="00BF77CA">
      <w:pPr>
        <w:spacing w:line="276" w:lineRule="auto"/>
        <w:rPr>
          <w:rFonts w:ascii="Times New Roman" w:hAnsi="Times New Roman" w:cs="Times New Roman"/>
        </w:rPr>
      </w:pPr>
    </w:p>
    <w:tbl>
      <w:tblPr>
        <w:tblW w:w="10480" w:type="dxa"/>
        <w:tblLook w:val="04A0" w:firstRow="1" w:lastRow="0" w:firstColumn="1" w:lastColumn="0" w:noHBand="0" w:noVBand="1"/>
      </w:tblPr>
      <w:tblGrid>
        <w:gridCol w:w="3660"/>
        <w:gridCol w:w="1720"/>
        <w:gridCol w:w="5100"/>
      </w:tblGrid>
      <w:tr w:rsidR="00F63C7F" w:rsidRPr="00F63C7F" w:rsidTr="00F63C7F">
        <w:trPr>
          <w:trHeight w:val="31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Third Party Programs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5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Retrieval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F3C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Archer Analysis Virtual Machine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5.06.6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 xml:space="preserve">CPD </w:t>
            </w:r>
            <w:proofErr w:type="spellStart"/>
            <w:r w:rsidRPr="00F63C7F">
              <w:rPr>
                <w:rFonts w:ascii="Calibri" w:eastAsia="Times New Roman" w:hAnsi="Calibri" w:cs="Calibri"/>
                <w:color w:val="000000"/>
              </w:rPr>
              <w:t>Isilon</w:t>
            </w:r>
            <w:proofErr w:type="spellEnd"/>
            <w:r w:rsidRPr="00F63C7F">
              <w:rPr>
                <w:rFonts w:ascii="Calibri" w:eastAsia="Times New Roman" w:hAnsi="Calibri" w:cs="Calibri"/>
                <w:color w:val="000000"/>
              </w:rPr>
              <w:t>:/Software/</w:t>
            </w:r>
            <w:proofErr w:type="spellStart"/>
            <w:r w:rsidRPr="00F63C7F">
              <w:rPr>
                <w:rFonts w:ascii="Calibri" w:eastAsia="Times New Roman" w:hAnsi="Calibri" w:cs="Calibri"/>
                <w:color w:val="000000"/>
              </w:rPr>
              <w:t>ArcherDX</w:t>
            </w:r>
            <w:proofErr w:type="spellEnd"/>
          </w:p>
        </w:tc>
      </w:tr>
      <w:tr w:rsidR="006B1F3C" w:rsidRPr="00F63C7F" w:rsidTr="00F63C7F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B1F3C" w:rsidRPr="00F63C7F" w:rsidRDefault="006B1F3C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bcl2fastq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1F3C" w:rsidRPr="00F63C7F" w:rsidRDefault="006B1F3C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1.8.2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B1F3C" w:rsidRPr="00F63C7F" w:rsidRDefault="006B1F3C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1F3C">
              <w:rPr>
                <w:rFonts w:ascii="Calibri" w:eastAsia="Times New Roman" w:hAnsi="Calibri" w:cs="Calibri"/>
                <w:color w:val="000000"/>
              </w:rPr>
              <w:t>https://support.illumina.com/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CPD Developed Code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5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Retrieval</w:t>
            </w:r>
          </w:p>
        </w:tc>
      </w:tr>
      <w:tr w:rsidR="00F63C7F" w:rsidRPr="00F63C7F" w:rsidTr="00F63C7F">
        <w:trPr>
          <w:trHeight w:val="300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lastRenderedPageBreak/>
              <w:t>demultiplex_archer.sh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https://github.com/faryabiLab/cpdUpenn/tree/archer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7F14C5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archer_api</w:t>
            </w:r>
            <w:r w:rsidR="006B1F3C">
              <w:rPr>
                <w:rFonts w:ascii="Calibri" w:eastAsia="Times New Roman" w:hAnsi="Calibri" w:cs="Calibri"/>
                <w:color w:val="000000"/>
              </w:rPr>
              <w:t>_parse.</w:t>
            </w:r>
            <w:r w:rsidR="00F63C7F" w:rsidRPr="00F63C7F">
              <w:rPr>
                <w:rFonts w:ascii="Calibri" w:eastAsia="Times New Roman" w:hAnsi="Calibri" w:cs="Calibri"/>
                <w:color w:val="000000"/>
              </w:rPr>
              <w:t>py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https://github.com/faryabiLab/cpdUpenn/tree/archer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Associated Genomic Files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5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Retrieval</w:t>
            </w:r>
          </w:p>
        </w:tc>
      </w:tr>
      <w:tr w:rsidR="00F63C7F" w:rsidRPr="00F63C7F" w:rsidTr="00F63C7F">
        <w:trPr>
          <w:trHeight w:val="300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CKP0050-v2.1-Full_Panel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bed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https://github.com/faryabiLab/cpdUpenn/tree/archer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CKP0050-v2.1-Full_Panel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3C7F">
              <w:rPr>
                <w:rFonts w:ascii="Calibri" w:eastAsia="Times New Roman" w:hAnsi="Calibri" w:cs="Calibri"/>
                <w:color w:val="000000"/>
              </w:rPr>
              <w:t>gtf</w:t>
            </w:r>
            <w:proofErr w:type="spellEnd"/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https://github.com/faryabiLab/cpdUpenn/tree/archer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IT Domains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5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3C7F">
              <w:rPr>
                <w:rFonts w:ascii="Calibri" w:eastAsia="Times New Roman" w:hAnsi="Calibri" w:cs="Calibri"/>
                <w:b/>
                <w:bCs/>
                <w:color w:val="000000"/>
              </w:rPr>
              <w:t>Access</w:t>
            </w:r>
          </w:p>
        </w:tc>
      </w:tr>
      <w:tr w:rsidR="00F63C7F" w:rsidRPr="00F63C7F" w:rsidTr="00F63C7F">
        <w:trPr>
          <w:trHeight w:val="300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UPHSISILON-</w:t>
            </w:r>
            <w:proofErr w:type="spellStart"/>
            <w:r w:rsidRPr="00F63C7F">
              <w:rPr>
                <w:rFonts w:ascii="Calibri" w:eastAsia="Times New Roman" w:hAnsi="Calibri" w:cs="Calibri"/>
                <w:color w:val="000000"/>
              </w:rPr>
              <w:t>PTP.uphs.pennhealth.prv</w:t>
            </w:r>
            <w:proofErr w:type="spellEnd"/>
            <w:r w:rsidRPr="00F63C7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IT Provided</w:t>
            </w:r>
          </w:p>
        </w:tc>
      </w:tr>
      <w:tr w:rsidR="00F63C7F" w:rsidRPr="00F63C7F" w:rsidTr="00F63C7F">
        <w:trPr>
          <w:trHeight w:val="300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170.212.141.107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Demultiplexing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IT/CPD Provided</w:t>
            </w:r>
          </w:p>
        </w:tc>
      </w:tr>
      <w:tr w:rsidR="00F63C7F" w:rsidRPr="00F63C7F" w:rsidTr="00F63C7F">
        <w:trPr>
          <w:trHeight w:val="300"/>
        </w:trPr>
        <w:tc>
          <w:tcPr>
            <w:tcW w:w="36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170.212.137.168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Archer VM Host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IT/CPD Provided</w:t>
            </w:r>
          </w:p>
        </w:tc>
      </w:tr>
      <w:tr w:rsidR="00F63C7F" w:rsidRPr="00F63C7F" w:rsidTr="00F63C7F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uphappndc539.uphs.upenn.edu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FileMaker Data</w:t>
            </w:r>
          </w:p>
        </w:tc>
        <w:tc>
          <w:tcPr>
            <w:tcW w:w="5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3C7F" w:rsidRPr="00F63C7F" w:rsidRDefault="00F63C7F" w:rsidP="00F63C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3C7F">
              <w:rPr>
                <w:rFonts w:ascii="Calibri" w:eastAsia="Times New Roman" w:hAnsi="Calibri" w:cs="Calibri"/>
                <w:color w:val="000000"/>
              </w:rPr>
              <w:t>IT/CPD Provided</w:t>
            </w:r>
          </w:p>
        </w:tc>
      </w:tr>
    </w:tbl>
    <w:p w:rsidR="00F63C7F" w:rsidRPr="00BF77CA" w:rsidRDefault="00F63C7F" w:rsidP="00BF77CA">
      <w:pPr>
        <w:spacing w:line="276" w:lineRule="auto"/>
        <w:rPr>
          <w:rFonts w:ascii="Times New Roman" w:hAnsi="Times New Roman" w:cs="Times New Roman"/>
        </w:rPr>
      </w:pPr>
    </w:p>
    <w:p w:rsidR="00BF77CA" w:rsidRDefault="00BF77CA" w:rsidP="00A14247">
      <w:p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  <w:b/>
        </w:rPr>
        <w:t xml:space="preserve">Figure 1: </w:t>
      </w:r>
      <w:r w:rsidR="00F63C7F">
        <w:rPr>
          <w:rFonts w:ascii="Times New Roman" w:hAnsi="Times New Roman" w:cs="Times New Roman"/>
        </w:rPr>
        <w:t xml:space="preserve">Software and dependencies </w:t>
      </w:r>
      <w:r w:rsidRPr="00BF77CA">
        <w:rPr>
          <w:rFonts w:ascii="Times New Roman" w:hAnsi="Times New Roman" w:cs="Times New Roman"/>
        </w:rPr>
        <w:t>req</w:t>
      </w:r>
      <w:r w:rsidR="00F63C7F">
        <w:rPr>
          <w:rFonts w:ascii="Times New Roman" w:hAnsi="Times New Roman" w:cs="Times New Roman"/>
        </w:rPr>
        <w:t>uired to run Archer Analysis</w:t>
      </w:r>
    </w:p>
    <w:p w:rsidR="00655B74" w:rsidRDefault="00655B74" w:rsidP="00A14247">
      <w:pPr>
        <w:spacing w:line="276" w:lineRule="auto"/>
        <w:rPr>
          <w:rFonts w:ascii="Times New Roman" w:hAnsi="Times New Roman" w:cs="Times New Roman"/>
        </w:rPr>
      </w:pPr>
    </w:p>
    <w:p w:rsidR="00A713B3" w:rsidRDefault="00655B74" w:rsidP="00BF77CA">
      <w:pPr>
        <w:spacing w:line="276" w:lineRule="auto"/>
        <w:rPr>
          <w:rFonts w:ascii="Times New Roman" w:hAnsi="Times New Roman" w:cs="Times New Roman"/>
          <w:b/>
        </w:rPr>
      </w:pPr>
      <w:r w:rsidRPr="00655B74">
        <w:rPr>
          <w:rFonts w:ascii="Times New Roman" w:hAnsi="Times New Roman" w:cs="Times New Roman"/>
          <w:b/>
        </w:rPr>
        <w:t>Virtual Machine Configuration</w:t>
      </w:r>
    </w:p>
    <w:p w:rsidR="00530ED6" w:rsidRPr="008275F3" w:rsidRDefault="00530ED6" w:rsidP="008275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275F3">
        <w:rPr>
          <w:rFonts w:ascii="Times New Roman" w:hAnsi="Times New Roman" w:cs="Times New Roman"/>
        </w:rPr>
        <w:t xml:space="preserve">UPHS IS </w:t>
      </w:r>
      <w:r w:rsidR="008275F3" w:rsidRPr="008275F3">
        <w:rPr>
          <w:rFonts w:ascii="Times New Roman" w:hAnsi="Times New Roman" w:cs="Times New Roman"/>
        </w:rPr>
        <w:t>manages the IP 170.212.137.168</w:t>
      </w:r>
      <w:r w:rsidR="00C5275E" w:rsidRPr="008275F3">
        <w:rPr>
          <w:rFonts w:ascii="Times New Roman" w:hAnsi="Times New Roman" w:cs="Times New Roman"/>
        </w:rPr>
        <w:t>, as well as the intended storage location</w:t>
      </w:r>
      <w:r w:rsidR="008275F3" w:rsidRPr="008275F3">
        <w:rPr>
          <w:rFonts w:ascii="Times New Roman" w:hAnsi="Times New Roman" w:cs="Times New Roman"/>
        </w:rPr>
        <w:t xml:space="preserve"> UPHSISILON-</w:t>
      </w:r>
      <w:proofErr w:type="spellStart"/>
      <w:r w:rsidR="008275F3" w:rsidRPr="008275F3">
        <w:rPr>
          <w:rFonts w:ascii="Times New Roman" w:hAnsi="Times New Roman" w:cs="Times New Roman"/>
        </w:rPr>
        <w:t>PTP.uphs.pennhealth.prv</w:t>
      </w:r>
      <w:proofErr w:type="spellEnd"/>
      <w:r w:rsidR="00C5275E" w:rsidRPr="008275F3">
        <w:rPr>
          <w:rFonts w:ascii="Times New Roman" w:hAnsi="Times New Roman" w:cs="Times New Roman"/>
        </w:rPr>
        <w:t xml:space="preserve">, though the machine is capable of storing data locally. </w:t>
      </w:r>
    </w:p>
    <w:p w:rsidR="00C5275E" w:rsidRPr="008275F3" w:rsidRDefault="008275F3" w:rsidP="008275F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275F3">
        <w:rPr>
          <w:rFonts w:ascii="Times New Roman" w:hAnsi="Times New Roman" w:cs="Times New Roman"/>
        </w:rPr>
        <w:t xml:space="preserve">Archer VM Analysis 5.0.6 is installed on the Cent OS 6.8 system. </w:t>
      </w:r>
    </w:p>
    <w:p w:rsidR="008275F3" w:rsidRPr="008275F3" w:rsidRDefault="008275F3" w:rsidP="008275F3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 w:rsidRPr="008275F3">
        <w:rPr>
          <w:rFonts w:ascii="Times New Roman" w:hAnsi="Times New Roman" w:cs="Times New Roman"/>
        </w:rPr>
        <w:t xml:space="preserve">Installation has been modified to output analysis to UPHSISILON-PTP.uphs.pennhealth.prv/ifs/data/PathCPD/FromHPC/Archer. If attempting to remount, know that all permissions must be inherited for the web application to work correctly. </w:t>
      </w:r>
    </w:p>
    <w:p w:rsidR="008275F3" w:rsidRPr="006B1F3C" w:rsidRDefault="008275F3" w:rsidP="006B1F3C">
      <w:pPr>
        <w:pStyle w:val="ListParagraph"/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</w:rPr>
      </w:pPr>
      <w:r w:rsidRPr="008275F3">
        <w:rPr>
          <w:rFonts w:ascii="Times New Roman" w:hAnsi="Times New Roman" w:cs="Times New Roman"/>
        </w:rPr>
        <w:t xml:space="preserve">Installation has been modified to process 5 samples in </w:t>
      </w:r>
      <w:r w:rsidR="006B1F3C" w:rsidRPr="008275F3">
        <w:rPr>
          <w:rFonts w:ascii="Times New Roman" w:hAnsi="Times New Roman" w:cs="Times New Roman"/>
        </w:rPr>
        <w:t>parallel by</w:t>
      </w:r>
      <w:r w:rsidRPr="008275F3">
        <w:rPr>
          <w:rFonts w:ascii="Times New Roman" w:hAnsi="Times New Roman" w:cs="Times New Roman"/>
        </w:rPr>
        <w:t xml:space="preserve"> modifying /</w:t>
      </w:r>
      <w:proofErr w:type="spellStart"/>
      <w:r w:rsidRPr="008275F3">
        <w:rPr>
          <w:rFonts w:ascii="Times New Roman" w:hAnsi="Times New Roman" w:cs="Times New Roman"/>
        </w:rPr>
        <w:t>var</w:t>
      </w:r>
      <w:proofErr w:type="spellEnd"/>
      <w:r w:rsidRPr="008275F3">
        <w:rPr>
          <w:rFonts w:ascii="Times New Roman" w:hAnsi="Times New Roman" w:cs="Times New Roman"/>
        </w:rPr>
        <w:t>/spool/torque/</w:t>
      </w:r>
      <w:proofErr w:type="spellStart"/>
      <w:r w:rsidRPr="008275F3">
        <w:rPr>
          <w:rFonts w:ascii="Times New Roman" w:hAnsi="Times New Roman" w:cs="Times New Roman"/>
        </w:rPr>
        <w:t>server_priv</w:t>
      </w:r>
      <w:proofErr w:type="spellEnd"/>
      <w:r w:rsidRPr="008275F3">
        <w:rPr>
          <w:rFonts w:ascii="Times New Roman" w:hAnsi="Times New Roman" w:cs="Times New Roman"/>
        </w:rPr>
        <w:t>/nodes~ and this process is outlined in the provided user manual.</w:t>
      </w:r>
      <w:r w:rsidR="006B1F3C">
        <w:rPr>
          <w:rFonts w:ascii="Times New Roman" w:hAnsi="Times New Roman" w:cs="Times New Roman"/>
          <w:b/>
        </w:rPr>
        <w:t xml:space="preserve"> </w:t>
      </w:r>
      <w:r w:rsidR="006B1F3C">
        <w:rPr>
          <w:rFonts w:ascii="Times New Roman" w:hAnsi="Times New Roman" w:cs="Times New Roman"/>
        </w:rPr>
        <w:t>You must restart the web service to adjust the number of nodes.</w:t>
      </w:r>
    </w:p>
    <w:p w:rsidR="006B1F3C" w:rsidRPr="006B1F3C" w:rsidRDefault="006B1F3C" w:rsidP="006B1F3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</w:rPr>
      </w:pPr>
    </w:p>
    <w:p w:rsidR="00AE4FF1" w:rsidRPr="00BF77CA" w:rsidRDefault="00D34307" w:rsidP="00BF77C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Analysis </w:t>
      </w:r>
      <w:r w:rsidR="00AE4FF1" w:rsidRPr="00BF77CA">
        <w:rPr>
          <w:rFonts w:ascii="Times New Roman" w:hAnsi="Times New Roman" w:cs="Times New Roman"/>
          <w:b/>
        </w:rPr>
        <w:t>Protocol</w:t>
      </w:r>
    </w:p>
    <w:p w:rsidR="00327AA4" w:rsidRPr="008275F3" w:rsidRDefault="00AE4FF1" w:rsidP="008275F3">
      <w:p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To provide clarity to the operational protocol a flow chart is provided that describes t</w:t>
      </w:r>
      <w:r w:rsidR="00CA4664" w:rsidRPr="00BF77CA">
        <w:rPr>
          <w:rFonts w:ascii="Times New Roman" w:hAnsi="Times New Roman" w:cs="Times New Roman"/>
        </w:rPr>
        <w:t>he flow of data from a sequencer</w:t>
      </w:r>
      <w:r w:rsidRPr="00BF77CA">
        <w:rPr>
          <w:rFonts w:ascii="Times New Roman" w:hAnsi="Times New Roman" w:cs="Times New Roman"/>
        </w:rPr>
        <w:t>, through an intermediary server, processing environment, and deposit into the LIMS system.</w:t>
      </w:r>
      <w:r w:rsidR="008275F3">
        <w:rPr>
          <w:rFonts w:ascii="Times New Roman" w:hAnsi="Times New Roman" w:cs="Times New Roman"/>
        </w:rPr>
        <w:t xml:space="preserve"> </w:t>
      </w:r>
    </w:p>
    <w:p w:rsidR="00327AA4" w:rsidRDefault="00327AA4" w:rsidP="00327AA4">
      <w:pPr>
        <w:spacing w:line="276" w:lineRule="auto"/>
        <w:rPr>
          <w:rFonts w:ascii="Times New Roman" w:hAnsi="Times New Roman" w:cs="Times New Roman"/>
          <w:b/>
        </w:rPr>
      </w:pPr>
    </w:p>
    <w:p w:rsidR="00327AA4" w:rsidRDefault="00327AA4" w:rsidP="00327AA4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4991100" cy="402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er_flow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F1" w:rsidRDefault="00BF77CA" w:rsidP="00327AA4">
      <w:p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  <w:b/>
        </w:rPr>
        <w:t>Figure    2:</w:t>
      </w:r>
      <w:r w:rsidRPr="00BF77CA">
        <w:rPr>
          <w:rFonts w:ascii="Times New Roman" w:hAnsi="Times New Roman" w:cs="Times New Roman"/>
        </w:rPr>
        <w:t xml:space="preserve">  Data flows from the sequencer to an intermediary server named “demux”. Here demultiplexing occurs and concatenated </w:t>
      </w:r>
      <w:r w:rsidR="00F77671">
        <w:rPr>
          <w:rFonts w:ascii="Times New Roman" w:hAnsi="Times New Roman" w:cs="Times New Roman"/>
        </w:rPr>
        <w:t xml:space="preserve">fastq files are shuttled back to the data store. The Archer VM consumes the fastq files and produces output which is then summarized and uploaded into the FileMaker LIMS System. </w:t>
      </w:r>
    </w:p>
    <w:p w:rsidR="00F77671" w:rsidRDefault="00F77671" w:rsidP="00F7767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F77671">
        <w:rPr>
          <w:rFonts w:ascii="Times New Roman" w:hAnsi="Times New Roman" w:cs="Times New Roman"/>
          <w:b/>
        </w:rPr>
        <w:t xml:space="preserve">Demultiplexing </w:t>
      </w:r>
    </w:p>
    <w:p w:rsidR="00965131" w:rsidRPr="00BF77CA" w:rsidRDefault="00965131" w:rsidP="00965131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Upon run completion, the name of the run folder to be processed is required.   Additionally, access to server 170.212.141 is required and can be obtained by authorized CPD personnel.</w:t>
      </w:r>
    </w:p>
    <w:p w:rsidR="00965131" w:rsidRDefault="00965131" w:rsidP="00965131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 xml:space="preserve">Login to 170.212.141.107 using your credentials. The following command can be used to begin the process of demultiplexing and </w:t>
      </w:r>
      <w:r>
        <w:rPr>
          <w:rFonts w:ascii="Times New Roman" w:hAnsi="Times New Roman" w:cs="Times New Roman"/>
        </w:rPr>
        <w:t xml:space="preserve">fastq generation </w:t>
      </w:r>
      <w:r w:rsidRPr="00BF77CA">
        <w:rPr>
          <w:rFonts w:ascii="Times New Roman" w:hAnsi="Times New Roman" w:cs="Times New Roman"/>
        </w:rPr>
        <w:t xml:space="preserve">(Appendix A). </w:t>
      </w:r>
    </w:p>
    <w:p w:rsidR="00965131" w:rsidRPr="00BF77CA" w:rsidRDefault="00965131" w:rsidP="00965131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./data1/HiSeqRun/</w:t>
      </w:r>
      <w:r>
        <w:rPr>
          <w:rFonts w:ascii="Times New Roman" w:hAnsi="Times New Roman" w:cs="Times New Roman"/>
        </w:rPr>
        <w:t>ARCHER/</w:t>
      </w:r>
      <w:r w:rsidRPr="00BF77CA">
        <w:rPr>
          <w:rFonts w:ascii="Times New Roman" w:hAnsi="Times New Roman" w:cs="Times New Roman"/>
        </w:rPr>
        <w:t>demultiplex</w:t>
      </w:r>
      <w:r>
        <w:rPr>
          <w:rFonts w:ascii="Times New Roman" w:hAnsi="Times New Roman" w:cs="Times New Roman"/>
        </w:rPr>
        <w:t>_archer</w:t>
      </w:r>
      <w:r w:rsidRPr="00BF77CA">
        <w:rPr>
          <w:rFonts w:ascii="Times New Roman" w:hAnsi="Times New Roman" w:cs="Times New Roman"/>
        </w:rPr>
        <w:t>.sh *Run Directory* *Out Directory*</w:t>
      </w:r>
    </w:p>
    <w:p w:rsidR="00965131" w:rsidRPr="00BF77CA" w:rsidRDefault="00965131" w:rsidP="00965131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The Run directory should be a completed HiSeqRun location that is mounted to the server (</w:t>
      </w:r>
      <w:proofErr w:type="spellStart"/>
      <w:r w:rsidRPr="00BF77CA">
        <w:rPr>
          <w:rFonts w:ascii="Times New Roman" w:hAnsi="Times New Roman" w:cs="Times New Roman"/>
        </w:rPr>
        <w:t>e.g</w:t>
      </w:r>
      <w:proofErr w:type="spellEnd"/>
      <w:r w:rsidRPr="00BF77CA">
        <w:rPr>
          <w:rFonts w:ascii="Times New Roman" w:hAnsi="Times New Roman" w:cs="Times New Roman"/>
        </w:rPr>
        <w:t>, Z:\illumina\SeqOut\160909_M01651_0105_AT073).</w:t>
      </w:r>
    </w:p>
    <w:p w:rsidR="00965131" w:rsidRPr="00BF77CA" w:rsidRDefault="00965131" w:rsidP="00965131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lastRenderedPageBreak/>
        <w:t>The directory for output is typically /data1/HiSeqRun/</w:t>
      </w:r>
      <w:r>
        <w:rPr>
          <w:rFonts w:ascii="Times New Roman" w:hAnsi="Times New Roman" w:cs="Times New Roman"/>
        </w:rPr>
        <w:t>ARCHER/</w:t>
      </w:r>
      <w:r w:rsidRPr="00BF77CA">
        <w:rPr>
          <w:rFonts w:ascii="Times New Roman" w:hAnsi="Times New Roman" w:cs="Times New Roman"/>
        </w:rPr>
        <w:t xml:space="preserve"> *Run Directory*, but has been provided as a parameter for flexibility. </w:t>
      </w:r>
    </w:p>
    <w:p w:rsidR="00965131" w:rsidRPr="00BF77CA" w:rsidRDefault="00965131" w:rsidP="00965131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 xml:space="preserve">This program executes </w:t>
      </w:r>
      <w:r>
        <w:rPr>
          <w:rFonts w:ascii="Times New Roman" w:hAnsi="Times New Roman" w:cs="Times New Roman"/>
        </w:rPr>
        <w:t xml:space="preserve">3 </w:t>
      </w:r>
      <w:r w:rsidRPr="00BF77CA">
        <w:rPr>
          <w:rFonts w:ascii="Times New Roman" w:hAnsi="Times New Roman" w:cs="Times New Roman"/>
        </w:rPr>
        <w:t>operations.</w:t>
      </w:r>
    </w:p>
    <w:p w:rsidR="00965131" w:rsidRPr="00BF77CA" w:rsidRDefault="00965131" w:rsidP="00965131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Demultiplexes the Run producing readable fastq files.</w:t>
      </w:r>
    </w:p>
    <w:p w:rsidR="00965131" w:rsidRPr="00BF77CA" w:rsidRDefault="00965131" w:rsidP="00965131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 w:rsidRPr="00BF77CA">
        <w:rPr>
          <w:rFonts w:ascii="Times New Roman" w:hAnsi="Times New Roman" w:cs="Times New Roman"/>
        </w:rPr>
        <w:t>Combines fastq files by read for, a requirement of for pipeline operation.</w:t>
      </w:r>
    </w:p>
    <w:p w:rsidR="00965131" w:rsidRDefault="008A517D" w:rsidP="00965131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Produces a file of reads each fastq file</w:t>
      </w:r>
      <w:r w:rsidR="00965131">
        <w:rPr>
          <w:rFonts w:ascii="Times New Roman" w:hAnsi="Times New Roman" w:cs="Times New Roman"/>
        </w:rPr>
        <w:t xml:space="preserve">. </w:t>
      </w:r>
    </w:p>
    <w:p w:rsidR="00CA64E2" w:rsidRPr="00965131" w:rsidRDefault="00965131" w:rsidP="0096513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965131">
        <w:rPr>
          <w:rFonts w:ascii="Times New Roman" w:hAnsi="Times New Roman" w:cs="Times New Roman"/>
          <w:b/>
        </w:rPr>
        <w:t xml:space="preserve">Archer Analysis </w:t>
      </w:r>
    </w:p>
    <w:p w:rsidR="00965131" w:rsidRDefault="00965131" w:rsidP="00965131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</w:t>
      </w:r>
      <w:hyperlink r:id="rId14" w:history="1">
        <w:r w:rsidRPr="005223BD">
          <w:rPr>
            <w:rStyle w:val="Hyperlink"/>
            <w:rFonts w:ascii="Times New Roman" w:hAnsi="Times New Roman" w:cs="Times New Roman"/>
          </w:rPr>
          <w:t>http://170.212.137.168/auth/login</w:t>
        </w:r>
      </w:hyperlink>
      <w:r>
        <w:rPr>
          <w:rFonts w:ascii="Times New Roman" w:hAnsi="Times New Roman" w:cs="Times New Roman"/>
        </w:rPr>
        <w:t xml:space="preserve"> and login. If you do not have an account, follow the steps for account creation. </w:t>
      </w:r>
      <w:r w:rsidR="004951B5">
        <w:rPr>
          <w:rFonts w:ascii="Times New Roman" w:hAnsi="Times New Roman" w:cs="Times New Roman"/>
        </w:rPr>
        <w:t>Additionally,</w:t>
      </w:r>
      <w:r>
        <w:rPr>
          <w:rFonts w:ascii="Times New Roman" w:hAnsi="Times New Roman" w:cs="Times New Roman"/>
        </w:rPr>
        <w:t xml:space="preserve"> you will require an administrator add you to the </w:t>
      </w:r>
      <w:r w:rsidR="008A517D">
        <w:rPr>
          <w:rFonts w:ascii="Times New Roman" w:hAnsi="Times New Roman" w:cs="Times New Roman"/>
        </w:rPr>
        <w:t xml:space="preserve">CPD_LAB group so that you may view/process common samples. </w:t>
      </w:r>
    </w:p>
    <w:p w:rsidR="008A517D" w:rsidRDefault="008A517D" w:rsidP="00965131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top menu bar navigate to “Perform Analysis” tab. </w:t>
      </w:r>
    </w:p>
    <w:p w:rsidR="008A517D" w:rsidRDefault="008A517D" w:rsidP="008A517D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for analysis</w:t>
      </w:r>
    </w:p>
    <w:p w:rsidR="008A517D" w:rsidRDefault="008A517D" w:rsidP="008A517D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Appropriate Name</w:t>
      </w:r>
    </w:p>
    <w:p w:rsidR="008A517D" w:rsidRDefault="008A517D" w:rsidP="008A517D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RNA Fusion</w:t>
      </w:r>
    </w:p>
    <w:p w:rsidR="008A517D" w:rsidRPr="008A517D" w:rsidRDefault="008A517D" w:rsidP="008A517D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 w:rsidRPr="008A517D">
        <w:rPr>
          <w:rFonts w:ascii="Times New Roman" w:hAnsi="Times New Roman" w:cs="Times New Roman"/>
        </w:rPr>
        <w:t xml:space="preserve">Target Region = </w:t>
      </w:r>
      <w:r w:rsidRPr="008A517D">
        <w:rPr>
          <w:rFonts w:ascii="Calibri" w:eastAsia="Times New Roman" w:hAnsi="Calibri" w:cs="Calibri"/>
          <w:color w:val="000000"/>
        </w:rPr>
        <w:t>CKP0050-v2.1-Full_Panel</w:t>
      </w:r>
    </w:p>
    <w:p w:rsidR="008A517D" w:rsidRDefault="008A517D" w:rsidP="008A517D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Parameters</w:t>
      </w:r>
    </w:p>
    <w:p w:rsidR="008A517D" w:rsidRDefault="008A517D" w:rsidP="008A517D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Correction</w:t>
      </w:r>
    </w:p>
    <w:p w:rsidR="008A517D" w:rsidRDefault="008A517D" w:rsidP="008A517D">
      <w:pPr>
        <w:pStyle w:val="ListParagraph"/>
        <w:numPr>
          <w:ilvl w:val="3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Normalization value should be equal to 1.5 million, or the smallest number of reads obtained from </w:t>
      </w:r>
      <w:r w:rsidR="004951B5">
        <w:rPr>
          <w:rFonts w:ascii="Times New Roman" w:hAnsi="Times New Roman" w:cs="Times New Roman"/>
        </w:rPr>
        <w:t xml:space="preserve">demultiplexing out-put file suffix _read_counts.txt. </w:t>
      </w:r>
    </w:p>
    <w:p w:rsidR="004951B5" w:rsidRDefault="00564DA7" w:rsidP="00564DA7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</w:t>
      </w:r>
      <w:r w:rsidR="00C4553A">
        <w:rPr>
          <w:rFonts w:ascii="Times New Roman" w:hAnsi="Times New Roman" w:cs="Times New Roman"/>
        </w:rPr>
        <w:t xml:space="preserve"> will be viewable in the “Home” tab, here you can see recently run samples as well as running jobs. For previous results, view “Past Results”.</w:t>
      </w:r>
    </w:p>
    <w:p w:rsidR="00C4553A" w:rsidRDefault="00C4553A" w:rsidP="00C4553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8B3A9D">
        <w:rPr>
          <w:rFonts w:ascii="Times New Roman" w:hAnsi="Times New Roman" w:cs="Times New Roman"/>
          <w:b/>
        </w:rPr>
        <w:t xml:space="preserve">Data </w:t>
      </w:r>
      <w:r w:rsidR="008B3A9D" w:rsidRPr="008B3A9D">
        <w:rPr>
          <w:rFonts w:ascii="Times New Roman" w:hAnsi="Times New Roman" w:cs="Times New Roman"/>
          <w:b/>
        </w:rPr>
        <w:t>Summarization</w:t>
      </w:r>
      <w:r w:rsidRPr="008B3A9D">
        <w:rPr>
          <w:rFonts w:ascii="Times New Roman" w:hAnsi="Times New Roman" w:cs="Times New Roman"/>
          <w:b/>
        </w:rPr>
        <w:t xml:space="preserve"> and Upload</w:t>
      </w:r>
    </w:p>
    <w:p w:rsidR="006B1F3C" w:rsidRDefault="00197212" w:rsidP="006B1F3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890FB1">
        <w:rPr>
          <w:rFonts w:ascii="Times New Roman" w:hAnsi="Times New Roman" w:cs="Times New Roman"/>
        </w:rPr>
        <w:t xml:space="preserve">To view run completion navigate to </w:t>
      </w:r>
      <w:hyperlink r:id="rId15" w:history="1">
        <w:r w:rsidRPr="00890FB1">
          <w:rPr>
            <w:rStyle w:val="Hyperlink"/>
            <w:rFonts w:ascii="Times New Roman" w:hAnsi="Times New Roman" w:cs="Times New Roman"/>
          </w:rPr>
          <w:t>http://170.212.137.168/past_results</w:t>
        </w:r>
      </w:hyperlink>
      <w:r w:rsidRPr="00890FB1">
        <w:rPr>
          <w:rFonts w:ascii="Times New Roman" w:hAnsi="Times New Roman" w:cs="Times New Roman"/>
        </w:rPr>
        <w:t xml:space="preserve"> where you will find the job status and, under the column listed as job and [ID] listed job name. </w:t>
      </w:r>
      <w:r w:rsidR="006B1F3C">
        <w:rPr>
          <w:rFonts w:ascii="Times New Roman" w:hAnsi="Times New Roman" w:cs="Times New Roman"/>
        </w:rPr>
        <w:t xml:space="preserve">If any errors occur, they will be viewable from here.                    </w:t>
      </w:r>
    </w:p>
    <w:p w:rsidR="00197212" w:rsidRDefault="006B1F3C" w:rsidP="006B1F3C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completion of an archer run a job hook summarizes read statistics as well as variants for upload to the CPD FileMaker Database and these files can be found using the Archer Job ID</w:t>
      </w:r>
      <w:r w:rsidR="00197212" w:rsidRPr="00890FB1">
        <w:rPr>
          <w:rFonts w:ascii="Times New Roman" w:hAnsi="Times New Roman" w:cs="Times New Roman"/>
        </w:rPr>
        <w:t xml:space="preserve"> to navigate</w:t>
      </w:r>
      <w:r>
        <w:rPr>
          <w:rFonts w:ascii="Times New Roman" w:hAnsi="Times New Roman" w:cs="Times New Roman"/>
        </w:rPr>
        <w:t xml:space="preserve"> to the folder directly to the </w:t>
      </w:r>
      <w:proofErr w:type="spellStart"/>
      <w:r>
        <w:rPr>
          <w:rFonts w:ascii="Times New Roman" w:hAnsi="Times New Roman" w:cs="Times New Roman"/>
        </w:rPr>
        <w:t>Isilon</w:t>
      </w:r>
      <w:proofErr w:type="spellEnd"/>
      <w:r>
        <w:rPr>
          <w:rFonts w:ascii="Times New Roman" w:hAnsi="Times New Roman" w:cs="Times New Roman"/>
        </w:rPr>
        <w:t xml:space="preserve"> shared drive. </w:t>
      </w:r>
    </w:p>
    <w:p w:rsidR="006B1F3C" w:rsidRDefault="006B1F3C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PathCPD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FromHPC</w:t>
      </w:r>
      <w:proofErr w:type="spellEnd"/>
      <w:r>
        <w:rPr>
          <w:rFonts w:ascii="Times New Roman" w:hAnsi="Times New Roman" w:cs="Times New Roman"/>
        </w:rPr>
        <w:t>/Archer/[JOB_ID]/[JOB_</w:t>
      </w:r>
      <w:proofErr w:type="gramStart"/>
      <w:r>
        <w:rPr>
          <w:rFonts w:ascii="Times New Roman" w:hAnsi="Times New Roman" w:cs="Times New Roman"/>
        </w:rPr>
        <w:t>ID]_RunStatsFinal.txt</w:t>
      </w:r>
      <w:proofErr w:type="gramEnd"/>
    </w:p>
    <w:p w:rsidR="006B1F3C" w:rsidRDefault="006B1F3C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</w:t>
      </w:r>
      <w:proofErr w:type="spellStart"/>
      <w:r>
        <w:rPr>
          <w:rFonts w:ascii="Times New Roman" w:hAnsi="Times New Roman" w:cs="Times New Roman"/>
        </w:rPr>
        <w:t>PathCPD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FromHPC</w:t>
      </w:r>
      <w:proofErr w:type="spellEnd"/>
      <w:r>
        <w:rPr>
          <w:rFonts w:ascii="Times New Roman" w:hAnsi="Times New Roman" w:cs="Times New Roman"/>
        </w:rPr>
        <w:t>/Arche</w:t>
      </w:r>
      <w:bookmarkStart w:id="1" w:name="_GoBack"/>
      <w:bookmarkEnd w:id="1"/>
      <w:r>
        <w:rPr>
          <w:rFonts w:ascii="Times New Roman" w:hAnsi="Times New Roman" w:cs="Times New Roman"/>
        </w:rPr>
        <w:t>r/[JOB_ID]/</w:t>
      </w:r>
      <w:r>
        <w:rPr>
          <w:rFonts w:ascii="Times New Roman" w:hAnsi="Times New Roman" w:cs="Times New Roman"/>
        </w:rPr>
        <w:t>[JOB_</w:t>
      </w:r>
      <w:proofErr w:type="gramStart"/>
      <w:r>
        <w:rPr>
          <w:rFonts w:ascii="Times New Roman" w:hAnsi="Times New Roman" w:cs="Times New Roman"/>
        </w:rPr>
        <w:t>ID]_Run_masterVarFinal</w:t>
      </w:r>
      <w:r>
        <w:rPr>
          <w:rFonts w:ascii="Times New Roman" w:hAnsi="Times New Roman" w:cs="Times New Roman"/>
        </w:rPr>
        <w:t>.txt</w:t>
      </w:r>
      <w:proofErr w:type="gramEnd"/>
    </w:p>
    <w:p w:rsidR="00CF2C58" w:rsidRPr="006B1F3C" w:rsidRDefault="00CF2C58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Prior to 10/19/2017 samples where uploaded by logging into the Virtual machine and running the Following command “python archer_parse.py /</w:t>
      </w:r>
      <w:proofErr w:type="spellStart"/>
      <w:r>
        <w:rPr>
          <w:rFonts w:ascii="Times New Roman" w:hAnsi="Times New Roman" w:cs="Times New Roman"/>
        </w:rPr>
        <w:t>PathCPD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FromHPC</w:t>
      </w:r>
      <w:proofErr w:type="spellEnd"/>
      <w:r>
        <w:rPr>
          <w:rFonts w:ascii="Times New Roman" w:hAnsi="Times New Roman" w:cs="Times New Roman"/>
        </w:rPr>
        <w:t xml:space="preserve">/Archer/JOB_ID </w:t>
      </w:r>
      <w:proofErr w:type="spellStart"/>
      <w:r>
        <w:rPr>
          <w:rFonts w:ascii="Times New Roman" w:hAnsi="Times New Roman" w:cs="Times New Roman"/>
        </w:rPr>
        <w:t>Seq</w:t>
      </w:r>
      <w:proofErr w:type="spellEnd"/>
      <w:r>
        <w:rPr>
          <w:rFonts w:ascii="Times New Roman" w:hAnsi="Times New Roman" w:cs="Times New Roman"/>
        </w:rPr>
        <w:t xml:space="preserve"> ID to generate the above mentioned files. This file can be found in the same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repository. </w:t>
      </w:r>
    </w:p>
    <w:p w:rsidR="005C413B" w:rsidRDefault="005C413B" w:rsidP="005C413B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to the appropriate SEQ_RUN layout in</w:t>
      </w:r>
      <w:r w:rsidR="006B1F3C">
        <w:rPr>
          <w:rFonts w:ascii="Times New Roman" w:hAnsi="Times New Roman" w:cs="Times New Roman"/>
        </w:rPr>
        <w:t xml:space="preserve"> FileMaker</w:t>
      </w:r>
      <w:r>
        <w:rPr>
          <w:rFonts w:ascii="Times New Roman" w:hAnsi="Times New Roman" w:cs="Times New Roman"/>
        </w:rPr>
        <w:t xml:space="preserve">. </w:t>
      </w:r>
    </w:p>
    <w:p w:rsidR="005C413B" w:rsidRDefault="006B1F3C" w:rsidP="005C413B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“Import Run Data”</w:t>
      </w:r>
    </w:p>
    <w:p w:rsidR="006B1F3C" w:rsidRDefault="006B1F3C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prompted for run stats, navigate to the appropriate archer run directory and select JOB_ID_RunStatFinal.txt.</w:t>
      </w:r>
    </w:p>
    <w:p w:rsidR="006B1F3C" w:rsidRDefault="006B1F3C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prompted for the variant file, locate the JOB_ID_Run_masterVarFinal.txt file. </w:t>
      </w:r>
    </w:p>
    <w:p w:rsidR="006B1F3C" w:rsidRDefault="006B1F3C" w:rsidP="006B1F3C">
      <w:pPr>
        <w:pStyle w:val="ListParagraph"/>
        <w:numPr>
          <w:ilvl w:val="2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Quit the upload process. </w:t>
      </w:r>
    </w:p>
    <w:p w:rsidR="00540460" w:rsidRDefault="006B1F3C" w:rsidP="006240F5">
      <w:pPr>
        <w:pStyle w:val="ListParagraph"/>
        <w:numPr>
          <w:ilvl w:val="1"/>
          <w:numId w:val="8"/>
        </w:numPr>
        <w:spacing w:line="276" w:lineRule="auto"/>
      </w:pPr>
      <w:r w:rsidRPr="003C0426">
        <w:rPr>
          <w:rFonts w:ascii="Times New Roman" w:hAnsi="Times New Roman" w:cs="Times New Roman"/>
        </w:rPr>
        <w:t xml:space="preserve">Upload run statistics per the laboratory </w:t>
      </w:r>
      <w:r w:rsidR="003C0426" w:rsidRPr="003C0426">
        <w:rPr>
          <w:rFonts w:ascii="Times New Roman" w:hAnsi="Times New Roman" w:cs="Times New Roman"/>
        </w:rPr>
        <w:t>S</w:t>
      </w:r>
      <w:r w:rsidR="00CF2C58">
        <w:rPr>
          <w:rFonts w:ascii="Times New Roman" w:hAnsi="Times New Roman" w:cs="Times New Roman"/>
        </w:rPr>
        <w:t>OP.</w:t>
      </w:r>
    </w:p>
    <w:sectPr w:rsidR="0054046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D4A" w:rsidRDefault="00807D4A" w:rsidP="00787D17">
      <w:pPr>
        <w:spacing w:after="0" w:line="240" w:lineRule="auto"/>
      </w:pPr>
      <w:r>
        <w:separator/>
      </w:r>
    </w:p>
  </w:endnote>
  <w:endnote w:type="continuationSeparator" w:id="0">
    <w:p w:rsidR="00807D4A" w:rsidRDefault="00807D4A" w:rsidP="00787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1863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201" w:rsidRDefault="00CF2C58">
        <w:pPr>
          <w:pStyle w:val="Footer"/>
          <w:jc w:val="center"/>
        </w:pPr>
      </w:p>
    </w:sdtContent>
  </w:sdt>
  <w:p w:rsidR="00AB5201" w:rsidRPr="00A713B3" w:rsidRDefault="00AB5201" w:rsidP="00A713B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Confidential: Authorized for internal use only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01" w:rsidRPr="00A713B3" w:rsidRDefault="00AB5201" w:rsidP="00A713B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Confidential: Authorized for internal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D4A" w:rsidRDefault="00807D4A" w:rsidP="00787D17">
      <w:pPr>
        <w:spacing w:after="0" w:line="240" w:lineRule="auto"/>
      </w:pPr>
      <w:r>
        <w:separator/>
      </w:r>
    </w:p>
  </w:footnote>
  <w:footnote w:type="continuationSeparator" w:id="0">
    <w:p w:rsidR="00807D4A" w:rsidRDefault="00807D4A" w:rsidP="00787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01" w:rsidRDefault="00AB5201">
    <w:pPr>
      <w:pStyle w:val="Header"/>
    </w:pPr>
  </w:p>
  <w:tbl>
    <w:tblPr>
      <w:tblW w:w="10350" w:type="dxa"/>
      <w:tblInd w:w="-1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2340"/>
      <w:gridCol w:w="4770"/>
      <w:gridCol w:w="3240"/>
    </w:tblGrid>
    <w:tr w:rsidR="00AB5201" w:rsidRPr="00820155" w:rsidTr="00E37AFF">
      <w:trPr>
        <w:trHeight w:val="980"/>
      </w:trPr>
      <w:tc>
        <w:tcPr>
          <w:tcW w:w="2340" w:type="dxa"/>
        </w:tcPr>
        <w:p w:rsidR="00AB5201" w:rsidRPr="00705D1C" w:rsidRDefault="00AB5201" w:rsidP="00787D17">
          <w:pPr>
            <w:ind w:left="-18" w:firstLine="18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74ABCF" wp14:editId="17F01FE9">
                <wp:simplePos x="0" y="0"/>
                <wp:positionH relativeFrom="column">
                  <wp:posOffset>-57150</wp:posOffset>
                </wp:positionH>
                <wp:positionV relativeFrom="paragraph">
                  <wp:posOffset>-6350</wp:posOffset>
                </wp:positionV>
                <wp:extent cx="1495425" cy="971550"/>
                <wp:effectExtent l="0" t="0" r="952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971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70" w:type="dxa"/>
        </w:tcPr>
        <w:p w:rsidR="00AB5201" w:rsidRPr="002A5B48" w:rsidRDefault="00AB5201" w:rsidP="00787D17">
          <w:pPr>
            <w:spacing w:before="118"/>
            <w:rPr>
              <w:rFonts w:ascii="Arial Narrow" w:hAnsi="Arial Narrow"/>
            </w:rPr>
          </w:pPr>
          <w:r w:rsidRPr="002A5B48">
            <w:rPr>
              <w:rFonts w:ascii="Arial Narrow" w:hAnsi="Arial Narrow"/>
            </w:rPr>
            <w:t>Hospital of the University of Pennsylvania</w:t>
          </w:r>
        </w:p>
        <w:p w:rsidR="00AB5201" w:rsidRPr="002A5B48" w:rsidRDefault="00AB5201" w:rsidP="00787D17">
          <w:pPr>
            <w:rPr>
              <w:rFonts w:ascii="Arial Narrow" w:hAnsi="Arial Narrow"/>
            </w:rPr>
          </w:pPr>
          <w:r w:rsidRPr="002A5B48">
            <w:rPr>
              <w:rFonts w:ascii="Arial Narrow" w:hAnsi="Arial Narrow"/>
            </w:rPr>
            <w:t>Department of Pathology and Laboratory Medicine</w:t>
          </w:r>
        </w:p>
        <w:p w:rsidR="00AB5201" w:rsidRDefault="00AB5201" w:rsidP="00787D17">
          <w:pPr>
            <w:rPr>
              <w:rFonts w:ascii="Cambria" w:hAnsi="Cambria"/>
            </w:rPr>
          </w:pPr>
          <w:r w:rsidRPr="002A5B48">
            <w:rPr>
              <w:rFonts w:ascii="Arial Narrow" w:hAnsi="Arial Narrow"/>
            </w:rPr>
            <w:t>Division of Laboratory Medicine</w:t>
          </w:r>
        </w:p>
        <w:p w:rsidR="00AB5201" w:rsidRDefault="00AB5201" w:rsidP="00787D17">
          <w:pPr>
            <w:jc w:val="center"/>
            <w:rPr>
              <w:rFonts w:ascii="Cambria" w:hAnsi="Cambria"/>
            </w:rPr>
          </w:pPr>
        </w:p>
        <w:p w:rsidR="00AB5201" w:rsidRPr="002A5B48" w:rsidRDefault="00AB5201" w:rsidP="00787D17">
          <w:pPr>
            <w:rPr>
              <w:rFonts w:ascii="Arial Narrow" w:hAnsi="Arial Narrow"/>
              <w:b/>
            </w:rPr>
          </w:pPr>
          <w:r w:rsidRPr="002A5B48">
            <w:rPr>
              <w:rFonts w:ascii="Arial Narrow" w:hAnsi="Arial Narrow"/>
              <w:b/>
            </w:rPr>
            <w:t>Section</w:t>
          </w:r>
          <w:r>
            <w:rPr>
              <w:rFonts w:ascii="Arial Narrow" w:hAnsi="Arial Narrow"/>
            </w:rPr>
            <w:t>:</w:t>
          </w:r>
        </w:p>
      </w:tc>
      <w:tc>
        <w:tcPr>
          <w:tcW w:w="3240" w:type="dxa"/>
        </w:tcPr>
        <w:p w:rsidR="00AB5201" w:rsidRDefault="00AB5201" w:rsidP="00787D17">
          <w:pPr>
            <w:jc w:val="right"/>
            <w:rPr>
              <w:rFonts w:ascii="Arial Narrow" w:hAnsi="Arial Narrow"/>
            </w:rPr>
          </w:pPr>
        </w:p>
        <w:p w:rsidR="00AB5201" w:rsidRDefault="00AB5201" w:rsidP="00787D17">
          <w:pPr>
            <w:spacing w:line="360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Version:  </w:t>
          </w:r>
        </w:p>
        <w:p w:rsidR="00AB5201" w:rsidRDefault="00AB5201" w:rsidP="00787D17">
          <w:pPr>
            <w:spacing w:line="360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Effective date: </w:t>
          </w:r>
        </w:p>
        <w:p w:rsidR="00AB5201" w:rsidRPr="0001083E" w:rsidRDefault="00AB5201" w:rsidP="00787D17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b/>
            </w:rPr>
            <w:t xml:space="preserve">     </w:t>
          </w:r>
        </w:p>
      </w:tc>
    </w:tr>
    <w:tr w:rsidR="00AB5201" w:rsidRPr="00820155" w:rsidTr="00E37AFF">
      <w:trPr>
        <w:trHeight w:val="458"/>
      </w:trPr>
      <w:tc>
        <w:tcPr>
          <w:tcW w:w="10350" w:type="dxa"/>
          <w:gridSpan w:val="3"/>
          <w:tcBorders>
            <w:bottom w:val="single" w:sz="4" w:space="0" w:color="000000"/>
          </w:tcBorders>
        </w:tcPr>
        <w:p w:rsidR="00AB5201" w:rsidRDefault="00AB5201" w:rsidP="00787D17">
          <w:pPr>
            <w:rPr>
              <w:rFonts w:ascii="Arial Narrow" w:hAnsi="Arial Narrow"/>
            </w:rPr>
          </w:pPr>
        </w:p>
        <w:p w:rsidR="00AB5201" w:rsidRDefault="00AB5201" w:rsidP="006B1F3C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Title:  </w:t>
          </w:r>
          <w:r w:rsidR="006B1F3C">
            <w:rPr>
              <w:rFonts w:ascii="Arial Narrow" w:hAnsi="Arial Narrow"/>
            </w:rPr>
            <w:t>Archer_</w:t>
          </w:r>
          <w:r>
            <w:rPr>
              <w:rFonts w:ascii="Arial Narrow" w:hAnsi="Arial Narrow"/>
            </w:rPr>
            <w:t>v1.0 Bioinformatics SOP</w:t>
          </w:r>
        </w:p>
      </w:tc>
    </w:tr>
  </w:tbl>
  <w:p w:rsidR="00AB5201" w:rsidRDefault="00AB5201">
    <w:pPr>
      <w:pStyle w:val="Header"/>
    </w:pPr>
  </w:p>
  <w:p w:rsidR="00AB5201" w:rsidRDefault="00AB5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0827"/>
    <w:multiLevelType w:val="multilevel"/>
    <w:tmpl w:val="F0DA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1523"/>
    <w:multiLevelType w:val="multilevel"/>
    <w:tmpl w:val="4452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D4A7B"/>
    <w:multiLevelType w:val="hybridMultilevel"/>
    <w:tmpl w:val="494694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B6511"/>
    <w:multiLevelType w:val="hybridMultilevel"/>
    <w:tmpl w:val="2474F6A4"/>
    <w:lvl w:ilvl="0" w:tplc="D40EB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7CA53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486A"/>
    <w:multiLevelType w:val="multilevel"/>
    <w:tmpl w:val="BBA2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92AB6"/>
    <w:multiLevelType w:val="multilevel"/>
    <w:tmpl w:val="8BE2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02E5F"/>
    <w:multiLevelType w:val="hybridMultilevel"/>
    <w:tmpl w:val="83365686"/>
    <w:lvl w:ilvl="0" w:tplc="AE7C81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6FC07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358140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33799"/>
    <w:multiLevelType w:val="multilevel"/>
    <w:tmpl w:val="637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66733"/>
    <w:multiLevelType w:val="multilevel"/>
    <w:tmpl w:val="CCE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A9"/>
    <w:rsid w:val="00005914"/>
    <w:rsid w:val="000074BE"/>
    <w:rsid w:val="000262DB"/>
    <w:rsid w:val="00035CE9"/>
    <w:rsid w:val="0006134B"/>
    <w:rsid w:val="0007548E"/>
    <w:rsid w:val="000B4397"/>
    <w:rsid w:val="000C67C1"/>
    <w:rsid w:val="000D39A9"/>
    <w:rsid w:val="000D4E56"/>
    <w:rsid w:val="00197212"/>
    <w:rsid w:val="00233984"/>
    <w:rsid w:val="00265D10"/>
    <w:rsid w:val="00327AA4"/>
    <w:rsid w:val="00332020"/>
    <w:rsid w:val="003563E6"/>
    <w:rsid w:val="00362DBF"/>
    <w:rsid w:val="0036426D"/>
    <w:rsid w:val="003B2D10"/>
    <w:rsid w:val="003C0426"/>
    <w:rsid w:val="003F01DC"/>
    <w:rsid w:val="00401E30"/>
    <w:rsid w:val="00447EEA"/>
    <w:rsid w:val="004951B5"/>
    <w:rsid w:val="004A3A5A"/>
    <w:rsid w:val="004C6A1A"/>
    <w:rsid w:val="004E6FDE"/>
    <w:rsid w:val="00530ED6"/>
    <w:rsid w:val="00540460"/>
    <w:rsid w:val="00564DA7"/>
    <w:rsid w:val="005C413B"/>
    <w:rsid w:val="005D0456"/>
    <w:rsid w:val="00655B74"/>
    <w:rsid w:val="006B1F3C"/>
    <w:rsid w:val="006B3465"/>
    <w:rsid w:val="006E3EF1"/>
    <w:rsid w:val="00725C1E"/>
    <w:rsid w:val="00773FDE"/>
    <w:rsid w:val="00787D17"/>
    <w:rsid w:val="007F14C5"/>
    <w:rsid w:val="00807D4A"/>
    <w:rsid w:val="008275F3"/>
    <w:rsid w:val="0086286E"/>
    <w:rsid w:val="00890FB1"/>
    <w:rsid w:val="00897C9A"/>
    <w:rsid w:val="008A517D"/>
    <w:rsid w:val="008B3A9D"/>
    <w:rsid w:val="008D4458"/>
    <w:rsid w:val="008D65A0"/>
    <w:rsid w:val="00965131"/>
    <w:rsid w:val="00986ACF"/>
    <w:rsid w:val="009B5DE0"/>
    <w:rsid w:val="00A14247"/>
    <w:rsid w:val="00A713B3"/>
    <w:rsid w:val="00AB5201"/>
    <w:rsid w:val="00AD78A3"/>
    <w:rsid w:val="00AE4FF1"/>
    <w:rsid w:val="00B03D83"/>
    <w:rsid w:val="00B159F7"/>
    <w:rsid w:val="00B77B45"/>
    <w:rsid w:val="00B8159E"/>
    <w:rsid w:val="00BA5CE3"/>
    <w:rsid w:val="00BB07C6"/>
    <w:rsid w:val="00BE7EA1"/>
    <w:rsid w:val="00BF77CA"/>
    <w:rsid w:val="00C4553A"/>
    <w:rsid w:val="00C5275E"/>
    <w:rsid w:val="00C72CF1"/>
    <w:rsid w:val="00C76292"/>
    <w:rsid w:val="00CA4664"/>
    <w:rsid w:val="00CA64E2"/>
    <w:rsid w:val="00CB5F0E"/>
    <w:rsid w:val="00CF2C58"/>
    <w:rsid w:val="00D34307"/>
    <w:rsid w:val="00D932A1"/>
    <w:rsid w:val="00DE5594"/>
    <w:rsid w:val="00E01C5F"/>
    <w:rsid w:val="00E37AFF"/>
    <w:rsid w:val="00EE52ED"/>
    <w:rsid w:val="00F63C7F"/>
    <w:rsid w:val="00F77671"/>
    <w:rsid w:val="00F9245B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69D2B6"/>
  <w15:chartTrackingRefBased/>
  <w15:docId w15:val="{2D6C3179-6A99-468B-9D2E-BC1051DF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39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39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39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39A9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628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D17"/>
  </w:style>
  <w:style w:type="paragraph" w:styleId="Footer">
    <w:name w:val="footer"/>
    <w:basedOn w:val="Normal"/>
    <w:link w:val="FooterChar"/>
    <w:uiPriority w:val="99"/>
    <w:unhideWhenUsed/>
    <w:qFormat/>
    <w:rsid w:val="00787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D17"/>
  </w:style>
  <w:style w:type="character" w:customStyle="1" w:styleId="preprocessor">
    <w:name w:val="preprocessor"/>
    <w:basedOn w:val="DefaultParagraphFont"/>
    <w:rsid w:val="00BF77CA"/>
  </w:style>
  <w:style w:type="character" w:customStyle="1" w:styleId="string">
    <w:name w:val="string"/>
    <w:basedOn w:val="DefaultParagraphFont"/>
    <w:rsid w:val="00BF77CA"/>
  </w:style>
  <w:style w:type="character" w:customStyle="1" w:styleId="keyword">
    <w:name w:val="keyword"/>
    <w:basedOn w:val="DefaultParagraphFont"/>
    <w:rsid w:val="00BF77CA"/>
  </w:style>
  <w:style w:type="character" w:customStyle="1" w:styleId="comment">
    <w:name w:val="comment"/>
    <w:basedOn w:val="DefaultParagraphFont"/>
    <w:rsid w:val="00BF77CA"/>
  </w:style>
  <w:style w:type="character" w:customStyle="1" w:styleId="number">
    <w:name w:val="number"/>
    <w:basedOn w:val="DefaultParagraphFont"/>
    <w:rsid w:val="0007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aryabiLab/cpdUpen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70.212.137.168/past_results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70.212.137.168/auth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AC51-9C1C-4D28-8920-EE29B2CE5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Bigdeli, Ashkan</dc:creator>
  <cp:keywords/>
  <dc:description/>
  <cp:lastModifiedBy>Bigdeli, Ashkan</cp:lastModifiedBy>
  <cp:revision>4</cp:revision>
  <dcterms:created xsi:type="dcterms:W3CDTF">2017-10-19T19:23:00Z</dcterms:created>
  <dcterms:modified xsi:type="dcterms:W3CDTF">2017-10-19T19:31:00Z</dcterms:modified>
</cp:coreProperties>
</file>