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Using Exact Reranking Evidence to Ground Multimodal Fashion Recommendation Explanations</w:t>
      </w:r>
    </w:p>
    <w:p>
      <w:pPr>
        <w:spacing w:after="60"/>
        <w:jc w:val="center"/>
      </w:pPr>
      <w:r>
        <w:rPr>
          <w:rFonts w:ascii="Times New Roman" w:hAnsi="Times New Roman"/>
          <w:sz w:val="20"/>
        </w:rPr>
        <w:t>[Author name]</w:t>
      </w:r>
    </w:p>
    <w:p>
      <w:pPr>
        <w:spacing w:after="60"/>
        <w:jc w:val="center"/>
      </w:pPr>
      <w:r>
        <w:rPr>
          <w:rFonts w:ascii="Times New Roman" w:hAnsi="Times New Roman"/>
          <w:sz w:val="20"/>
        </w:rPr>
        <w:t>[Department, University of Salford, Salford, United Kingdom]</w:t>
      </w:r>
    </w:p>
    <w:p>
      <w:pPr>
        <w:spacing w:after="60"/>
        <w:jc w:val="center"/>
      </w:pPr>
      <w:r>
        <w:rPr>
          <w:rFonts w:ascii="Times New Roman" w:hAnsi="Times New Roman"/>
          <w:sz w:val="20"/>
        </w:rPr>
        <w:t>Corresponding author: [email address]   ORCID: [ORCID if available]</w:t>
      </w:r>
    </w:p>
    <w:p>
      <w:pPr>
        <w:pStyle w:val="Heading1"/>
        <w:spacing w:before="160" w:after="80"/>
      </w:pPr>
      <w:r>
        <w:t>Abstract</w:t>
      </w:r>
    </w:p>
    <w:p>
      <w:pPr>
        <w:spacing w:after="100" w:line="240" w:lineRule="auto"/>
      </w:pPr>
      <w:r>
        <w:rPr>
          <w:rFonts w:ascii="Times New Roman" w:hAnsi="Times New Roman"/>
          <w:b/>
          <w:sz w:val="20"/>
        </w:rPr>
        <w:t xml:space="preserve">Purpose. </w:t>
      </w:r>
      <w:r>
        <w:rPr>
          <w:rFonts w:ascii="Times New Roman" w:hAnsi="Times New Roman"/>
          <w:sz w:val="20"/>
        </w:rPr>
        <w:t xml:space="preserve">Generative explanations can sound persuasive without being tied to evidence that influenced a recommendation. This study tests whether passing the exact expert-rule trace used by an upstream reranker to a language-model explainer improves claim-level grounding for multimodal fashion recommendations. </w:t>
      </w:r>
      <w:r>
        <w:rPr>
          <w:rFonts w:ascii="Times New Roman" w:hAnsi="Times New Roman"/>
          <w:b/>
          <w:sz w:val="20"/>
        </w:rPr>
        <w:t xml:space="preserve">Methods. </w:t>
      </w:r>
      <w:r>
        <w:rPr>
          <w:rFonts w:ascii="Times New Roman" w:hAnsi="Times New Roman"/>
          <w:sz w:val="20"/>
        </w:rPr>
        <w:t xml:space="preserve">A frozen CLIP-based compatibility system ranks category-constrained candidates and reranks them with a 200-rule source-grounded knowledge base. The selected recommendation is locked before explanation generation. For 500 evidence-eligible cases, three local generators produce paired No-RAG and Rule-RAG explanations; both conditions receive the same case and recommendation, while Rule-RAG additionally receives the stored reranking trace under its grounding and citation contract. Atomic claims are extracted with Qwen 3.5 9B and verified with Phi-4 14B against the exact trace, the final knowledge base, common item-fact evidence, and citations. </w:t>
      </w:r>
      <w:r>
        <w:rPr>
          <w:rFonts w:ascii="Times New Roman" w:hAnsi="Times New Roman"/>
          <w:b/>
          <w:sz w:val="20"/>
        </w:rPr>
        <w:t xml:space="preserve">Results. </w:t>
      </w:r>
      <w:r>
        <w:rPr>
          <w:rFonts w:ascii="Times New Roman" w:hAnsi="Times New Roman"/>
          <w:sz w:val="20"/>
        </w:rPr>
        <w:t xml:space="preserve">Across 498 underlying complete-pair cases, Rule-RAG increased reranking-trace claim support by 21.02 percentage points (95% CI 19.72-22.37; Holm-adjusted p=0.0016), full-KB support by 21.40 points (20.11-22.71), and trace-supported claims per 100 words by 1.60 (1.48-1.72). The direction was positive for all three generators. Evidence reranking changed the top item in 26.5% of recommendation cases but did not improve conventional relevance over fused CLIP. Unsupported Item-Fact Rate was inconclusive because only 53 paired cases were eligible. </w:t>
      </w:r>
      <w:r>
        <w:rPr>
          <w:rFonts w:ascii="Times New Roman" w:hAnsi="Times New Roman"/>
          <w:b/>
          <w:sz w:val="20"/>
        </w:rPr>
        <w:t xml:space="preserve">Conclusion. </w:t>
      </w:r>
      <w:r>
        <w:rPr>
          <w:rFonts w:ascii="Times New Roman" w:hAnsi="Times New Roman"/>
          <w:sz w:val="20"/>
        </w:rPr>
        <w:t xml:space="preserve">Reusing explicit evidence that participated in recommendation reranking materially improves source-bounded explanation grounding, while introducing a modest ranking-performance trade-off. The result supports retaining decision evidence as an auditable system artifact rather than reconstructing explanatory evidence after selection. </w:t>
      </w:r>
    </w:p>
    <w:p>
      <w:pPr>
        <w:spacing w:after="160"/>
      </w:pPr>
      <w:r>
        <w:rPr>
          <w:rFonts w:ascii="Times New Roman" w:hAnsi="Times New Roman"/>
          <w:b/>
          <w:sz w:val="20"/>
        </w:rPr>
        <w:t xml:space="preserve">Keywords: </w:t>
      </w:r>
      <w:r>
        <w:rPr>
          <w:rFonts w:ascii="Times New Roman" w:hAnsi="Times New Roman"/>
          <w:sz w:val="20"/>
        </w:rPr>
        <w:t>explainable recommendation; multimodal retrieval; evidence grounding; decision traceability; fashion compatibility; claim verification</w:t>
      </w:r>
    </w:p>
    <w:p>
      <w:pPr>
        <w:pStyle w:val="Heading1"/>
        <w:spacing w:before="160" w:after="80"/>
      </w:pPr>
      <w:r>
        <w:t>1 Introduction</w:t>
      </w:r>
    </w:p>
    <w:p>
      <w:pPr>
        <w:spacing w:after="80" w:line="252" w:lineRule="auto"/>
      </w:pPr>
      <w:r>
        <w:rPr>
          <w:rFonts w:ascii="Times New Roman" w:hAnsi="Times New Roman"/>
          <w:i w:val="0"/>
          <w:sz w:val="20"/>
        </w:rPr>
        <w:t>Fashion recommendation is a useful setting for separating ranking quality from explanation quality. Compatibility is not equivalent to visual similarity: visually similar garments may be substitutes, whereas visually dissimilar items can be complementary because they occupy different roles in an outfit. Fashion compatibility research has therefore used images, category structure, sequential context, type-aware embeddings, and increasingly multimodal representations to rank complementary items [1-8]. Recent work continues to improve outfit representations and multimodal compatibility modelling, including transformer-based outfit encoders and explainable attribute-level approaches [5-7].</w:t>
      </w:r>
    </w:p>
    <w:p>
      <w:pPr>
        <w:spacing w:after="80" w:line="252" w:lineRule="auto"/>
      </w:pPr>
      <w:r>
        <w:rPr>
          <w:rFonts w:ascii="Times New Roman" w:hAnsi="Times New Roman"/>
          <w:i w:val="0"/>
          <w:sz w:val="20"/>
        </w:rPr>
        <w:t>The explanation problem is different. A fluent rationale can describe a recommended item plausibly while remaining disconnected from the evidence that affected its selection. Explainable recommender systems have long used features, reviews, rules, knowledge graphs, paths, and natural-language rationales to improve transparency [9-12]. The broader faithfulness literature likewise distinguishes explanations that are plausible to a reader from explanations that are tied to a model or evidence process [13-15]. This distinction becomes especially important when large language models (LLMs) are used as explanation generators, because they can produce coherent statements about colour, material, occasion, quality, comfort, or style even when those details are absent from the supplied record.</w:t>
      </w:r>
    </w:p>
    <w:p>
      <w:pPr>
        <w:spacing w:after="80" w:line="252" w:lineRule="auto"/>
      </w:pPr>
      <w:r>
        <w:rPr>
          <w:rFonts w:ascii="Times New Roman" w:hAnsi="Times New Roman"/>
          <w:i w:val="0"/>
          <w:sz w:val="20"/>
        </w:rPr>
        <w:t>LLM-based recommendation has expanded rapidly [16], including work on model-agnostic explanation generation [17], credible conversational recommendation [18], reasoning-oriented recommenders [19], and automatic explanation evaluation [20]. Retrieval-augmented generation (RAG) is an obvious grounding mechanism, but the retrieved evidence is not automatically decision evidence. If rules or documents are fetched only after an item has already been selected, they can support a post-hoc story without establishing that the evidence influenced the upstream decision. Recent RAG-based recommender work primarily uses retrieval to improve recommendation knowledge or prediction [23,24], while citation research shows that source presence and citation syntax alone do not establish claim entailment [25,26].</w:t>
      </w:r>
    </w:p>
    <w:p>
      <w:pPr>
        <w:spacing w:after="80" w:line="252" w:lineRule="auto"/>
      </w:pPr>
      <w:r>
        <w:rPr>
          <w:rFonts w:ascii="Times New Roman" w:hAnsi="Times New Roman"/>
          <w:i w:val="0"/>
          <w:sz w:val="20"/>
        </w:rPr>
        <w:t>This study therefore asks a deliberately narrow question: when explicit expert-rule evidence has already participated in recommendation reranking, how much does exposing that exact stored trace to an LLM explainer change claim-level evidence grounding relative to explaining the same locked recommendation without that trace? The design does not claim access to hidden chain-of-thought or to CLIP's latent computation. It treats the stored trace as an auditable record of the symbolic rule component that numerically participated in reranking.</w:t>
      </w:r>
    </w:p>
    <w:p>
      <w:pPr>
        <w:spacing w:after="80" w:line="252" w:lineRule="auto"/>
      </w:pPr>
      <w:r>
        <w:rPr>
          <w:rFonts w:ascii="Times New Roman" w:hAnsi="Times New Roman"/>
          <w:i w:val="0"/>
          <w:sz w:val="20"/>
        </w:rPr>
        <w:t>The paper makes four contributions:</w:t>
      </w:r>
    </w:p>
    <w:p>
      <w:pPr>
        <w:pStyle w:val="ListBullet"/>
        <w:spacing w:after="40" w:line="240" w:lineRule="auto"/>
      </w:pPr>
      <w:r>
        <w:rPr>
          <w:rFonts w:ascii="Times New Roman" w:hAnsi="Times New Roman"/>
          <w:sz w:val="20"/>
        </w:rPr>
        <w:t>An evidence-aware multimodal compatibility recommender that stores the rule trace during reranking rather than reconstructing evidence after selection.</w:t>
      </w:r>
    </w:p>
    <w:p>
      <w:pPr>
        <w:pStyle w:val="ListBullet"/>
        <w:spacing w:after="40" w:line="240" w:lineRule="auto"/>
      </w:pPr>
      <w:r>
        <w:rPr>
          <w:rFonts w:ascii="Times New Roman" w:hAnsi="Times New Roman"/>
          <w:sz w:val="20"/>
        </w:rPr>
        <w:t>A paired explanation intervention in which the recommendation, common case context, generator family, decoding configuration, and length contract are held fixed, while the Rule-RAG condition receives the exact stored reranking trace under its associated grounding/citation contract.</w:t>
      </w:r>
    </w:p>
    <w:p>
      <w:pPr>
        <w:pStyle w:val="ListBullet"/>
        <w:spacing w:after="40" w:line="240" w:lineRule="auto"/>
      </w:pPr>
      <w:r>
        <w:rPr>
          <w:rFonts w:ascii="Times New Roman" w:hAnsi="Times New Roman"/>
          <w:sz w:val="20"/>
        </w:rPr>
        <w:t>A claim-level evaluation protocol that separates exact-trace support, full-knowledge-base support, common-reference item-fact support, and citation entailment instead of treating explanation quality as a single score.</w:t>
      </w:r>
    </w:p>
    <w:p>
      <w:pPr>
        <w:pStyle w:val="ListBullet"/>
        <w:spacing w:after="40" w:line="240" w:lineRule="auto"/>
      </w:pPr>
      <w:r>
        <w:rPr>
          <w:rFonts w:ascii="Times New Roman" w:hAnsi="Times New Roman"/>
          <w:sz w:val="20"/>
        </w:rPr>
        <w:t>A frozen five-stage experimental release with deterministic case selection, complete-pair analysis, case-clustered resampling inference, explicit attrition reporting, and reproducibility manifests.</w:t>
      </w:r>
    </w:p>
    <w:p>
      <w:pPr>
        <w:spacing w:after="80" w:line="252" w:lineRule="auto"/>
      </w:pPr>
      <w:r>
        <w:rPr>
          <w:rFonts w:ascii="Times New Roman" w:hAnsi="Times New Roman"/>
          <w:i w:val="0"/>
          <w:sz w:val="20"/>
        </w:rPr>
        <w:t>The results are intentionally mixed. Fused CLIP provides the strongest overall conventional ranking profile, while evidence reranking modestly reduces ranking effectiveness and changes the selected top item in 26.5% of cases. In contrast, the Rule-RAG condition substantially increases the proportion and density of claims supported by the exact reranking evidence. The contribution is therefore an evidence-grounding and traceability result, not a claim of state-of-the-art recommendation accuracy.</w:t>
      </w:r>
    </w:p>
    <w:p>
      <w:pPr>
        <w:pStyle w:val="Heading1"/>
        <w:spacing w:before="160" w:after="80"/>
      </w:pPr>
      <w:r>
        <w:t>2 Related Work</w:t>
      </w:r>
    </w:p>
    <w:p>
      <w:pPr>
        <w:pStyle w:val="Heading2"/>
        <w:spacing w:before="120" w:after="80"/>
      </w:pPr>
      <w:r>
        <w:t>2.1 Fashion compatibility and multimodal ranking</w:t>
      </w:r>
    </w:p>
    <w:p>
      <w:pPr>
        <w:spacing w:after="80" w:line="252" w:lineRule="auto"/>
      </w:pPr>
      <w:r>
        <w:rPr>
          <w:rFonts w:ascii="Times New Roman" w:hAnsi="Times New Roman"/>
          <w:i w:val="0"/>
          <w:sz w:val="20"/>
        </w:rPr>
        <w:t>Early fashion compatibility research distinguished complementary recommendation from simple visual similarity [1]. Subsequent work modelled outfits with bidirectional sequence models [2], type-aware embeddings [3], and context-aware visual compatibility [4]. More recent systems learn outfit-level representations directly, for example OutfitTransformer, which uses a transformer to represent partially observed outfits for compatibility and complementary-item retrieval [5]. Multimodal signals remain important because product text and images encode overlapping but non-identical information. CLIP provides a practical shared vision-language representation [8], while contemporary fashion studies continue to combine visual, textual, attribute, graph, or large-multimodal-model signals [6,7].</w:t>
      </w:r>
    </w:p>
    <w:p>
      <w:pPr>
        <w:spacing w:after="80" w:line="252" w:lineRule="auto"/>
      </w:pPr>
      <w:r>
        <w:rPr>
          <w:rFonts w:ascii="Times New Roman" w:hAnsi="Times New Roman"/>
          <w:i w:val="0"/>
          <w:sz w:val="20"/>
        </w:rPr>
        <w:t>Explainability within fashion compatibility has also moved beyond generic saliency. Attribute-augmented approaches expose pairing knowledge at the attribute level [6], and recent multimodal fashion work explores LLM-derived semantic cues for compatibility prediction [7]. These studies motivate richer evidence representations, but the present paper does not propose a new foundation encoder or claim state-of-the-art outfit completion. Frozen retrieval pathways are used to study what happens when an inspectable evidence component participates in reranking and is subsequently reused for explanation.</w:t>
      </w:r>
    </w:p>
    <w:p>
      <w:pPr>
        <w:pStyle w:val="Heading2"/>
        <w:spacing w:before="120" w:after="80"/>
      </w:pPr>
      <w:r>
        <w:t>2.2 Explainable recommendation and LLM-generated rationales</w:t>
      </w:r>
    </w:p>
    <w:p>
      <w:pPr>
        <w:spacing w:after="80" w:line="252" w:lineRule="auto"/>
      </w:pPr>
      <w:r>
        <w:rPr>
          <w:rFonts w:ascii="Times New Roman" w:hAnsi="Times New Roman"/>
          <w:i w:val="0"/>
          <w:sz w:val="20"/>
        </w:rPr>
        <w:t>Explainable recommender systems span model-based and post-hoc approaches, including review generation, rule-based reasoning, path and graph explanations, and natural-language justifications [9-12]. Their objectives can include transparency, scrutability, persuasiveness, effectiveness, and trust, but these objectives need not coincide. Faithfulness research warns that a convincing natural-language rationale can still be disconnected from the behaviour or evidence it purports to explain [13-15].</w:t>
      </w:r>
    </w:p>
    <w:p>
      <w:pPr>
        <w:spacing w:after="80" w:line="252" w:lineRule="auto"/>
      </w:pPr>
      <w:r>
        <w:rPr>
          <w:rFonts w:ascii="Times New Roman" w:hAnsi="Times New Roman"/>
          <w:i w:val="0"/>
          <w:sz w:val="20"/>
        </w:rPr>
        <w:t>The LLM era has intensified this issue. Surveys document fast-growing use of LLMs as recommendation encoders, rankers, conversational agents, and explanation generators [16]. XRec uses LLMs to generate model-agnostic explanations informed by collaborative signals [17]. Beyond Persuasion explicitly targets credible explanations in conversational recommendation, motivated by the risk that persuasive LLMs can introduce unreliable information [18]. ReasoningRec combines recommendation with human-interpretable LLM reasoning [19]. ALERT, meanwhile, develops an LLM-powered benchmark for scalable evaluation of recommendation explanations and reports partial alignment with expert human judgments [20]. Other recent work improves explanation generation through aspect control or multi-agent refinement [21,22].</w:t>
      </w:r>
    </w:p>
    <w:p>
      <w:pPr>
        <w:spacing w:after="80" w:line="252" w:lineRule="auto"/>
      </w:pPr>
      <w:r>
        <w:rPr>
          <w:rFonts w:ascii="Times New Roman" w:hAnsi="Times New Roman"/>
          <w:i w:val="0"/>
          <w:sz w:val="20"/>
        </w:rPr>
        <w:t>These studies reinforce the value of natural-language explanations and the need for stronger evaluation. The present work narrows the problem further: it does not ask whether an explanation is generally persuasive or useful, but whether its atomic claims are supported by a specific evidence artifact that was created before explanation generation and that participated in the upstream reranking computation.</w:t>
      </w:r>
    </w:p>
    <w:p>
      <w:pPr>
        <w:pStyle w:val="Heading2"/>
        <w:spacing w:before="120" w:after="80"/>
      </w:pPr>
      <w:r>
        <w:t>2.3 RAG, provenance, citations, and claim-level support</w:t>
      </w:r>
    </w:p>
    <w:p>
      <w:pPr>
        <w:spacing w:after="80" w:line="252" w:lineRule="auto"/>
      </w:pPr>
      <w:r>
        <w:rPr>
          <w:rFonts w:ascii="Times New Roman" w:hAnsi="Times New Roman"/>
          <w:i w:val="0"/>
          <w:sz w:val="20"/>
        </w:rPr>
        <w:t>RAG augments generation with retrieved external information [23]. In recommendation, recent methods retrieve knowledge-graph structure or collaborative/item signals to improve LLM-based prediction [24]. Such retrieval can reduce knowledge gaps, but retrieval performed for generation is conceptually different from preserving the evidence that influenced a prior recommendation decision. This distinction is central to the present design.</w:t>
      </w:r>
    </w:p>
    <w:p>
      <w:pPr>
        <w:spacing w:after="80" w:line="252" w:lineRule="auto"/>
      </w:pPr>
      <w:r>
        <w:rPr>
          <w:rFonts w:ascii="Times New Roman" w:hAnsi="Times New Roman"/>
          <w:i w:val="0"/>
          <w:sz w:val="20"/>
        </w:rPr>
        <w:t>Citation-aware generation adds another layer of auditability, but a citation marker is not equivalent to semantic support. Work on citation-enabled generation and fine-grained citation evaluation demonstrates the importance of checking whether a cited passage actually entails the attached statement [25,26]. More broadly, recent analyses of free-text explanation faithfulness show that evaluator choice and metric definition materially affect conclusions [27,28]. Accordingly, this paper evaluates four evidence boundaries separately rather than collapsing source availability, citation syntax, factual support, and decision traceability into one explanation-quality label.</w:t>
      </w:r>
    </w:p>
    <w:p>
      <w:pPr>
        <w:spacing w:after="80" w:line="252" w:lineRule="auto"/>
      </w:pPr>
      <w:r>
        <w:rPr>
          <w:rFonts w:ascii="Times New Roman" w:hAnsi="Times New Roman"/>
          <w:i w:val="0"/>
          <w:sz w:val="20"/>
        </w:rPr>
        <w:t>The gap addressed here is therefore architectural and evaluative. The symbolic rule component produces evidence while reranking. That exact trace is frozen with the selected item, passed unchanged to one explanation condition, and later reused as a closed-world verification target. The resulting experiment measures trace-conditioned grounding, not post-hoc retrieval quality and not hidden neural reasoning.</w:t>
      </w:r>
    </w:p>
    <w:p>
      <w:pPr>
        <w:pStyle w:val="Heading1"/>
        <w:spacing w:before="160" w:after="80"/>
      </w:pPr>
      <w:r>
        <w:t>3 Method</w:t>
      </w:r>
    </w:p>
    <w:p>
      <w:pPr>
        <w:pStyle w:val="Heading2"/>
        <w:spacing w:before="120" w:after="80"/>
      </w:pPr>
      <w:r>
        <w:t>3.1 Frozen design and dataset</w:t>
      </w:r>
    </w:p>
    <w:p>
      <w:pPr>
        <w:spacing w:after="80" w:line="252" w:lineRule="auto"/>
      </w:pPr>
      <w:r>
        <w:rPr>
          <w:rFonts w:ascii="Times New Roman" w:hAnsi="Times New Roman"/>
          <w:i w:val="0"/>
          <w:sz w:val="20"/>
        </w:rPr>
        <w:t>The final experiment is organised as five frozen stages. Stage 1 audits the data, final knowledge base (KB), split integrity, prompts, model identities, and validation-only settings. Stage 2 produces recommendation outputs and paired explanations. Stage 3 extracts atomic claims. Stage 4 verifies those claims against frozen evidence packets. Stage 5 computes deterministic metrics and statistical contrasts from saved outputs only. No model calls are made during the final statistical analysis.</w:t>
      </w:r>
    </w:p>
    <w:p>
      <w:pPr>
        <w:spacing w:after="80" w:line="252" w:lineRule="auto"/>
      </w:pPr>
      <w:r>
        <w:rPr>
          <w:rFonts w:ascii="Times New Roman" w:hAnsi="Times New Roman"/>
          <w:i w:val="0"/>
          <w:sz w:val="20"/>
        </w:rPr>
        <w:t>The study uses the Marqo/polyvore dataset at pinned revision 8c782ee447faf2d2a0402ac883cf07d3b3f43e1c. The split unit is the outfit. Exact-image duplicate groups are resolved before final quota restoration to prevent cross-split outfit and exact-image leakage. Five target categories are retained: tops, bottoms, shoes, outerwear, and bags. Accessories outside bags are excluded because the final controlled KB did not retain sufficiently explicit coverage for them.</w:t>
      </w:r>
    </w:p>
    <w:p>
      <w:pPr>
        <w:spacing w:after="80" w:line="252" w:lineRule="auto"/>
      </w:pPr>
      <w:r>
        <w:rPr>
          <w:rFonts w:ascii="Times New Roman" w:hAnsi="Times New Roman"/>
          <w:i w:val="0"/>
          <w:sz w:val="20"/>
        </w:rPr>
        <w:t>The test partition supplies 1,000 category-balanced recommendation cases (200 per target category). Each case is evaluated in a deterministic sampled candidate pool with up to 99 same-category negatives plus all known positives. This is therefore a controlled sampled-pool compatibility-ranking evaluation, not full-catalogue retrieval or personalised production recommendation. The frozen release contains the exact candidate construction and randomisation state.</w:t>
      </w:r>
    </w:p>
    <w:p>
      <w:pPr>
        <w:pStyle w:val="Heading2"/>
        <w:spacing w:before="120" w:after="80"/>
      </w:pPr>
      <w:r>
        <w:t>3.2 Knowledge base construction and freezing</w:t>
      </w:r>
    </w:p>
    <w:p>
      <w:pPr>
        <w:spacing w:after="80" w:line="252" w:lineRule="auto"/>
      </w:pPr>
      <w:r>
        <w:rPr>
          <w:rFonts w:ascii="Times New Roman" w:hAnsi="Times New Roman"/>
          <w:i w:val="0"/>
          <w:sz w:val="20"/>
        </w:rPr>
        <w:t>The canonical KB, fashion_rules.csv, contains exactly 200 source-grounded fashion rules, balanced at 40 rules for each target category. Rules encode relational styling knowledge such as category compatibility, coordination, layering, formality, and styling relationships. They are not treated as verified item-specific attributes and are not presented as universal fashion truth. Provenance and reliability metadata are retained for auditability, but all rules have equal scoring weight in the final experiment.</w:t>
      </w:r>
    </w:p>
    <w:p>
      <w:pPr>
        <w:spacing w:after="80" w:line="252" w:lineRule="auto"/>
      </w:pPr>
      <w:r>
        <w:rPr>
          <w:rFonts w:ascii="Times New Roman" w:hAnsi="Times New Roman"/>
          <w:i w:val="0"/>
          <w:sz w:val="20"/>
        </w:rPr>
        <w:t>The KB is frozen before final testing. It is not expanded, reduced, reweighted, or edited in response to recommendation or explanation results. This is important because the explanation experiment later evaluates claims against the same final KB and against the subset of rules that actually participated in reranking. The release package therefore binds the KB, prompts, traces, and final verification output by manifests and hashes.</w:t>
      </w:r>
    </w:p>
    <w:p>
      <w:pPr>
        <w:pStyle w:val="Heading2"/>
        <w:spacing w:before="120" w:after="80"/>
      </w:pPr>
      <w:r>
        <w:t>3.3 Multimodal ranking and evidence-aware reranking</w:t>
      </w:r>
    </w:p>
    <w:p>
      <w:pPr>
        <w:spacing w:after="80" w:line="252" w:lineRule="auto"/>
      </w:pPr>
      <w:r>
        <w:rPr>
          <w:rFonts w:ascii="Times New Roman" w:hAnsi="Times New Roman"/>
          <w:i w:val="0"/>
          <w:sz w:val="20"/>
        </w:rPr>
        <w:t>The ranking comparison includes a MiniLM text baseline, CLIP image retrieval, CLIP text retrieval, fused CLIP, and expert-rule-reranked CLIP. CLIP uses openai/clip-vit-base-patch32 with frozen representations [8]. The MiniLM checkpoint is pinned in the release configuration. The final validation-frozen CLIP fusion weights are 0.40 for image compatibility and 0.60 for text compatibility:</w:t>
      </w:r>
    </w:p>
    <w:p>
      <w:pPr>
        <w:spacing w:before="60" w:after="60"/>
        <w:jc w:val="center"/>
      </w:pPr>
      <m:oMathPara>
        <m:oMath>
          <m:r>
            <m:t>s_CLIP(q,i) = 0.40 s_img(q,i) + 0.60 s_text(q,i)</m:t>
          </m:r>
        </m:oMath>
      </m:oMathPara>
      <w:r>
        <w:rPr>
          <w:rFonts w:ascii="Times New Roman" w:hAnsi="Times New Roman"/>
          <w:sz w:val="20"/>
        </w:rPr>
        <w:t xml:space="preserve">   (1)</w:t>
      </w:r>
    </w:p>
    <w:p>
      <w:pPr>
        <w:spacing w:after="80" w:line="252" w:lineRule="auto"/>
      </w:pPr>
      <w:r>
        <w:rPr>
          <w:rFonts w:ascii="Times New Roman" w:hAnsi="Times New Roman"/>
          <w:i w:val="0"/>
          <w:sz w:val="20"/>
        </w:rPr>
        <w:t>For the rule pathway, candidate applicability is checked before scoring. Rule retrieval uses qwen3-embedding:0.6b [31]. Up to the top five applicable rules are retained. Let R_k(q,i) denote the retained rule set and s_r(q,i) the frozen semantic score for rule r. The final evidence score is:</w:t>
      </w:r>
    </w:p>
    <w:p>
      <w:pPr>
        <w:spacing w:before="60" w:after="60"/>
        <w:jc w:val="center"/>
      </w:pPr>
      <m:oMathPara>
        <m:oMath>
          <m:r>
            <m:t>s_E(q,i) = 0.70 max(s₁,…,s_k) + 0.30 (1/k) Σ s_j,   k ≤ 5</m:t>
          </m:r>
        </m:oMath>
      </m:oMathPara>
      <w:r>
        <w:rPr>
          <w:rFonts w:ascii="Times New Roman" w:hAnsi="Times New Roman"/>
          <w:sz w:val="20"/>
        </w:rPr>
        <w:t xml:space="preserve">   (2)</w:t>
      </w:r>
    </w:p>
    <w:p>
      <w:pPr>
        <w:spacing w:after="80" w:line="252" w:lineRule="auto"/>
      </w:pPr>
      <w:r>
        <w:rPr>
          <w:rFonts w:ascii="Times New Roman" w:hAnsi="Times New Roman"/>
          <w:i w:val="0"/>
          <w:sz w:val="20"/>
        </w:rPr>
        <w:t>Within each candidate pool, the CLIP and evidence scores are min-max normalised using the frozen implementation. The final reranking score uses the confirmatory validation-frozen weights 0.75/0.25:</w:t>
      </w:r>
    </w:p>
    <w:p>
      <w:pPr>
        <w:spacing w:before="60" w:after="60"/>
        <w:jc w:val="center"/>
      </w:pPr>
      <m:oMathPara>
        <m:oMath>
          <m:r>
            <m:t>S(q,i) = 0.75 s̃_CLIP(q,i) + 0.25 s̃_E(q,i)</m:t>
          </m:r>
        </m:oMath>
      </m:oMathPara>
      <w:r>
        <w:rPr>
          <w:rFonts w:ascii="Times New Roman" w:hAnsi="Times New Roman"/>
          <w:sz w:val="20"/>
        </w:rPr>
        <w:t xml:space="preserve">   (3)</w:t>
      </w:r>
    </w:p>
    <w:p>
      <w:pPr>
        <w:spacing w:after="80" w:line="252" w:lineRule="auto"/>
      </w:pPr>
      <w:r>
        <w:rPr>
          <w:rFonts w:ascii="Times New Roman" w:hAnsi="Times New Roman"/>
          <w:i w:val="0"/>
          <w:sz w:val="20"/>
        </w:rPr>
        <w:t>The image/text fusion value, evidence weight, and rule_top_k were selected only through validation sensitivity analyses and were not changed after observing final test outcomes. The locked top-ranked reranked item is selected before any explanation call. Its stored trace records the exact contributing rule evidence used by the final reranking implementation. There is no second rule retrieval after recommendation locking.</w:t>
      </w:r>
    </w:p>
    <w:p>
      <w:pPr>
        <w:jc w:val="center"/>
      </w:pPr>
      <w:r>
        <w:drawing>
          <wp:inline xmlns:a="http://schemas.openxmlformats.org/drawingml/2006/main" xmlns:pic="http://schemas.openxmlformats.org/drawingml/2006/picture">
            <wp:extent cx="5715000" cy="3380229"/>
            <wp:docPr id="1" name="Picture 1" descr="Image: image1.png"/>
            <wp:cNvGraphicFramePr>
              <a:graphicFrameLocks noChangeAspect="1"/>
            </wp:cNvGraphicFramePr>
            <a:graphic>
              <a:graphicData uri="http://schemas.openxmlformats.org/drawingml/2006/picture">
                <pic:pic>
                  <pic:nvPicPr>
                    <pic:cNvPr id="0" name="Fig1_pipeline.png"/>
                    <pic:cNvPicPr/>
                  </pic:nvPicPr>
                  <pic:blipFill>
                    <a:blip r:embed="rId10"/>
                    <a:stretch>
                      <a:fillRect/>
                    </a:stretch>
                  </pic:blipFill>
                  <pic:spPr>
                    <a:xfrm>
                      <a:off x="0" y="0"/>
                      <a:ext cx="5715000" cy="3380229"/>
                    </a:xfrm>
                    <a:prstGeom prst="rect"/>
                  </pic:spPr>
                </pic:pic>
              </a:graphicData>
            </a:graphic>
          </wp:inline>
        </w:drawing>
      </w:r>
    </w:p>
    <w:p>
      <w:pPr>
        <w:spacing w:before="60" w:after="120"/>
        <w:jc w:val="left"/>
      </w:pPr>
      <w:r>
        <w:rPr>
          <w:rFonts w:ascii="Times New Roman" w:hAnsi="Times New Roman"/>
          <w:b/>
          <w:sz w:val="18"/>
        </w:rPr>
        <w:t xml:space="preserve">Fig. 1 </w:t>
      </w:r>
      <w:r>
        <w:rPr>
          <w:rFonts w:ascii="Times New Roman" w:hAnsi="Times New Roman"/>
          <w:sz w:val="18"/>
        </w:rPr>
        <w:t>Frozen recommendation, trace reuse, explanation, and claim-level evaluation pipeline</w:t>
      </w:r>
    </w:p>
    <w:p>
      <w:pPr>
        <w:pStyle w:val="Heading2"/>
        <w:spacing w:before="120" w:after="80"/>
      </w:pPr>
      <w:r>
        <w:t>3.4 Paired explanation intervention</w:t>
      </w:r>
    </w:p>
    <w:p>
      <w:pPr>
        <w:spacing w:after="80" w:line="252" w:lineRule="auto"/>
      </w:pPr>
      <w:r>
        <w:rPr>
          <w:rFonts w:ascii="Times New Roman" w:hAnsi="Times New Roman"/>
          <w:i w:val="0"/>
          <w:sz w:val="20"/>
        </w:rPr>
        <w:t>Five hundred evidence-eligible locked recommendations (100 per category) form the explanation cohort. Eligibility requires at least one genuine stored contributing rule trace for the final locked top-1 item. Selection is deterministic and does not prefer multi-rule traces, high evidence scores, particular rule IDs, or cases likely to benefit from Rule-RAG. These safeguards prevent the explanation cohort from being intentionally enriched for trace-heavy or easy-to-ground examples.</w:t>
      </w:r>
    </w:p>
    <w:p>
      <w:pPr>
        <w:spacing w:after="80" w:line="252" w:lineRule="auto"/>
      </w:pPr>
      <w:r>
        <w:rPr>
          <w:rFonts w:ascii="Times New Roman" w:hAnsi="Times New Roman"/>
          <w:i w:val="0"/>
          <w:sz w:val="20"/>
        </w:rPr>
        <w:t>Let A_q denote the common case context for case q: the request plus query-item and locked-recommendation identities, categories, and product text. Let B_q denote the exact stored reranking trace for that locked recommendation. The two explanation conditions always refer to the same case and recommendation. No-RAG receives A_q. Rule-RAG receives A_q plus B_q under the corresponding grounding and citation contract. Both conditions use the same generator family, temperature 0, the same decoding/length regime, a 45-75 word requirement, and a 2-3 sentence output format. The practical intervention is therefore the Rule-RAG contract built around access to the exact stored trace; because grounding/citation instructions accompany trace visibility, the design should not be interpreted as a factorial isolation of every prompt component.</w:t>
      </w:r>
    </w:p>
    <w:p>
      <w:pPr>
        <w:spacing w:after="80" w:line="252" w:lineRule="auto"/>
      </w:pPr>
      <w:r>
        <w:rPr>
          <w:rFonts w:ascii="Times New Roman" w:hAnsi="Times New Roman"/>
          <w:i w:val="0"/>
          <w:sz w:val="20"/>
        </w:rPr>
        <w:t>Three local generators are evaluated: gemma4:12b [32], llama3.1:8b-instruct-q8_0 [33], and ministral-3:14b-instruct-2512-q4_K_M [34]. The planned matrix is 500 cases × 2 conditions × 3 generators = 3,000 explanation cells. Generation is sequential by model family with bounded retries and transparent terminal failure handling.</w:t>
      </w:r>
    </w:p>
    <w:p>
      <w:pPr>
        <w:pStyle w:val="Heading2"/>
        <w:spacing w:before="120" w:after="80"/>
      </w:pPr>
      <w:r>
        <w:t>3.5 Protocol correction and final Stage 2B run</w:t>
      </w:r>
    </w:p>
    <w:p>
      <w:pPr>
        <w:spacing w:after="80" w:line="252" w:lineRule="auto"/>
      </w:pPr>
      <w:r>
        <w:rPr>
          <w:rFonts w:ascii="Times New Roman" w:hAnsi="Times New Roman"/>
          <w:i w:val="0"/>
          <w:sz w:val="20"/>
        </w:rPr>
        <w:t>An initial fresh 3,000-cell generation pass exposed a prompt-validator contract mismatch: the validator required the entire normalised locked-item title as a contiguous string, while the prompt had only required preservation of the recommendation. Of 455 terminal failures in that pass, 426 were exact-title mismatches, 15 were missing Rule-RAG citations, and 14 were word-count failures; there were no API/runtime failures. The prompt contract was clarified to require the recommended item exactly as written and, for Rule-RAG, at least one canonical rule citation. The entire 3,000-cell matrix was then regenerated from scratch as Stage 2B rather than selectively retrying failed cells. Only this fresh Stage 2B run is analysed.</w:t>
      </w:r>
    </w:p>
    <w:p>
      <w:pPr>
        <w:spacing w:after="80" w:line="252" w:lineRule="auto"/>
      </w:pPr>
      <w:r>
        <w:rPr>
          <w:rFonts w:ascii="Times New Roman" w:hAnsi="Times New Roman"/>
          <w:i w:val="0"/>
          <w:sz w:val="20"/>
        </w:rPr>
        <w:t>Stage 2B accepted 2,969 of 3,000 explanations (98.97%). Gemma and Ministral accepted 1,000/1,000 cells each. Llama accepted 969/1,000; all 31 remaining terminal failures were Rule-RAG outputs that exceeded 75 words after the permitted retries. There were zero title, citation-ID, malformed-response, API, or timeout failures. Exact reranking traces remained hash-identical to the evidence supplied to Rule-RAG. Stage 2 was then frozen permanently.</w:t>
      </w:r>
    </w:p>
    <w:p>
      <w:pPr>
        <w:pStyle w:val="Heading2"/>
        <w:spacing w:before="120" w:after="80"/>
      </w:pPr>
      <w:r>
        <w:t>3.6 Claim extraction and closed-world verification</w:t>
      </w:r>
    </w:p>
    <w:p>
      <w:pPr>
        <w:spacing w:after="80" w:line="252" w:lineRule="auto"/>
      </w:pPr>
      <w:r>
        <w:rPr>
          <w:rFonts w:ascii="Times New Roman" w:hAnsi="Times New Roman"/>
          <w:i w:val="0"/>
          <w:sz w:val="20"/>
        </w:rPr>
        <w:t>Qwen 3.5 9B (qwen3.5:9b) [35] decomposes each accepted explanation into independently verifiable atomic propositions. The extractor does not judge truth or support; it preserves claim polarity, entities, and stable claim identifiers, and it has no arbitrary claim cap. From 2,969 accepted explanations, 2,965 extraction records were valid, yielding 17,710 atomic claims. Four terminal extraction failures were retained as failures rather than repaired or replaced.</w:t>
      </w:r>
    </w:p>
    <w:p>
      <w:pPr>
        <w:spacing w:after="80" w:line="252" w:lineRule="auto"/>
      </w:pPr>
      <w:r>
        <w:rPr>
          <w:rFonts w:ascii="Times New Roman" w:hAnsi="Times New Roman"/>
          <w:i w:val="0"/>
          <w:sz w:val="20"/>
        </w:rPr>
        <w:t>Phi-4 14B (phi4:14b) [36] verifies each extracted claim against four frozen evidence boundaries: (1) trace_support, whether the exact stored reranking trace substantiates the claim; (2) full_kb_support, whether the final record-specific 200-rule KB packet substantiates it; (3) common_reference_support, restricted to eligible concrete literal item facts shared across conditions; and (4) citation_entailment, whether an observed Rule-RAG citation semantically supports the associated claim. A not_supported label means that the supplied closed-world evidence does not substantiate the claim; it does not assert that the claim is false in the world.</w:t>
      </w:r>
    </w:p>
    <w:p>
      <w:pPr>
        <w:spacing w:after="80" w:line="252" w:lineRule="auto"/>
      </w:pPr>
      <w:r>
        <w:rPr>
          <w:rFonts w:ascii="Times New Roman" w:hAnsi="Times New Roman"/>
          <w:i w:val="0"/>
          <w:sz w:val="20"/>
        </w:rPr>
        <w:t>Stage 4 accepted 2,861 of 2,965 verification records (96.5%), covering 16,804 of 17,710 extracted claims (94.9%). The 104 terminal record failures were structured-output contract failures rather than API/GPU failures. Successful records passed claim-ID preservation, trace-packet hashing, final-KB binding, citation validation, and common-reference eligibility checks.</w:t>
      </w:r>
    </w:p>
    <w:p>
      <w:pPr>
        <w:spacing w:after="80" w:line="252" w:lineRule="auto"/>
      </w:pPr>
      <w:r>
        <w:rPr>
          <w:rFonts w:ascii="Times New Roman" w:hAnsi="Times New Roman"/>
          <w:i w:val="0"/>
          <w:sz w:val="20"/>
        </w:rPr>
        <w:t>A deterministic post-verification integrity correction enforced the logical subset invariant that trace_support = supported implies full_kb_support = supported. Audit identified 163 claims with the impossible combination trace_support = supported and full_kb_support = not_supported, even though the trace evidence is a subset of the final KB packet. After confirming trace membership, only full_kb_support was changed for those 163 claims; no evidence, trace, claim text, or trace-support label changed, and Phi was not rerun. The primary trace-support outcome is therefore unaffected by this correction. The canonical verification output and its SHA-256 hash are preserved in the release manifest.</w:t>
      </w:r>
    </w:p>
    <w:p>
      <w:pPr>
        <w:pStyle w:val="Heading2"/>
        <w:spacing w:before="120" w:after="80"/>
      </w:pPr>
      <w:r>
        <w:t>3.7 Outcome definitions</w:t>
      </w:r>
    </w:p>
    <w:p>
      <w:pPr>
        <w:spacing w:after="80" w:line="252" w:lineRule="auto"/>
      </w:pPr>
      <w:r>
        <w:rPr>
          <w:rFonts w:ascii="Times New Roman" w:hAnsi="Times New Roman"/>
          <w:i w:val="0"/>
          <w:sz w:val="20"/>
        </w:rPr>
        <w:t>The primary outcome is Reranking-Trace Claim Support Rate, defined at the explanation level as the fraction of verified substantive claims supported by the exact stored reranking trace:</w:t>
      </w:r>
    </w:p>
    <w:p>
      <w:pPr>
        <w:spacing w:before="60" w:after="60"/>
        <w:jc w:val="center"/>
      </w:pPr>
      <m:oMathPara>
        <m:oMath>
          <m:r>
            <m:t>TraceSupport(E) = N_trace(E) / N_claims(E)</m:t>
          </m:r>
        </m:oMath>
      </m:oMathPara>
      <w:r>
        <w:rPr>
          <w:rFonts w:ascii="Times New Roman" w:hAnsi="Times New Roman"/>
          <w:sz w:val="20"/>
        </w:rPr>
        <w:t xml:space="preserve">   (4)</w:t>
      </w:r>
    </w:p>
    <w:p>
      <w:pPr>
        <w:spacing w:after="80" w:line="252" w:lineRule="auto"/>
      </w:pPr>
      <w:r>
        <w:rPr>
          <w:rFonts w:ascii="Times New Roman" w:hAnsi="Times New Roman"/>
          <w:i w:val="0"/>
          <w:sz w:val="20"/>
        </w:rPr>
        <w:t>Full-KB Claim Support Rate uses the same denominator but replaces trace_support with full_kb_support. The Unsupported Item-Fact Rate (UIFR) is defined only for common-reference-eligible concrete item-fact claims; explanations with no eligible item-fact claims are not assigned an artificial zero. Finally, Trace-Supported Claims per 100 Words controls partly for output length and claim density:</w:t>
      </w:r>
    </w:p>
    <w:p>
      <w:pPr>
        <w:spacing w:before="60" w:after="60"/>
        <w:jc w:val="center"/>
      </w:pPr>
      <m:oMathPara>
        <m:oMath>
          <m:r>
            <m:t>TraceDensity(E) = 100 × N_trace(E) / N_words(E)</m:t>
          </m:r>
        </m:oMath>
      </m:oMathPara>
      <w:r>
        <w:rPr>
          <w:rFonts w:ascii="Times New Roman" w:hAnsi="Times New Roman"/>
          <w:sz w:val="20"/>
        </w:rPr>
        <w:t xml:space="preserve">   (5)</w:t>
      </w:r>
    </w:p>
    <w:p>
      <w:pPr>
        <w:spacing w:after="80" w:line="252" w:lineRule="auto"/>
      </w:pPr>
      <w:r>
        <w:rPr>
          <w:rFonts w:ascii="Times New Roman" w:hAnsi="Times New Roman"/>
          <w:i w:val="0"/>
          <w:sz w:val="20"/>
        </w:rPr>
        <w:t>Citation entailment and trace utilisation are diagnostics rather than primary explanation outcomes. Citation syntax is never treated as proof of semantic support.</w:t>
      </w:r>
    </w:p>
    <w:p>
      <w:pPr>
        <w:pStyle w:val="Heading2"/>
        <w:spacing w:before="120" w:after="80"/>
      </w:pPr>
      <w:r>
        <w:t>3.8 Inference, pairing, and missingness</w:t>
      </w:r>
    </w:p>
    <w:p>
      <w:pPr>
        <w:spacing w:after="80" w:line="252" w:lineRule="auto"/>
      </w:pPr>
      <w:r>
        <w:rPr>
          <w:rFonts w:ascii="Times New Roman" w:hAnsi="Times New Roman"/>
          <w:i w:val="0"/>
          <w:sz w:val="20"/>
        </w:rPr>
        <w:t>Recommendation confidence intervals use 5,000 percentile bootstrap replicates clustered by query_outfit_id; the 1,000 recommendation cases contain 734 unique query outfits. For explanation outcomes, only complete No-RAG/Rule-RAG pairs are compared within each generator. The final complete-pair counts are 474 for Gemma, 438 for Llama, and 456 for Ministral.</w:t>
      </w:r>
    </w:p>
    <w:p>
      <w:pPr>
        <w:spacing w:after="80" w:line="252" w:lineRule="auto"/>
      </w:pPr>
      <w:r>
        <w:rPr>
          <w:rFonts w:ascii="Times New Roman" w:hAnsi="Times New Roman"/>
          <w:i w:val="0"/>
          <w:sz w:val="20"/>
        </w:rPr>
        <w:t>For overall inference, available generator-specific paired values are first averaged within each underlying case, producing 498 underlying cases with at least one complete generator pair. Case-generator rows are therefore not treated as independent observations. Overall confidence intervals use 5,000 case-clustered percentile bootstrap replicates. Paired resampling p-values are taken from the frozen Stage-5 analysis and Holm-adjusted across the four prespecified overall explanation metrics. Failures are not imputed. Complete-pair analysis preserves within-case comparability but cannot eliminate selection effects if condition-specific failures are associated with explanation characteristics.</w:t>
      </w:r>
    </w:p>
    <w:p>
      <w:pPr>
        <w:spacing w:after="80" w:line="252" w:lineRule="auto"/>
      </w:pPr>
      <w:r>
        <w:rPr>
          <w:rFonts w:ascii="Times New Roman" w:hAnsi="Times New Roman"/>
          <w:i w:val="0"/>
          <w:sz w:val="20"/>
        </w:rPr>
        <w:t>The frozen provenance record also documents an authorised later verifier-contract prompt correction that changed the final prompt-configuration hash after the initial Stage-1 preflight. Stage-1 provenance was amended transparently to point to the final prompt configuration; no model rerun was required for that metadata correction. Final Stage-5 analysis uses only canonical frozen artifacts.</w:t>
      </w:r>
    </w:p>
    <w:p>
      <w:pPr>
        <w:pStyle w:val="Heading1"/>
        <w:spacing w:before="160" w:after="80"/>
      </w:pPr>
      <w:r>
        <w:t>4 Experimental Results</w:t>
      </w:r>
    </w:p>
    <w:p>
      <w:pPr>
        <w:pStyle w:val="Heading2"/>
        <w:spacing w:before="120" w:after="80"/>
      </w:pPr>
      <w:r>
        <w:t>4.1 Recommendation effectiveness and evidence participation</w:t>
      </w:r>
    </w:p>
    <w:p>
      <w:pPr>
        <w:spacing w:after="80" w:line="252" w:lineRule="auto"/>
      </w:pPr>
      <w:r>
        <w:rPr>
          <w:rFonts w:ascii="Times New Roman" w:hAnsi="Times New Roman"/>
          <w:i w:val="0"/>
          <w:sz w:val="20"/>
        </w:rPr>
        <w:t>Table 1 reports point estimates for the sampled candidate-pool recommendation task. Fused CLIP provides the strongest overall ranking profile, achieving the highest HR@5, HR@10, NDCG@5, NDCG@10, and MRR, while the MiniLM text baseline has the highest HR@1. Evidence reranking does not improve conventional ranking effectiveness and should not be interpreted as a stronger recommender. Clustered confidence intervals for the full metric table are retained in the frozen release artifact final_recommendation_metrics_with_ci.csv.</w:t>
      </w:r>
    </w:p>
    <w:tbl>
      <w:tblPr>
        <w:tblStyle w:val="TableGrid"/>
        <w:tblW w:type="auto" w:w="0"/>
        <w:jc w:val="center"/>
        <w:tblLook w:firstColumn="1" w:firstRow="1" w:lastColumn="0" w:lastRow="0" w:noHBand="0" w:noVBand="1" w:val="04A0"/>
      </w:tblPr>
      <w:tblGrid>
        <w:gridCol w:w="1352"/>
        <w:gridCol w:w="1352"/>
        <w:gridCol w:w="1352"/>
        <w:gridCol w:w="1352"/>
        <w:gridCol w:w="1352"/>
        <w:gridCol w:w="1352"/>
        <w:gridCol w:w="1352"/>
      </w:tblGrid>
      <w:tr>
        <w:trPr>
          <w:tblHeader w:val="true"/>
        </w:trPr>
        <w:tc>
          <w:tcPr>
            <w:tcW w:type="dxa" w:w="1352"/>
            <w:shd w:fill="E7E7E7"/>
            <w:tcMar>
              <w:top w:w="65" w:type="dxa"/>
              <w:start w:w="70" w:type="dxa"/>
              <w:bottom w:w="65" w:type="dxa"/>
              <w:end w:w="70" w:type="dxa"/>
            </w:tcMar>
            <w:vAlign w:val="center"/>
          </w:tcPr>
          <w:p>
            <w:pPr>
              <w:spacing w:after="0" w:line="240" w:lineRule="auto"/>
            </w:pPr>
            <w:r>
              <w:rPr>
                <w:rFonts w:ascii="Times New Roman" w:hAnsi="Times New Roman"/>
                <w:b/>
                <w:sz w:val="16"/>
              </w:rPr>
              <w:t>Method</w:t>
            </w:r>
          </w:p>
        </w:tc>
        <w:tc>
          <w:tcPr>
            <w:tcW w:type="dxa" w:w="1352"/>
            <w:shd w:fill="E7E7E7"/>
            <w:tcMar>
              <w:top w:w="65" w:type="dxa"/>
              <w:start w:w="70" w:type="dxa"/>
              <w:bottom w:w="65" w:type="dxa"/>
              <w:end w:w="70" w:type="dxa"/>
            </w:tcMar>
            <w:vAlign w:val="center"/>
          </w:tcPr>
          <w:p>
            <w:pPr>
              <w:spacing w:after="0" w:line="240" w:lineRule="auto"/>
            </w:pPr>
            <w:r>
              <w:rPr>
                <w:rFonts w:ascii="Times New Roman" w:hAnsi="Times New Roman"/>
                <w:b/>
                <w:sz w:val="16"/>
              </w:rPr>
              <w:t>HR@1</w:t>
            </w:r>
          </w:p>
        </w:tc>
        <w:tc>
          <w:tcPr>
            <w:tcW w:type="dxa" w:w="1352"/>
            <w:shd w:fill="E7E7E7"/>
            <w:tcMar>
              <w:top w:w="65" w:type="dxa"/>
              <w:start w:w="70" w:type="dxa"/>
              <w:bottom w:w="65" w:type="dxa"/>
              <w:end w:w="70" w:type="dxa"/>
            </w:tcMar>
            <w:vAlign w:val="center"/>
          </w:tcPr>
          <w:p>
            <w:pPr>
              <w:spacing w:after="0" w:line="240" w:lineRule="auto"/>
            </w:pPr>
            <w:r>
              <w:rPr>
                <w:rFonts w:ascii="Times New Roman" w:hAnsi="Times New Roman"/>
                <w:b/>
                <w:sz w:val="16"/>
              </w:rPr>
              <w:t>HR@5</w:t>
            </w:r>
          </w:p>
        </w:tc>
        <w:tc>
          <w:tcPr>
            <w:tcW w:type="dxa" w:w="1352"/>
            <w:shd w:fill="E7E7E7"/>
            <w:tcMar>
              <w:top w:w="65" w:type="dxa"/>
              <w:start w:w="70" w:type="dxa"/>
              <w:bottom w:w="65" w:type="dxa"/>
              <w:end w:w="70" w:type="dxa"/>
            </w:tcMar>
            <w:vAlign w:val="center"/>
          </w:tcPr>
          <w:p>
            <w:pPr>
              <w:spacing w:after="0" w:line="240" w:lineRule="auto"/>
            </w:pPr>
            <w:r>
              <w:rPr>
                <w:rFonts w:ascii="Times New Roman" w:hAnsi="Times New Roman"/>
                <w:b/>
                <w:sz w:val="16"/>
              </w:rPr>
              <w:t>HR@10</w:t>
            </w:r>
          </w:p>
        </w:tc>
        <w:tc>
          <w:tcPr>
            <w:tcW w:type="dxa" w:w="1352"/>
            <w:shd w:fill="E7E7E7"/>
            <w:tcMar>
              <w:top w:w="65" w:type="dxa"/>
              <w:start w:w="70" w:type="dxa"/>
              <w:bottom w:w="65" w:type="dxa"/>
              <w:end w:w="70" w:type="dxa"/>
            </w:tcMar>
            <w:vAlign w:val="center"/>
          </w:tcPr>
          <w:p>
            <w:pPr>
              <w:spacing w:after="0" w:line="240" w:lineRule="auto"/>
            </w:pPr>
            <w:r>
              <w:rPr>
                <w:rFonts w:ascii="Times New Roman" w:hAnsi="Times New Roman"/>
                <w:b/>
                <w:sz w:val="16"/>
              </w:rPr>
              <w:t>NDCG@5</w:t>
            </w:r>
          </w:p>
        </w:tc>
        <w:tc>
          <w:tcPr>
            <w:tcW w:type="dxa" w:w="1352"/>
            <w:shd w:fill="E7E7E7"/>
            <w:tcMar>
              <w:top w:w="65" w:type="dxa"/>
              <w:start w:w="70" w:type="dxa"/>
              <w:bottom w:w="65" w:type="dxa"/>
              <w:end w:w="70" w:type="dxa"/>
            </w:tcMar>
            <w:vAlign w:val="center"/>
          </w:tcPr>
          <w:p>
            <w:pPr>
              <w:spacing w:after="0" w:line="240" w:lineRule="auto"/>
            </w:pPr>
            <w:r>
              <w:rPr>
                <w:rFonts w:ascii="Times New Roman" w:hAnsi="Times New Roman"/>
                <w:b/>
                <w:sz w:val="16"/>
              </w:rPr>
              <w:t>NDCG@10</w:t>
            </w:r>
          </w:p>
        </w:tc>
        <w:tc>
          <w:tcPr>
            <w:tcW w:type="dxa" w:w="1352"/>
            <w:shd w:fill="E7E7E7"/>
            <w:tcMar>
              <w:top w:w="65" w:type="dxa"/>
              <w:start w:w="70" w:type="dxa"/>
              <w:bottom w:w="65" w:type="dxa"/>
              <w:end w:w="70" w:type="dxa"/>
            </w:tcMar>
            <w:vAlign w:val="center"/>
          </w:tcPr>
          <w:p>
            <w:pPr>
              <w:spacing w:after="0" w:line="240" w:lineRule="auto"/>
            </w:pPr>
            <w:r>
              <w:rPr>
                <w:rFonts w:ascii="Times New Roman" w:hAnsi="Times New Roman"/>
                <w:b/>
                <w:sz w:val="16"/>
              </w:rPr>
              <w:t>MRR</w:t>
            </w:r>
          </w:p>
        </w:tc>
      </w:tr>
      <w:tr>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MiniLM text</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4.8%</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12.0%</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17.7%</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8.4%</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10.3%</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10.2%</w:t>
            </w:r>
          </w:p>
        </w:tc>
      </w:tr>
      <w:tr>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CLIP image</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3.2%</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12.6%</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22.0%</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7.9%</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10.9%</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10.0%</w:t>
            </w:r>
          </w:p>
        </w:tc>
      </w:tr>
      <w:tr>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CLIP text</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3.5%</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13.8%</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21.2%</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8.6%</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11.0%</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10.1%</w:t>
            </w:r>
          </w:p>
        </w:tc>
      </w:tr>
      <w:tr>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Fused CLIP</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4.5%</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14.3%</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23.1%</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9.4%</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12.2%</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11.4%</w:t>
            </w:r>
          </w:p>
        </w:tc>
      </w:tr>
      <w:tr>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Evidence rerank</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3.8%</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13.2%</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22.5%</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8.5%</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11.4%</w:t>
            </w:r>
          </w:p>
        </w:tc>
        <w:tc>
          <w:tcPr>
            <w:tcW w:type="dxa" w:w="1352"/>
            <w:tcMar>
              <w:top w:w="65" w:type="dxa"/>
              <w:start w:w="70" w:type="dxa"/>
              <w:bottom w:w="65" w:type="dxa"/>
              <w:end w:w="70" w:type="dxa"/>
            </w:tcMar>
            <w:vAlign w:val="center"/>
          </w:tcPr>
          <w:p>
            <w:pPr>
              <w:spacing w:after="0" w:line="240" w:lineRule="auto"/>
            </w:pPr>
            <w:r>
              <w:rPr>
                <w:rFonts w:ascii="Times New Roman" w:hAnsi="Times New Roman"/>
                <w:sz w:val="16"/>
              </w:rPr>
              <w:t>10.6%</w:t>
            </w:r>
          </w:p>
        </w:tc>
      </w:tr>
    </w:tbl>
    <w:p>
      <w:pPr>
        <w:spacing w:before="60" w:after="120"/>
        <w:jc w:val="left"/>
      </w:pPr>
      <w:r>
        <w:rPr>
          <w:rFonts w:ascii="Times New Roman" w:hAnsi="Times New Roman"/>
          <w:b/>
          <w:sz w:val="18"/>
        </w:rPr>
        <w:t xml:space="preserve">Table 1 </w:t>
      </w:r>
      <w:r>
        <w:rPr>
          <w:rFonts w:ascii="Times New Roman" w:hAnsi="Times New Roman"/>
          <w:sz w:val="18"/>
        </w:rPr>
        <w:t>Recommendation effectiveness over 1,000 controlled sampled-pool cases. Each case uses up to 99 deterministic same-category negatives plus all known positives</w:t>
      </w:r>
    </w:p>
    <w:p>
      <w:pPr>
        <w:spacing w:after="80" w:line="252" w:lineRule="auto"/>
      </w:pPr>
      <w:r>
        <w:rPr>
          <w:rFonts w:ascii="Times New Roman" w:hAnsi="Times New Roman"/>
          <w:i w:val="0"/>
          <w:sz w:val="20"/>
        </w:rPr>
        <w:t>Evidence participation is nevertheless non-trivial. Reranking changes the top-1 item in 26.5% of cases. Mean top-five overlap between fused CLIP and evidence reranking is 3.859 items, the mean selected-item evidence-score gain is 0.1473, and the mean rank shift is 0.566. Across the collection of locked traces, 148 of the 200 KB rules appear at least once. These diagnostics support a trade-off interpretation: the rule component meaningfully changes ranking decisions and creates explicit evidence, but the resulting reranker is not more accurate on the conventional relevance metrics.</w:t>
      </w:r>
    </w:p>
    <w:p>
      <w:pPr>
        <w:pStyle w:val="Heading2"/>
        <w:spacing w:before="120" w:after="80"/>
      </w:pPr>
      <w:r>
        <w:t>4.2 Explanation grounding</w:t>
      </w:r>
    </w:p>
    <w:p>
      <w:pPr>
        <w:spacing w:after="80" w:line="252" w:lineRule="auto"/>
      </w:pPr>
      <w:r>
        <w:rPr>
          <w:rFonts w:ascii="Times New Roman" w:hAnsi="Times New Roman"/>
          <w:i w:val="0"/>
          <w:sz w:val="20"/>
        </w:rPr>
        <w:t>Table 2 contains the prespecified overall paired contrasts. Rule-RAG increases support from the exact evidence that participated in reranking and from the larger final KB packet. It also increases the density of trace-supported claims relative to output length. UIFR remains inconclusive because its strict common-reference definition yields only 53 eligible paired cases. Positive UIFR differences are undesirable.</w:t>
      </w:r>
    </w:p>
    <w:tbl>
      <w:tblPr>
        <w:tblStyle w:val="TableGrid"/>
        <w:tblW w:type="auto" w:w="0"/>
        <w:jc w:val="center"/>
        <w:tblLook w:firstColumn="1" w:firstRow="1" w:lastColumn="0" w:lastRow="0" w:noHBand="0" w:noVBand="1" w:val="04A0"/>
      </w:tblPr>
      <w:tblGrid>
        <w:gridCol w:w="1892"/>
        <w:gridCol w:w="1892"/>
        <w:gridCol w:w="1892"/>
        <w:gridCol w:w="1892"/>
        <w:gridCol w:w="1892"/>
      </w:tblGrid>
      <w:tr>
        <w:trPr>
          <w:tblHeader w:val="true"/>
        </w:trPr>
        <w:tc>
          <w:tcPr>
            <w:tcW w:type="dxa" w:w="1892"/>
            <w:shd w:fill="E7E7E7"/>
            <w:tcMar>
              <w:top w:w="65" w:type="dxa"/>
              <w:start w:w="70" w:type="dxa"/>
              <w:bottom w:w="65" w:type="dxa"/>
              <w:end w:w="70" w:type="dxa"/>
            </w:tcMar>
            <w:vAlign w:val="center"/>
          </w:tcPr>
          <w:p>
            <w:pPr>
              <w:spacing w:after="0" w:line="240" w:lineRule="auto"/>
            </w:pPr>
            <w:r>
              <w:rPr>
                <w:rFonts w:ascii="Times New Roman" w:hAnsi="Times New Roman"/>
                <w:b/>
                <w:sz w:val="16"/>
              </w:rPr>
              <w:t>Outcome</w:t>
            </w:r>
          </w:p>
        </w:tc>
        <w:tc>
          <w:tcPr>
            <w:tcW w:type="dxa" w:w="1892"/>
            <w:shd w:fill="E7E7E7"/>
            <w:tcMar>
              <w:top w:w="65" w:type="dxa"/>
              <w:start w:w="70" w:type="dxa"/>
              <w:bottom w:w="65" w:type="dxa"/>
              <w:end w:w="70" w:type="dxa"/>
            </w:tcMar>
            <w:vAlign w:val="center"/>
          </w:tcPr>
          <w:p>
            <w:pPr>
              <w:spacing w:after="0" w:line="240" w:lineRule="auto"/>
            </w:pPr>
            <w:r>
              <w:rPr>
                <w:rFonts w:ascii="Times New Roman" w:hAnsi="Times New Roman"/>
                <w:b/>
                <w:sz w:val="16"/>
              </w:rPr>
              <w:t>Paired cases</w:t>
            </w:r>
          </w:p>
        </w:tc>
        <w:tc>
          <w:tcPr>
            <w:tcW w:type="dxa" w:w="1892"/>
            <w:shd w:fill="E7E7E7"/>
            <w:tcMar>
              <w:top w:w="65" w:type="dxa"/>
              <w:start w:w="70" w:type="dxa"/>
              <w:bottom w:w="65" w:type="dxa"/>
              <w:end w:w="70" w:type="dxa"/>
            </w:tcMar>
            <w:vAlign w:val="center"/>
          </w:tcPr>
          <w:p>
            <w:pPr>
              <w:spacing w:after="0" w:line="240" w:lineRule="auto"/>
            </w:pPr>
            <w:r>
              <w:rPr>
                <w:rFonts w:ascii="Times New Roman" w:hAnsi="Times New Roman"/>
                <w:b/>
                <w:sz w:val="16"/>
              </w:rPr>
              <w:t>Rule-RAG − No-RAG</w:t>
            </w:r>
          </w:p>
        </w:tc>
        <w:tc>
          <w:tcPr>
            <w:tcW w:type="dxa" w:w="1892"/>
            <w:shd w:fill="E7E7E7"/>
            <w:tcMar>
              <w:top w:w="65" w:type="dxa"/>
              <w:start w:w="70" w:type="dxa"/>
              <w:bottom w:w="65" w:type="dxa"/>
              <w:end w:w="70" w:type="dxa"/>
            </w:tcMar>
            <w:vAlign w:val="center"/>
          </w:tcPr>
          <w:p>
            <w:pPr>
              <w:spacing w:after="0" w:line="240" w:lineRule="auto"/>
            </w:pPr>
            <w:r>
              <w:rPr>
                <w:rFonts w:ascii="Times New Roman" w:hAnsi="Times New Roman"/>
                <w:b/>
                <w:sz w:val="16"/>
              </w:rPr>
              <w:t>95% CI</w:t>
            </w:r>
          </w:p>
        </w:tc>
        <w:tc>
          <w:tcPr>
            <w:tcW w:type="dxa" w:w="1892"/>
            <w:shd w:fill="E7E7E7"/>
            <w:tcMar>
              <w:top w:w="65" w:type="dxa"/>
              <w:start w:w="70" w:type="dxa"/>
              <w:bottom w:w="65" w:type="dxa"/>
              <w:end w:w="70" w:type="dxa"/>
            </w:tcMar>
            <w:vAlign w:val="center"/>
          </w:tcPr>
          <w:p>
            <w:pPr>
              <w:spacing w:after="0" w:line="240" w:lineRule="auto"/>
            </w:pPr>
            <w:r>
              <w:rPr>
                <w:rFonts w:ascii="Times New Roman" w:hAnsi="Times New Roman"/>
                <w:b/>
                <w:sz w:val="16"/>
              </w:rPr>
              <w:t>Holm-adjusted p</w:t>
            </w:r>
          </w:p>
        </w:tc>
      </w:tr>
      <w:tr>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Reranking-Trace Claim Support Rate</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498</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+21.02 pp</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+19.72 to +22.37 pp</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0.0016</w:t>
            </w:r>
          </w:p>
        </w:tc>
      </w:tr>
      <w:tr>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Full-KB Claim Support Rate</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498</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+21.40 pp</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+20.11 to +22.71 pp</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0.0016</w:t>
            </w:r>
          </w:p>
        </w:tc>
      </w:tr>
      <w:tr>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Unsupported Item-Fact Rate</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53</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+0.63 pp</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−5.03 to +5.66 pp</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0.9042</w:t>
            </w:r>
          </w:p>
        </w:tc>
      </w:tr>
      <w:tr>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Trace-supported claims / 100 words</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498</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+1.60</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+1.48 to +1.72</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0.0016</w:t>
            </w:r>
          </w:p>
        </w:tc>
      </w:tr>
    </w:tbl>
    <w:p>
      <w:pPr>
        <w:spacing w:before="60" w:after="120"/>
        <w:jc w:val="left"/>
      </w:pPr>
      <w:r>
        <w:rPr>
          <w:rFonts w:ascii="Times New Roman" w:hAnsi="Times New Roman"/>
          <w:b/>
          <w:sz w:val="18"/>
        </w:rPr>
        <w:t xml:space="preserve">Table 2 </w:t>
      </w:r>
      <w:r>
        <w:rPr>
          <w:rFonts w:ascii="Times New Roman" w:hAnsi="Times New Roman"/>
          <w:sz w:val="18"/>
        </w:rPr>
        <w:t>Overall case-level paired contrasts. Available generator-specific paired outcomes are averaged within each underlying case before case-clustered inference</w:t>
      </w:r>
    </w:p>
    <w:p>
      <w:pPr>
        <w:spacing w:after="80" w:line="252" w:lineRule="auto"/>
      </w:pPr>
      <w:r>
        <w:rPr>
          <w:rFonts w:ascii="Times New Roman" w:hAnsi="Times New Roman"/>
          <w:i w:val="0"/>
          <w:sz w:val="20"/>
        </w:rPr>
        <w:t>The central result is source-specific. A No-RAG explanation can coincidentally agree with the hidden trace B, but B was unavailable during generation. Rule-RAG receives the exact trace associated with the locked recommendation, allowing the generated text to be audited against evidence that existed before explanation generation. The near-parallel change in full-KB support (+21.40 pp) and exact-trace support (+21.02 pp) suggests that most of the additional supported content is closely aligned with the decision trace rather than merely with unrelated rules elsewhere in the KB.</w:t>
      </w:r>
    </w:p>
    <w:p>
      <w:pPr>
        <w:pStyle w:val="Heading2"/>
        <w:spacing w:before="120" w:after="80"/>
      </w:pPr>
      <w:r>
        <w:t>4.3 Robustness across generators</w:t>
      </w:r>
    </w:p>
    <w:p>
      <w:pPr>
        <w:spacing w:after="80" w:line="252" w:lineRule="auto"/>
      </w:pPr>
      <w:r>
        <w:rPr>
          <w:rFonts w:ascii="Times New Roman" w:hAnsi="Times New Roman"/>
          <w:i w:val="0"/>
          <w:sz w:val="20"/>
        </w:rPr>
        <w:t>The direction of the primary support effect is positive for all three generator families (Table 3), and the frozen generator-specific 95% confidence intervals exclude zero for trace support, full-KB support, and trace-supported-claim density. Effect magnitude nevertheless varies substantially: Ministral shows a smaller gain than Gemma or Llama. The appropriate interpretation is directional robustness across the evaluated generator roster, not invariance across all LLMs.</w:t>
      </w:r>
    </w:p>
    <w:tbl>
      <w:tblPr>
        <w:tblStyle w:val="TableGrid"/>
        <w:tblW w:type="auto" w:w="0"/>
        <w:jc w:val="center"/>
        <w:tblLook w:firstColumn="1" w:firstRow="1" w:lastColumn="0" w:lastRow="0" w:noHBand="0" w:noVBand="1" w:val="04A0"/>
      </w:tblPr>
      <w:tblGrid>
        <w:gridCol w:w="1892"/>
        <w:gridCol w:w="1892"/>
        <w:gridCol w:w="1892"/>
        <w:gridCol w:w="1892"/>
        <w:gridCol w:w="1892"/>
      </w:tblGrid>
      <w:tr>
        <w:trPr>
          <w:tblHeader w:val="true"/>
        </w:trPr>
        <w:tc>
          <w:tcPr>
            <w:tcW w:type="dxa" w:w="1892"/>
            <w:shd w:fill="E7E7E7"/>
            <w:tcMar>
              <w:top w:w="65" w:type="dxa"/>
              <w:start w:w="70" w:type="dxa"/>
              <w:bottom w:w="65" w:type="dxa"/>
              <w:end w:w="70" w:type="dxa"/>
            </w:tcMar>
            <w:vAlign w:val="center"/>
          </w:tcPr>
          <w:p>
            <w:pPr>
              <w:spacing w:after="0" w:line="240" w:lineRule="auto"/>
            </w:pPr>
            <w:r>
              <w:rPr>
                <w:rFonts w:ascii="Times New Roman" w:hAnsi="Times New Roman"/>
                <w:b/>
                <w:sz w:val="16"/>
              </w:rPr>
              <w:t>Generator</w:t>
            </w:r>
          </w:p>
        </w:tc>
        <w:tc>
          <w:tcPr>
            <w:tcW w:type="dxa" w:w="1892"/>
            <w:shd w:fill="E7E7E7"/>
            <w:tcMar>
              <w:top w:w="65" w:type="dxa"/>
              <w:start w:w="70" w:type="dxa"/>
              <w:bottom w:w="65" w:type="dxa"/>
              <w:end w:w="70" w:type="dxa"/>
            </w:tcMar>
            <w:vAlign w:val="center"/>
          </w:tcPr>
          <w:p>
            <w:pPr>
              <w:spacing w:after="0" w:line="240" w:lineRule="auto"/>
            </w:pPr>
            <w:r>
              <w:rPr>
                <w:rFonts w:ascii="Times New Roman" w:hAnsi="Times New Roman"/>
                <w:b/>
                <w:sz w:val="16"/>
              </w:rPr>
              <w:t>Complete pairs</w:t>
            </w:r>
          </w:p>
        </w:tc>
        <w:tc>
          <w:tcPr>
            <w:tcW w:type="dxa" w:w="1892"/>
            <w:shd w:fill="E7E7E7"/>
            <w:tcMar>
              <w:top w:w="65" w:type="dxa"/>
              <w:start w:w="70" w:type="dxa"/>
              <w:bottom w:w="65" w:type="dxa"/>
              <w:end w:w="70" w:type="dxa"/>
            </w:tcMar>
            <w:vAlign w:val="center"/>
          </w:tcPr>
          <w:p>
            <w:pPr>
              <w:spacing w:after="0" w:line="240" w:lineRule="auto"/>
            </w:pPr>
            <w:r>
              <w:rPr>
                <w:rFonts w:ascii="Times New Roman" w:hAnsi="Times New Roman"/>
                <w:b/>
                <w:sz w:val="16"/>
              </w:rPr>
              <w:t>Trace support Δ</w:t>
            </w:r>
          </w:p>
        </w:tc>
        <w:tc>
          <w:tcPr>
            <w:tcW w:type="dxa" w:w="1892"/>
            <w:shd w:fill="E7E7E7"/>
            <w:tcMar>
              <w:top w:w="65" w:type="dxa"/>
              <w:start w:w="70" w:type="dxa"/>
              <w:bottom w:w="65" w:type="dxa"/>
              <w:end w:w="70" w:type="dxa"/>
            </w:tcMar>
            <w:vAlign w:val="center"/>
          </w:tcPr>
          <w:p>
            <w:pPr>
              <w:spacing w:after="0" w:line="240" w:lineRule="auto"/>
            </w:pPr>
            <w:r>
              <w:rPr>
                <w:rFonts w:ascii="Times New Roman" w:hAnsi="Times New Roman"/>
                <w:b/>
                <w:sz w:val="16"/>
              </w:rPr>
              <w:t>Full-KB support Δ</w:t>
            </w:r>
          </w:p>
        </w:tc>
        <w:tc>
          <w:tcPr>
            <w:tcW w:type="dxa" w:w="1892"/>
            <w:shd w:fill="E7E7E7"/>
            <w:tcMar>
              <w:top w:w="65" w:type="dxa"/>
              <w:start w:w="70" w:type="dxa"/>
              <w:bottom w:w="65" w:type="dxa"/>
              <w:end w:w="70" w:type="dxa"/>
            </w:tcMar>
            <w:vAlign w:val="center"/>
          </w:tcPr>
          <w:p>
            <w:pPr>
              <w:spacing w:after="0" w:line="240" w:lineRule="auto"/>
            </w:pPr>
            <w:r>
              <w:rPr>
                <w:rFonts w:ascii="Times New Roman" w:hAnsi="Times New Roman"/>
                <w:b/>
                <w:sz w:val="16"/>
              </w:rPr>
              <w:t>Trace claims / 100 words Δ</w:t>
            </w:r>
          </w:p>
        </w:tc>
      </w:tr>
      <w:tr>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Gemma 4 12B</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474</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+25.09 pp</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+25.22 pp</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+1.79</w:t>
            </w:r>
          </w:p>
        </w:tc>
      </w:tr>
      <w:tr>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Llama 3.1 8B</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438</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+26.74 pp</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+27.26 pp</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+1.91</w:t>
            </w:r>
          </w:p>
        </w:tc>
      </w:tr>
      <w:tr>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Ministral 3 14B</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456</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+11.35 pp</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+11.77 pp</w:t>
            </w:r>
          </w:p>
        </w:tc>
        <w:tc>
          <w:tcPr>
            <w:tcW w:type="dxa" w:w="1892"/>
            <w:tcMar>
              <w:top w:w="65" w:type="dxa"/>
              <w:start w:w="70" w:type="dxa"/>
              <w:bottom w:w="65" w:type="dxa"/>
              <w:end w:w="70" w:type="dxa"/>
            </w:tcMar>
            <w:vAlign w:val="center"/>
          </w:tcPr>
          <w:p>
            <w:pPr>
              <w:spacing w:after="0" w:line="240" w:lineRule="auto"/>
            </w:pPr>
            <w:r>
              <w:rPr>
                <w:rFonts w:ascii="Times New Roman" w:hAnsi="Times New Roman"/>
                <w:sz w:val="16"/>
              </w:rPr>
              <w:t>+1.13</w:t>
            </w:r>
          </w:p>
        </w:tc>
      </w:tr>
    </w:tbl>
    <w:p>
      <w:pPr>
        <w:spacing w:before="60" w:after="120"/>
        <w:jc w:val="left"/>
      </w:pPr>
      <w:r>
        <w:rPr>
          <w:rFonts w:ascii="Times New Roman" w:hAnsi="Times New Roman"/>
          <w:b/>
          <w:sz w:val="18"/>
        </w:rPr>
        <w:t xml:space="preserve">Table 3 </w:t>
      </w:r>
      <w:r>
        <w:rPr>
          <w:rFonts w:ascii="Times New Roman" w:hAnsi="Times New Roman"/>
          <w:sz w:val="18"/>
        </w:rPr>
        <w:t>Generator-specific complete-pair effect estimates. The smaller Llama denominator reflects 31 Rule-RAG word-cap failures rather than zero-valued outcomes</w:t>
      </w:r>
    </w:p>
    <w:p>
      <w:pPr>
        <w:pStyle w:val="Heading2"/>
        <w:spacing w:before="120" w:after="80"/>
      </w:pPr>
      <w:r>
        <w:t>4.4 Verification totals, citations, and attrition</w:t>
      </w:r>
    </w:p>
    <w:p>
      <w:pPr>
        <w:spacing w:after="80" w:line="252" w:lineRule="auto"/>
      </w:pPr>
      <w:r>
        <w:rPr>
          <w:rFonts w:ascii="Times New Roman" w:hAnsi="Times New Roman"/>
          <w:i w:val="0"/>
          <w:sz w:val="20"/>
        </w:rPr>
        <w:t>Among 16,804 verified claims, 2,058 are supported by the exact trace and 2,095 by the final KB packet. Common-reference item-fact verification labels 961 claims supported, 13 not supported, and 15,830 not applicable. Citation entailment labels 1,820 claims entails, 5,502 does_not_entail, and 9,482 not applicable. Among the 7,322 claims for which citation entailment is applicable, 24.9% are labelled entails. This diagnostic should not be confused with the primary trace-support outcome: citation presence, citation validity, and semantic entailment are distinct properties.</w:t>
      </w:r>
    </w:p>
    <w:tbl>
      <w:tblPr>
        <w:tblStyle w:val="TableGrid"/>
        <w:tblW w:type="auto" w:w="0"/>
        <w:jc w:val="center"/>
        <w:tblLook w:firstColumn="1" w:firstRow="1" w:lastColumn="0" w:lastRow="0" w:noHBand="0" w:noVBand="1" w:val="04A0"/>
      </w:tblPr>
      <w:tblGrid>
        <w:gridCol w:w="2365"/>
        <w:gridCol w:w="2365"/>
        <w:gridCol w:w="2365"/>
        <w:gridCol w:w="2365"/>
      </w:tblGrid>
      <w:tr>
        <w:trPr>
          <w:tblHeader w:val="true"/>
        </w:trPr>
        <w:tc>
          <w:tcPr>
            <w:tcW w:type="dxa" w:w="2365"/>
            <w:shd w:fill="E7E7E7"/>
            <w:tcMar>
              <w:top w:w="65" w:type="dxa"/>
              <w:start w:w="70" w:type="dxa"/>
              <w:bottom w:w="65" w:type="dxa"/>
              <w:end w:w="70" w:type="dxa"/>
            </w:tcMar>
            <w:vAlign w:val="center"/>
          </w:tcPr>
          <w:p>
            <w:pPr>
              <w:spacing w:after="0" w:line="240" w:lineRule="auto"/>
            </w:pPr>
            <w:r>
              <w:rPr>
                <w:rFonts w:ascii="Times New Roman" w:hAnsi="Times New Roman"/>
                <w:b/>
                <w:sz w:val="16"/>
              </w:rPr>
              <w:t>Stage / condition</w:t>
            </w:r>
          </w:p>
        </w:tc>
        <w:tc>
          <w:tcPr>
            <w:tcW w:type="dxa" w:w="2365"/>
            <w:shd w:fill="E7E7E7"/>
            <w:tcMar>
              <w:top w:w="65" w:type="dxa"/>
              <w:start w:w="70" w:type="dxa"/>
              <w:bottom w:w="65" w:type="dxa"/>
              <w:end w:w="70" w:type="dxa"/>
            </w:tcMar>
            <w:vAlign w:val="center"/>
          </w:tcPr>
          <w:p>
            <w:pPr>
              <w:spacing w:after="0" w:line="240" w:lineRule="auto"/>
            </w:pPr>
            <w:r>
              <w:rPr>
                <w:rFonts w:ascii="Times New Roman" w:hAnsi="Times New Roman"/>
                <w:b/>
                <w:sz w:val="16"/>
              </w:rPr>
              <w:t>Accepted / total</w:t>
            </w:r>
          </w:p>
        </w:tc>
        <w:tc>
          <w:tcPr>
            <w:tcW w:type="dxa" w:w="2365"/>
            <w:shd w:fill="E7E7E7"/>
            <w:tcMar>
              <w:top w:w="65" w:type="dxa"/>
              <w:start w:w="70" w:type="dxa"/>
              <w:bottom w:w="65" w:type="dxa"/>
              <w:end w:w="70" w:type="dxa"/>
            </w:tcMar>
            <w:vAlign w:val="center"/>
          </w:tcPr>
          <w:p>
            <w:pPr>
              <w:spacing w:after="0" w:line="240" w:lineRule="auto"/>
            </w:pPr>
            <w:r>
              <w:rPr>
                <w:rFonts w:ascii="Times New Roman" w:hAnsi="Times New Roman"/>
                <w:b/>
                <w:sz w:val="16"/>
              </w:rPr>
              <w:t>Terminal failures</w:t>
            </w:r>
          </w:p>
        </w:tc>
        <w:tc>
          <w:tcPr>
            <w:tcW w:type="dxa" w:w="2365"/>
            <w:shd w:fill="E7E7E7"/>
            <w:tcMar>
              <w:top w:w="65" w:type="dxa"/>
              <w:start w:w="70" w:type="dxa"/>
              <w:bottom w:w="65" w:type="dxa"/>
              <w:end w:w="70" w:type="dxa"/>
            </w:tcMar>
            <w:vAlign w:val="center"/>
          </w:tcPr>
          <w:p>
            <w:pPr>
              <w:spacing w:after="0" w:line="240" w:lineRule="auto"/>
            </w:pPr>
            <w:r>
              <w:rPr>
                <w:rFonts w:ascii="Times New Roman" w:hAnsi="Times New Roman"/>
                <w:b/>
                <w:sz w:val="16"/>
              </w:rPr>
              <w:t>Failure characterisation</w:t>
            </w:r>
          </w:p>
        </w:tc>
      </w:tr>
      <w:tr>
        <w:tc>
          <w:tcPr>
            <w:tcW w:type="dxa" w:w="2365"/>
            <w:tcMar>
              <w:top w:w="65" w:type="dxa"/>
              <w:start w:w="70" w:type="dxa"/>
              <w:bottom w:w="65" w:type="dxa"/>
              <w:end w:w="70" w:type="dxa"/>
            </w:tcMar>
            <w:vAlign w:val="center"/>
          </w:tcPr>
          <w:p>
            <w:pPr>
              <w:spacing w:after="0" w:line="240" w:lineRule="auto"/>
            </w:pPr>
            <w:r>
              <w:rPr>
                <w:rFonts w:ascii="Times New Roman" w:hAnsi="Times New Roman"/>
                <w:sz w:val="16"/>
              </w:rPr>
              <w:t>Stage 2B: explanations</w:t>
            </w:r>
          </w:p>
        </w:tc>
        <w:tc>
          <w:tcPr>
            <w:tcW w:type="dxa" w:w="2365"/>
            <w:tcMar>
              <w:top w:w="65" w:type="dxa"/>
              <w:start w:w="70" w:type="dxa"/>
              <w:bottom w:w="65" w:type="dxa"/>
              <w:end w:w="70" w:type="dxa"/>
            </w:tcMar>
            <w:vAlign w:val="center"/>
          </w:tcPr>
          <w:p>
            <w:pPr>
              <w:spacing w:after="0" w:line="240" w:lineRule="auto"/>
            </w:pPr>
            <w:r>
              <w:rPr>
                <w:rFonts w:ascii="Times New Roman" w:hAnsi="Times New Roman"/>
                <w:sz w:val="16"/>
              </w:rPr>
              <w:t>2,969 / 3,000</w:t>
            </w:r>
          </w:p>
        </w:tc>
        <w:tc>
          <w:tcPr>
            <w:tcW w:type="dxa" w:w="2365"/>
            <w:tcMar>
              <w:top w:w="65" w:type="dxa"/>
              <w:start w:w="70" w:type="dxa"/>
              <w:bottom w:w="65" w:type="dxa"/>
              <w:end w:w="70" w:type="dxa"/>
            </w:tcMar>
            <w:vAlign w:val="center"/>
          </w:tcPr>
          <w:p>
            <w:pPr>
              <w:spacing w:after="0" w:line="240" w:lineRule="auto"/>
            </w:pPr>
            <w:r>
              <w:rPr>
                <w:rFonts w:ascii="Times New Roman" w:hAnsi="Times New Roman"/>
                <w:sz w:val="16"/>
              </w:rPr>
              <w:t>31</w:t>
            </w:r>
          </w:p>
        </w:tc>
        <w:tc>
          <w:tcPr>
            <w:tcW w:type="dxa" w:w="2365"/>
            <w:tcMar>
              <w:top w:w="65" w:type="dxa"/>
              <w:start w:w="70" w:type="dxa"/>
              <w:bottom w:w="65" w:type="dxa"/>
              <w:end w:w="70" w:type="dxa"/>
            </w:tcMar>
            <w:vAlign w:val="center"/>
          </w:tcPr>
          <w:p>
            <w:pPr>
              <w:spacing w:after="0" w:line="240" w:lineRule="auto"/>
            </w:pPr>
            <w:r>
              <w:rPr>
                <w:rFonts w:ascii="Times New Roman" w:hAnsi="Times New Roman"/>
                <w:sz w:val="16"/>
              </w:rPr>
              <w:t>All Llama Rule-RAG outputs &gt;75 words after retries</w:t>
            </w:r>
          </w:p>
        </w:tc>
      </w:tr>
      <w:tr>
        <w:tc>
          <w:tcPr>
            <w:tcW w:type="dxa" w:w="2365"/>
            <w:tcMar>
              <w:top w:w="65" w:type="dxa"/>
              <w:start w:w="70" w:type="dxa"/>
              <w:bottom w:w="65" w:type="dxa"/>
              <w:end w:w="70" w:type="dxa"/>
            </w:tcMar>
            <w:vAlign w:val="center"/>
          </w:tcPr>
          <w:p>
            <w:pPr>
              <w:spacing w:after="0" w:line="240" w:lineRule="auto"/>
            </w:pPr>
            <w:r>
              <w:rPr>
                <w:rFonts w:ascii="Times New Roman" w:hAnsi="Times New Roman"/>
                <w:sz w:val="16"/>
              </w:rPr>
              <w:t>Stage 3: extraction</w:t>
            </w:r>
          </w:p>
        </w:tc>
        <w:tc>
          <w:tcPr>
            <w:tcW w:type="dxa" w:w="2365"/>
            <w:tcMar>
              <w:top w:w="65" w:type="dxa"/>
              <w:start w:w="70" w:type="dxa"/>
              <w:bottom w:w="65" w:type="dxa"/>
              <w:end w:w="70" w:type="dxa"/>
            </w:tcMar>
            <w:vAlign w:val="center"/>
          </w:tcPr>
          <w:p>
            <w:pPr>
              <w:spacing w:after="0" w:line="240" w:lineRule="auto"/>
            </w:pPr>
            <w:r>
              <w:rPr>
                <w:rFonts w:ascii="Times New Roman" w:hAnsi="Times New Roman"/>
                <w:sz w:val="16"/>
              </w:rPr>
              <w:t>2,965 / 2,969</w:t>
            </w:r>
          </w:p>
        </w:tc>
        <w:tc>
          <w:tcPr>
            <w:tcW w:type="dxa" w:w="2365"/>
            <w:tcMar>
              <w:top w:w="65" w:type="dxa"/>
              <w:start w:w="70" w:type="dxa"/>
              <w:bottom w:w="65" w:type="dxa"/>
              <w:end w:w="70" w:type="dxa"/>
            </w:tcMar>
            <w:vAlign w:val="center"/>
          </w:tcPr>
          <w:p>
            <w:pPr>
              <w:spacing w:after="0" w:line="240" w:lineRule="auto"/>
            </w:pPr>
            <w:r>
              <w:rPr>
                <w:rFonts w:ascii="Times New Roman" w:hAnsi="Times New Roman"/>
                <w:sz w:val="16"/>
              </w:rPr>
              <w:t>4</w:t>
            </w:r>
          </w:p>
        </w:tc>
        <w:tc>
          <w:tcPr>
            <w:tcW w:type="dxa" w:w="2365"/>
            <w:tcMar>
              <w:top w:w="65" w:type="dxa"/>
              <w:start w:w="70" w:type="dxa"/>
              <w:bottom w:w="65" w:type="dxa"/>
              <w:end w:w="70" w:type="dxa"/>
            </w:tcMar>
            <w:vAlign w:val="center"/>
          </w:tcPr>
          <w:p>
            <w:pPr>
              <w:spacing w:after="0" w:line="240" w:lineRule="auto"/>
            </w:pPr>
            <w:r>
              <w:rPr>
                <w:rFonts w:ascii="Times New Roman" w:hAnsi="Times New Roman"/>
                <w:sz w:val="16"/>
              </w:rPr>
              <w:t>1 Gemma No-RAG; 3 Ministral No-RAG</w:t>
            </w:r>
          </w:p>
        </w:tc>
      </w:tr>
      <w:tr>
        <w:tc>
          <w:tcPr>
            <w:tcW w:type="dxa" w:w="2365"/>
            <w:tcMar>
              <w:top w:w="65" w:type="dxa"/>
              <w:start w:w="70" w:type="dxa"/>
              <w:bottom w:w="65" w:type="dxa"/>
              <w:end w:w="70" w:type="dxa"/>
            </w:tcMar>
            <w:vAlign w:val="center"/>
          </w:tcPr>
          <w:p>
            <w:pPr>
              <w:spacing w:after="0" w:line="240" w:lineRule="auto"/>
            </w:pPr>
            <w:r>
              <w:rPr>
                <w:rFonts w:ascii="Times New Roman" w:hAnsi="Times New Roman"/>
                <w:sz w:val="16"/>
              </w:rPr>
              <w:t>Stage 4: verification</w:t>
            </w:r>
          </w:p>
        </w:tc>
        <w:tc>
          <w:tcPr>
            <w:tcW w:type="dxa" w:w="2365"/>
            <w:tcMar>
              <w:top w:w="65" w:type="dxa"/>
              <w:start w:w="70" w:type="dxa"/>
              <w:bottom w:w="65" w:type="dxa"/>
              <w:end w:w="70" w:type="dxa"/>
            </w:tcMar>
            <w:vAlign w:val="center"/>
          </w:tcPr>
          <w:p>
            <w:pPr>
              <w:spacing w:after="0" w:line="240" w:lineRule="auto"/>
            </w:pPr>
            <w:r>
              <w:rPr>
                <w:rFonts w:ascii="Times New Roman" w:hAnsi="Times New Roman"/>
                <w:sz w:val="16"/>
              </w:rPr>
              <w:t>2,861 / 2,965 records</w:t>
            </w:r>
          </w:p>
        </w:tc>
        <w:tc>
          <w:tcPr>
            <w:tcW w:type="dxa" w:w="2365"/>
            <w:tcMar>
              <w:top w:w="65" w:type="dxa"/>
              <w:start w:w="70" w:type="dxa"/>
              <w:bottom w:w="65" w:type="dxa"/>
              <w:end w:w="70" w:type="dxa"/>
            </w:tcMar>
            <w:vAlign w:val="center"/>
          </w:tcPr>
          <w:p>
            <w:pPr>
              <w:spacing w:after="0" w:line="240" w:lineRule="auto"/>
            </w:pPr>
            <w:r>
              <w:rPr>
                <w:rFonts w:ascii="Times New Roman" w:hAnsi="Times New Roman"/>
                <w:sz w:val="16"/>
              </w:rPr>
              <w:t>104</w:t>
            </w:r>
          </w:p>
        </w:tc>
        <w:tc>
          <w:tcPr>
            <w:tcW w:type="dxa" w:w="2365"/>
            <w:tcMar>
              <w:top w:w="65" w:type="dxa"/>
              <w:start w:w="70" w:type="dxa"/>
              <w:bottom w:w="65" w:type="dxa"/>
              <w:end w:w="70" w:type="dxa"/>
            </w:tcMar>
            <w:vAlign w:val="center"/>
          </w:tcPr>
          <w:p>
            <w:pPr>
              <w:spacing w:after="0" w:line="240" w:lineRule="auto"/>
            </w:pPr>
            <w:r>
              <w:rPr>
                <w:rFonts w:ascii="Times New Roman" w:hAnsi="Times New Roman"/>
                <w:sz w:val="16"/>
              </w:rPr>
              <w:t>Structured-output contract failures; no API/GPU failures</w:t>
            </w:r>
          </w:p>
        </w:tc>
      </w:tr>
    </w:tbl>
    <w:p>
      <w:pPr>
        <w:spacing w:before="60" w:after="120"/>
        <w:jc w:val="left"/>
      </w:pPr>
      <w:r>
        <w:rPr>
          <w:rFonts w:ascii="Times New Roman" w:hAnsi="Times New Roman"/>
          <w:b/>
          <w:sz w:val="18"/>
        </w:rPr>
        <w:t xml:space="preserve">Table 4 </w:t>
      </w:r>
      <w:r>
        <w:rPr>
          <w:rFonts w:ascii="Times New Roman" w:hAnsi="Times New Roman"/>
          <w:sz w:val="18"/>
        </w:rPr>
        <w:t>Final-run attrition. Failed outputs are retained and are not silently repaired, imputed, or replaced</w:t>
      </w:r>
    </w:p>
    <w:p>
      <w:pPr>
        <w:spacing w:after="80" w:line="252" w:lineRule="auto"/>
      </w:pPr>
      <w:r>
        <w:rPr>
          <w:rFonts w:ascii="Times New Roman" w:hAnsi="Times New Roman"/>
          <w:i w:val="0"/>
          <w:sz w:val="20"/>
        </w:rPr>
        <w:t>The Stage-4 failures are not balanced perfectly across conditions: Gemma has 22 No-RAG and 3 Rule-RAG failures; Llama 18 and 16; Ministral 22 and 23, respectively. This asymmetry is why raw unequal condition totals are never treated as paired comparisons.</w:t>
      </w:r>
    </w:p>
    <w:p>
      <w:pPr>
        <w:pStyle w:val="Heading2"/>
        <w:spacing w:before="120" w:after="80"/>
      </w:pPr>
      <w:r>
        <w:t>4.5 Qualitative illustration</w:t>
      </w:r>
    </w:p>
    <w:p>
      <w:pPr>
        <w:spacing w:after="80" w:line="252" w:lineRule="auto"/>
      </w:pPr>
      <w:r>
        <w:rPr>
          <w:rFonts w:ascii="Times New Roman" w:hAnsi="Times New Roman"/>
          <w:i w:val="0"/>
          <w:sz w:val="20"/>
        </w:rPr>
        <w:t>One frozen record illustrates both the mechanism and the limits. The query item is a “marc jacobs st. marc small leather shoulder bag,” and the locked recommendation is a “marni embellished draped satin crop top.” The No-RAG explanation contains broad fashion language such as “a sophisticated contrast,” “high-fashion aesthetic,” and an “elevated evening look.” Rule-RAG receives rule K185, which relates structured shoulder bags to neat or fitted top types and indicates that prominent hardware should remain a focal point. Its explanation is therefore able to connect the recommendation to an explicit rule artifact and cite K185. The example is illustrative rather than evidential for the corpus-level effect. It also shows the closed-world boundary: a claim such as “premium craftsmanship” is not established merely because a styling rule is available.</w:t>
      </w:r>
    </w:p>
    <w:p>
      <w:pPr>
        <w:pStyle w:val="Heading1"/>
        <w:spacing w:before="160" w:after="80"/>
      </w:pPr>
      <w:r>
        <w:t>5 Discussion</w:t>
      </w:r>
    </w:p>
    <w:p>
      <w:pPr>
        <w:spacing w:after="80" w:line="252" w:lineRule="auto"/>
      </w:pPr>
      <w:r>
        <w:rPr>
          <w:rFonts w:ascii="Times New Roman" w:hAnsi="Times New Roman"/>
          <w:i w:val="0"/>
          <w:sz w:val="20"/>
        </w:rPr>
        <w:t>The experiment separates two objectives that are often merged under the label “better explanations.” The first is ranking effectiveness. On the fixed sampled-pool protocol, multimodal fusion is strongest overall and evidence reranking is slightly weaker. The second is whether explanation claims can be connected to evidence that existed as part of the recommendation process. On that objective, the Rule-RAG condition is substantially stronger. The result therefore supports evidence traceability, not the idea that an inspectable recommender is automatically a more accurate recommender.</w:t>
      </w:r>
    </w:p>
    <w:p>
      <w:pPr>
        <w:spacing w:after="80" w:line="252" w:lineRule="auto"/>
      </w:pPr>
      <w:r>
        <w:rPr>
          <w:rFonts w:ascii="Times New Roman" w:hAnsi="Times New Roman"/>
          <w:i w:val="0"/>
          <w:sz w:val="20"/>
        </w:rPr>
        <w:t>The ranking trade-off is itself informative. A rule component can move candidates toward cases with higher explicit evidence scores even when those moves do not align perfectly with held-out outfit co-occurrence. This is unsurprising because the KB captures relational styling regularities rather than the full latent distribution learned from Polyvore. The 26.5% top-1 change rate shows that the evidence component is not merely decorative, yet the lower conventional metrics warn against presenting symbolic evidence as a free accuracy gain. In system design terms, evidence-aware reranking creates a second objective that may compete with pure relevance and should be treated as such.</w:t>
      </w:r>
    </w:p>
    <w:p>
      <w:pPr>
        <w:spacing w:after="80" w:line="252" w:lineRule="auto"/>
      </w:pPr>
      <w:r>
        <w:rPr>
          <w:rFonts w:ascii="Times New Roman" w:hAnsi="Times New Roman"/>
          <w:i w:val="0"/>
          <w:sz w:val="20"/>
        </w:rPr>
        <w:t>The explanation result is stronger because its target is explicitly aligned with that second objective. Rule-RAG receives the exact trace already associated with the locked item. The +21.02 percentage-point gain in trace support is therefore not a generic “RAG improves explanations” result. It quantifies how much a trace-conditioned generation contract changes source-bounded support when recommendation identity is held fixed. The similarly sized full-KB effect (+21.40 points) further suggests that the gain is concentrated around the same evidence region rather than arising from arbitrary agreement with unrelated KB rules.</w:t>
      </w:r>
    </w:p>
    <w:p>
      <w:pPr>
        <w:spacing w:after="80" w:line="252" w:lineRule="auto"/>
      </w:pPr>
      <w:r>
        <w:rPr>
          <w:rFonts w:ascii="Times New Roman" w:hAnsi="Times New Roman"/>
          <w:i w:val="0"/>
          <w:sz w:val="20"/>
        </w:rPr>
        <w:t>Generator heterogeneity is also important. Gemma and Llama show effects of roughly 25-27 percentage points, whereas Ministral shows about 11 percentage points. The consistent direction supports robustness across the evaluated models, but the difference in magnitude implies that generators vary in how effectively they use the supplied trace under the same experimental contract. This motivates future work on trace utilisation, instruction following, citation behaviour, and model-specific calibration rather than assuming that evidence availability has a fixed effect across LLMs.</w:t>
      </w:r>
    </w:p>
    <w:p>
      <w:pPr>
        <w:spacing w:after="80" w:line="252" w:lineRule="auto"/>
      </w:pPr>
      <w:r>
        <w:rPr>
          <w:rFonts w:ascii="Times New Roman" w:hAnsi="Times New Roman"/>
          <w:i w:val="0"/>
          <w:sz w:val="20"/>
        </w:rPr>
        <w:t>The study also reinforces a distinction emerging in recent explainable-recommendation and citation work [18,20,25-28]: plausible prose, citation syntax, evidence availability, and claim entailment are separate properties. In our data, only 24.9% of applicable citation-claim relations are labelled as entailing, even though Rule-RAG substantially improves trace-supported claim rates overall. A system can therefore become more grounded without every citation being semantically adequate. Interfaces that expose rule IDs should ideally pair them with claim-level support information rather than reward decorative citations.</w:t>
      </w:r>
    </w:p>
    <w:p>
      <w:pPr>
        <w:spacing w:after="80" w:line="252" w:lineRule="auto"/>
      </w:pPr>
      <w:r>
        <w:rPr>
          <w:rFonts w:ascii="Times New Roman" w:hAnsi="Times New Roman"/>
          <w:i w:val="0"/>
          <w:sz w:val="20"/>
        </w:rPr>
        <w:t>For intelligent information systems, the practical implication is architectural. When a symbolic or knowledge-based component affects a decision, its evidence should be preserved at decision time as typed, inspectable data. That artifact can then be reused by a generator, an auditor, or a user-facing interface. This design is stronger than reconstructing a plausible evidence set after the recommendation has already been made because provenance is attached to the upstream computation itself.</w:t>
      </w:r>
    </w:p>
    <w:p>
      <w:pPr>
        <w:pStyle w:val="Heading1"/>
        <w:spacing w:before="160" w:after="80"/>
      </w:pPr>
      <w:r>
        <w:t>6 Limitations</w:t>
      </w:r>
    </w:p>
    <w:p>
      <w:pPr>
        <w:spacing w:after="80" w:line="252" w:lineRule="auto"/>
      </w:pPr>
      <w:r>
        <w:rPr>
          <w:rFonts w:ascii="Times New Roman" w:hAnsi="Times New Roman"/>
          <w:i w:val="0"/>
          <w:sz w:val="20"/>
        </w:rPr>
        <w:t>Several limitations bound the conclusions. First, recommendation relevance is defined through held-out outfit co-occurrence in sampled same-category candidate pools. The experiment does not represent individual taste, price, availability, temporal trends, or production-scale full-catalogue retrieval. Negative candidates may also include unobserved but genuinely compatible items because absence from an outfit is not proof of incompatibility.</w:t>
      </w:r>
    </w:p>
    <w:p>
      <w:pPr>
        <w:spacing w:after="80" w:line="252" w:lineRule="auto"/>
      </w:pPr>
      <w:r>
        <w:rPr>
          <w:rFonts w:ascii="Times New Roman" w:hAnsi="Times New Roman"/>
          <w:i w:val="0"/>
          <w:sz w:val="20"/>
        </w:rPr>
        <w:t>Second, the 200-rule KB is finite and curated. Trace support means that a generated claim is substantiated by evidence used by the symbolic component; it does not prove that the underlying rule is universally correct or comprehensive. The term source-grounded should therefore not be read as a claim of universal fashion expertise. Third, images influence ranking but are not converted into textual evidence for verification. This protects the closed-world boundary, but a visually true attribute can remain unsupported if it is absent from product text and rules.</w:t>
      </w:r>
    </w:p>
    <w:p>
      <w:pPr>
        <w:spacing w:after="80" w:line="252" w:lineRule="auto"/>
      </w:pPr>
      <w:r>
        <w:rPr>
          <w:rFonts w:ascii="Times New Roman" w:hAnsi="Times New Roman"/>
          <w:i w:val="0"/>
          <w:sz w:val="20"/>
        </w:rPr>
        <w:t>Fourth, Qwen 3.5 extraction and Phi-4 verification are automated. Their role separation reduces direct same-model confirmation, and extraction quality was developmentally spot-checked, but neither stage provides final human ground truth. Previous calibration evidence is treated as developmental validation rather than a final experimental acceptance gate. Confidence intervals quantify case-sampling variation, not evaluator uncertainty. The deterministic 163-label full-KB consistency correction should also be read as a data-integrity invariant, not as an independently verified human relabelling.</w:t>
      </w:r>
    </w:p>
    <w:p>
      <w:pPr>
        <w:spacing w:after="80" w:line="252" w:lineRule="auto"/>
      </w:pPr>
      <w:r>
        <w:rPr>
          <w:rFonts w:ascii="Times New Roman" w:hAnsi="Times New Roman"/>
          <w:i w:val="0"/>
          <w:sz w:val="20"/>
        </w:rPr>
        <w:t>Fifth, missingness is condition-specific. All 31 final generation failures occur in Llama Rule-RAG because of the shared word cap, and verification failures are not exactly balanced across conditions. Complete-pair analysis avoids comparing unmatched observations but cannot prove that retained pairs are free from selection effects. Sixth, UIFR is underpowered under its strict common-reference definition: only 53 eligible paired cases contribute, so the observed +0.63-point difference is inconclusive.</w:t>
      </w:r>
    </w:p>
    <w:p>
      <w:pPr>
        <w:spacing w:after="80" w:line="252" w:lineRule="auto"/>
      </w:pPr>
      <w:r>
        <w:rPr>
          <w:rFonts w:ascii="Times New Roman" w:hAnsi="Times New Roman"/>
          <w:i w:val="0"/>
          <w:sz w:val="20"/>
        </w:rPr>
        <w:t>Finally, the intervention includes trace availability together with the associated grounding/citation instruction. It estimates the practical Rule-RAG contract rather than a full factorial decomposition of trace visibility, citation instruction, and length control. Future work could separately manipulate those factors, add independently calibrated human verification, validate visual item attributes, remove or counterfactually perturb rules, and evaluate larger or full-catalogue candidate sets.</w:t>
      </w:r>
    </w:p>
    <w:p>
      <w:pPr>
        <w:pStyle w:val="Heading1"/>
        <w:spacing w:before="160" w:after="80"/>
      </w:pPr>
      <w:r>
        <w:t>7 Conclusion</w:t>
      </w:r>
    </w:p>
    <w:p>
      <w:pPr>
        <w:spacing w:after="80" w:line="252" w:lineRule="auto"/>
      </w:pPr>
      <w:r>
        <w:rPr>
          <w:rFonts w:ascii="Times New Roman" w:hAnsi="Times New Roman"/>
          <w:i w:val="0"/>
          <w:sz w:val="20"/>
        </w:rPr>
        <w:t>This paper evaluates a trace-grounded explanation design for multimodal fashion compatibility recommendation. A symbolic expert-rule component participates in reranking, and the exact stored evidence trace is preserved before explanation generation. The same locked recommendation is then explained under paired No-RAG and Rule-RAG conditions.</w:t>
      </w:r>
    </w:p>
    <w:p>
      <w:pPr>
        <w:spacing w:after="80" w:line="252" w:lineRule="auto"/>
      </w:pPr>
      <w:r>
        <w:rPr>
          <w:rFonts w:ascii="Times New Roman" w:hAnsi="Times New Roman"/>
          <w:i w:val="0"/>
          <w:sz w:val="20"/>
        </w:rPr>
        <w:t>The final results show a clear trade-off. Fused CLIP remains the strongest overall conventional ranking pathway, while evidence reranking changes decisions at a modest relevance cost. In contrast, the Rule-RAG condition increases exact-trace claim support by 21.02 percentage points, full-KB support by 21.40 points, and trace-supported claim density by 1.60 claims per 100 words. The direction is positive across all three evaluated generators, whereas UIFR remains inconclusive.</w:t>
      </w:r>
    </w:p>
    <w:p>
      <w:pPr>
        <w:spacing w:after="80" w:line="252" w:lineRule="auto"/>
      </w:pPr>
      <w:r>
        <w:rPr>
          <w:rFonts w:ascii="Times New Roman" w:hAnsi="Times New Roman"/>
          <w:i w:val="0"/>
          <w:sz w:val="20"/>
        </w:rPr>
        <w:t>The appropriate conclusion is therefore specific: within the frozen dataset, KB, models, prompts, and automated verifier, providing the exact reranking evidence artifact to the explanation generator produces substantially more claims that are supported by that artifact. The study does not establish universal factual correctness, superior user preference, complete neural faithfulness, or production-scale recommendation performance. Its contribution is a reproducible pattern for preserving decision evidence and evaluating generated explanations against explicit source boundaries.</w:t>
      </w:r>
    </w:p>
    <w:p>
      <w:pPr>
        <w:pStyle w:val="Heading1"/>
        <w:spacing w:before="160" w:after="80"/>
      </w:pPr>
      <w:r>
        <w:t>Statements and Declarations</w:t>
      </w:r>
    </w:p>
    <w:p>
      <w:pPr>
        <w:spacing w:after="80" w:line="252" w:lineRule="auto"/>
      </w:pPr>
      <w:r>
        <w:rPr>
          <w:rFonts w:ascii="Times New Roman" w:hAnsi="Times New Roman"/>
          <w:i w:val="0"/>
          <w:sz w:val="20"/>
        </w:rPr>
        <w:t>Funding. No external funding was received for this study.</w:t>
      </w:r>
    </w:p>
    <w:p>
      <w:pPr>
        <w:spacing w:after="80" w:line="252" w:lineRule="auto"/>
      </w:pPr>
      <w:r>
        <w:rPr>
          <w:rFonts w:ascii="Times New Roman" w:hAnsi="Times New Roman"/>
          <w:i w:val="0"/>
          <w:sz w:val="20"/>
        </w:rPr>
        <w:t>Competing interests. The author(s) declare no financial or non-financial interests that are directly or indirectly related to the work submitted for publication.</w:t>
      </w:r>
    </w:p>
    <w:p>
      <w:pPr>
        <w:spacing w:after="80" w:line="252" w:lineRule="auto"/>
      </w:pPr>
      <w:r>
        <w:rPr>
          <w:rFonts w:ascii="Times New Roman" w:hAnsi="Times New Roman"/>
          <w:i w:val="0"/>
          <w:sz w:val="20"/>
        </w:rPr>
        <w:t>Author contributions. [Complete according to the final author list before submission.]</w:t>
      </w:r>
    </w:p>
    <w:p>
      <w:pPr>
        <w:spacing w:after="80" w:line="252" w:lineRule="auto"/>
      </w:pPr>
      <w:r>
        <w:rPr>
          <w:rFonts w:ascii="Times New Roman" w:hAnsi="Times New Roman"/>
          <w:i w:val="0"/>
          <w:sz w:val="20"/>
        </w:rPr>
        <w:t>Data availability. The frozen release package, manifests, canonical result tables, and code required to reproduce the reported analyses without additional LLM calls are available in the accompanying project repository [insert persistent repository URL or DOI]. Dataset access remains subject to the source dataset terms.</w:t>
      </w:r>
    </w:p>
    <w:p>
      <w:pPr>
        <w:spacing w:after="80" w:line="252" w:lineRule="auto"/>
      </w:pPr>
      <w:r>
        <w:rPr>
          <w:rFonts w:ascii="Times New Roman" w:hAnsi="Times New Roman"/>
          <w:i w:val="0"/>
          <w:sz w:val="20"/>
        </w:rPr>
        <w:t>Code availability. The project repository contains frozen configurations, manifests, tests, deterministic analysis scripts, terminal-failure records, and release hashes [insert persistent repository URL or DOI].</w:t>
      </w:r>
    </w:p>
    <w:p>
      <w:pPr>
        <w:spacing w:after="80" w:line="252" w:lineRule="auto"/>
      </w:pPr>
      <w:r>
        <w:rPr>
          <w:rFonts w:ascii="Times New Roman" w:hAnsi="Times New Roman"/>
          <w:i w:val="0"/>
          <w:sz w:val="20"/>
        </w:rPr>
        <w:t>Ethics approval. Not applicable. The study uses public catalogue-style research data and contains no human-participant experiment.</w:t>
      </w:r>
    </w:p>
    <w:p>
      <w:pPr>
        <w:spacing w:after="80" w:line="252" w:lineRule="auto"/>
      </w:pPr>
      <w:r>
        <w:rPr>
          <w:rFonts w:ascii="Times New Roman" w:hAnsi="Times New Roman"/>
          <w:i w:val="0"/>
          <w:sz w:val="20"/>
        </w:rPr>
        <w:t>Consent to participate. Not applicable.</w:t>
      </w:r>
    </w:p>
    <w:p>
      <w:pPr>
        <w:spacing w:after="80" w:line="252" w:lineRule="auto"/>
      </w:pPr>
      <w:r>
        <w:rPr>
          <w:rFonts w:ascii="Times New Roman" w:hAnsi="Times New Roman"/>
          <w:i w:val="0"/>
          <w:sz w:val="20"/>
        </w:rPr>
        <w:t>Consent for publication. Not applicable.</w:t>
      </w:r>
    </w:p>
    <w:p>
      <w:pPr>
        <w:pStyle w:val="Heading1"/>
        <w:spacing w:before="160" w:after="80"/>
      </w:pPr>
      <w:r>
        <w:t>References</w:t>
      </w:r>
    </w:p>
    <w:p>
      <w:pPr>
        <w:spacing w:after="40" w:line="240" w:lineRule="auto"/>
        <w:ind w:left="259" w:hanging="259"/>
      </w:pPr>
      <w:r>
        <w:rPr>
          <w:rFonts w:ascii="Times New Roman" w:hAnsi="Times New Roman"/>
          <w:sz w:val="17"/>
        </w:rPr>
        <w:t>1. McAuley J, Targett C, Shi Q, van den Hengel A. Image-based recommendations on styles and substitutes. In: Proceedings of SIGIR 2015. 2015. p. 43-52. https://doi.org/10.1145/2766462.2767755</w:t>
      </w:r>
    </w:p>
    <w:p>
      <w:pPr>
        <w:spacing w:after="40" w:line="240" w:lineRule="auto"/>
        <w:ind w:left="259" w:hanging="259"/>
      </w:pPr>
      <w:r>
        <w:rPr>
          <w:rFonts w:ascii="Times New Roman" w:hAnsi="Times New Roman"/>
          <w:sz w:val="17"/>
        </w:rPr>
        <w:t>2. Han X, Wu Z, Jiang YG, Davis LS. Learning fashion compatibility with bidirectional LSTMs. In: Proceedings of ACM Multimedia 2017. 2017. p. 1078-1086. https://doi.org/10.1145/3123266.3123394</w:t>
      </w:r>
    </w:p>
    <w:p>
      <w:pPr>
        <w:spacing w:after="40" w:line="240" w:lineRule="auto"/>
        <w:ind w:left="259" w:hanging="259"/>
      </w:pPr>
      <w:r>
        <w:rPr>
          <w:rFonts w:ascii="Times New Roman" w:hAnsi="Times New Roman"/>
          <w:sz w:val="17"/>
        </w:rPr>
        <w:t>3. Vasileva MI, Plummer BA, Dusad K, Rajpal S, Kumar R, Forsyth D. Learning type-aware embeddings for fashion compatibility. In: European Conference on Computer Vision. 2018. p. 390-405.</w:t>
      </w:r>
    </w:p>
    <w:p>
      <w:pPr>
        <w:spacing w:after="40" w:line="240" w:lineRule="auto"/>
        <w:ind w:left="259" w:hanging="259"/>
      </w:pPr>
      <w:r>
        <w:rPr>
          <w:rFonts w:ascii="Times New Roman" w:hAnsi="Times New Roman"/>
          <w:sz w:val="17"/>
        </w:rPr>
        <w:t>4. Cucurull G, Taslakian P, Vazquez D. Context-aware visual compatibility prediction. In: Proceedings of the IEEE/CVF Conference on Computer Vision and Pattern Recognition. 2019. p. 12617-12626.</w:t>
      </w:r>
    </w:p>
    <w:p>
      <w:pPr>
        <w:spacing w:after="40" w:line="240" w:lineRule="auto"/>
        <w:ind w:left="259" w:hanging="259"/>
      </w:pPr>
      <w:r>
        <w:rPr>
          <w:rFonts w:ascii="Times New Roman" w:hAnsi="Times New Roman"/>
          <w:sz w:val="17"/>
        </w:rPr>
        <w:t>5. Sarkar R, Bodla N, Vasileva MI, Lin YL, Beniwal A, Lu A, Medioni G. OutfitTransformer: Learning outfit representations for fashion recommendation. In: 2023 IEEE/CVF Winter Conference on Applications of Computer Vision. 2023. p. 3601-3609. https://doi.org/10.1109/WACV56688.2023.00359</w:t>
      </w:r>
    </w:p>
    <w:p>
      <w:pPr>
        <w:spacing w:after="40" w:line="240" w:lineRule="auto"/>
        <w:ind w:left="259" w:hanging="259"/>
      </w:pPr>
      <w:r>
        <w:rPr>
          <w:rFonts w:ascii="Times New Roman" w:hAnsi="Times New Roman"/>
          <w:sz w:val="17"/>
        </w:rPr>
        <w:t>6. Li Y, Yu S, Chen Y, Jiang Y, Yuan K. Explainable fashion compatibility prediction: An attribute-augmented neural framework. Electron Commer Res Appl. 2024;68:101451. https://doi.org/10.1016/j.elerap.2024.101451</w:t>
      </w:r>
    </w:p>
    <w:p>
      <w:pPr>
        <w:spacing w:after="40" w:line="240" w:lineRule="auto"/>
        <w:ind w:left="259" w:hanging="259"/>
      </w:pPr>
      <w:r>
        <w:rPr>
          <w:rFonts w:ascii="Times New Roman" w:hAnsi="Times New Roman"/>
          <w:sz w:val="17"/>
        </w:rPr>
        <w:t>7. Chang CL, Chen YL, Jiang DX. Using large multimodal models to predict outfit compatibility. Decis Support Syst. 2025;194:114457. https://doi.org/10.1016/j.dss.2025.114457</w:t>
      </w:r>
    </w:p>
    <w:p>
      <w:pPr>
        <w:spacing w:after="40" w:line="240" w:lineRule="auto"/>
        <w:ind w:left="259" w:hanging="259"/>
      </w:pPr>
      <w:r>
        <w:rPr>
          <w:rFonts w:ascii="Times New Roman" w:hAnsi="Times New Roman"/>
          <w:sz w:val="17"/>
        </w:rPr>
        <w:t>8. Radford A, Kim JW, Hallacy C, et al. Learning transferable visual models from natural language supervision. In: Proceedings of the 38th International Conference on Machine Learning. 2021;139:8748-8763.</w:t>
      </w:r>
    </w:p>
    <w:p>
      <w:pPr>
        <w:spacing w:after="40" w:line="240" w:lineRule="auto"/>
        <w:ind w:left="259" w:hanging="259"/>
      </w:pPr>
      <w:r>
        <w:rPr>
          <w:rFonts w:ascii="Times New Roman" w:hAnsi="Times New Roman"/>
          <w:sz w:val="17"/>
        </w:rPr>
        <w:t>9. Zhang Y, Chen X. Explainable recommendation: A survey and new perspectives. Found Trends Inf Retr. 2020;14(1):1-101. https://doi.org/10.1561/1500000066</w:t>
      </w:r>
    </w:p>
    <w:p>
      <w:pPr>
        <w:spacing w:after="40" w:line="240" w:lineRule="auto"/>
        <w:ind w:left="259" w:hanging="259"/>
      </w:pPr>
      <w:r>
        <w:rPr>
          <w:rFonts w:ascii="Times New Roman" w:hAnsi="Times New Roman"/>
          <w:sz w:val="17"/>
        </w:rPr>
        <w:t>10. Xian Y, Fu Z, Muthukrishnan S, de Melo G, Zhang Y. Reinforcement knowledge graph reasoning for explainable recommendation. In: Proceedings of SIGIR 2019. 2019. p. 285-294. https://doi.org/10.1145/3331184.3331203</w:t>
      </w:r>
    </w:p>
    <w:p>
      <w:pPr>
        <w:spacing w:after="40" w:line="240" w:lineRule="auto"/>
        <w:ind w:left="259" w:hanging="259"/>
      </w:pPr>
      <w:r>
        <w:rPr>
          <w:rFonts w:ascii="Times New Roman" w:hAnsi="Times New Roman"/>
          <w:sz w:val="17"/>
        </w:rPr>
        <w:t>11. Zhu Y, Xian Y, Fu Z, de Melo G, Zhang Y. Faithfully explainable recommendation via neural logic reasoning. In: Proceedings of NAACL 2021. 2021. p. 3083-3090. https://doi.org/10.18653/v1/2021.naacl-main.245</w:t>
      </w:r>
    </w:p>
    <w:p>
      <w:pPr>
        <w:spacing w:after="40" w:line="240" w:lineRule="auto"/>
        <w:ind w:left="259" w:hanging="259"/>
      </w:pPr>
      <w:r>
        <w:rPr>
          <w:rFonts w:ascii="Times New Roman" w:hAnsi="Times New Roman"/>
          <w:sz w:val="17"/>
        </w:rPr>
        <w:t>12. Knijnenburg BP, Willemsen MC, Gantner Z, Soncu H, Newell C. Explaining the user experience of recommender systems. User Model User-Adap Inter. 2012;22:441-504. https://doi.org/10.1007/s11257-011-9118-4</w:t>
      </w:r>
    </w:p>
    <w:p>
      <w:pPr>
        <w:spacing w:after="40" w:line="240" w:lineRule="auto"/>
        <w:ind w:left="259" w:hanging="259"/>
      </w:pPr>
      <w:r>
        <w:rPr>
          <w:rFonts w:ascii="Times New Roman" w:hAnsi="Times New Roman"/>
          <w:sz w:val="17"/>
        </w:rPr>
        <w:t>13. Jacovi A, Goldberg Y. Towards faithfully interpretable NLP systems: How should we define and evaluate faithfulness? In: Proceedings of ACL 2020. 2020. p. 4198-4205. https://doi.org/10.18653/v1/2020.acl-main.386</w:t>
      </w:r>
    </w:p>
    <w:p>
      <w:pPr>
        <w:spacing w:after="40" w:line="240" w:lineRule="auto"/>
        <w:ind w:left="259" w:hanging="259"/>
      </w:pPr>
      <w:r>
        <w:rPr>
          <w:rFonts w:ascii="Times New Roman" w:hAnsi="Times New Roman"/>
          <w:sz w:val="17"/>
        </w:rPr>
        <w:t>14. Wiegreffe S, Pinter Y. Attention is not not explanation. In: Proceedings of EMNLP-IJCNLP 2019. 2019. p. 11-20. https://doi.org/10.18653/v1/D19-1002</w:t>
      </w:r>
    </w:p>
    <w:p>
      <w:pPr>
        <w:spacing w:after="40" w:line="240" w:lineRule="auto"/>
        <w:ind w:left="259" w:hanging="259"/>
      </w:pPr>
      <w:r>
        <w:rPr>
          <w:rFonts w:ascii="Times New Roman" w:hAnsi="Times New Roman"/>
          <w:sz w:val="17"/>
        </w:rPr>
        <w:t>15. Lyu Q, Apidianaki M, Callison-Burch C. Towards faithful model explanation in NLP: A survey. Comput Linguist. 2024;50(2):657-723. https://doi.org/10.1162/coli_a_00511</w:t>
      </w:r>
    </w:p>
    <w:p>
      <w:pPr>
        <w:spacing w:after="40" w:line="240" w:lineRule="auto"/>
        <w:ind w:left="259" w:hanging="259"/>
      </w:pPr>
      <w:r>
        <w:rPr>
          <w:rFonts w:ascii="Times New Roman" w:hAnsi="Times New Roman"/>
          <w:sz w:val="17"/>
        </w:rPr>
        <w:t>16. Wu L, Zheng Z, Qiu Z, et al. A survey on large language models for recommendation. World Wide Web. 2024;27:60. https://doi.org/10.1007/s11280-024-01291-2</w:t>
      </w:r>
    </w:p>
    <w:p>
      <w:pPr>
        <w:spacing w:after="40" w:line="240" w:lineRule="auto"/>
        <w:ind w:left="259" w:hanging="259"/>
      </w:pPr>
      <w:r>
        <w:rPr>
          <w:rFonts w:ascii="Times New Roman" w:hAnsi="Times New Roman"/>
          <w:sz w:val="17"/>
        </w:rPr>
        <w:t>17. Ma Q, Ren X, Huang C. XRec: Large language models for explainable recommendation. In: Findings of the Association for Computational Linguistics: EMNLP 2024. 2024. p. 391-402. https://doi.org/10.18653/v1/2024.findings-emnlp.22</w:t>
      </w:r>
    </w:p>
    <w:p>
      <w:pPr>
        <w:spacing w:after="40" w:line="240" w:lineRule="auto"/>
        <w:ind w:left="259" w:hanging="259"/>
      </w:pPr>
      <w:r>
        <w:rPr>
          <w:rFonts w:ascii="Times New Roman" w:hAnsi="Times New Roman"/>
          <w:sz w:val="17"/>
        </w:rPr>
        <w:t>18. Qin P, Huang C, Deng Y, Lei W, Chua TS. Beyond persuasion: Towards conversational recommender system with credible explanations. In: Findings of the Association for Computational Linguistics: EMNLP 2024. 2024. p. 4264-4282. https://doi.org/10.18653/v1/2024.findings-emnlp.247</w:t>
      </w:r>
    </w:p>
    <w:p>
      <w:pPr>
        <w:spacing w:after="40" w:line="240" w:lineRule="auto"/>
        <w:ind w:left="259" w:hanging="259"/>
      </w:pPr>
      <w:r>
        <w:rPr>
          <w:rFonts w:ascii="Times New Roman" w:hAnsi="Times New Roman"/>
          <w:sz w:val="17"/>
        </w:rPr>
        <w:t>19. Bismay M, Dong X, Caverlee J. ReasoningRec: Bridging personalized recommendations and human-interpretable explanations through LLM reasoning. In: Findings of the Association for Computational Linguistics: NAACL 2025. 2025. p. 8147-8163. https://doi.org/10.18653/v1/2025.findings-naacl.454</w:t>
      </w:r>
    </w:p>
    <w:p>
      <w:pPr>
        <w:spacing w:after="40" w:line="240" w:lineRule="auto"/>
        <w:ind w:left="259" w:hanging="259"/>
      </w:pPr>
      <w:r>
        <w:rPr>
          <w:rFonts w:ascii="Times New Roman" w:hAnsi="Times New Roman"/>
          <w:sz w:val="17"/>
        </w:rPr>
        <w:t>20. Li Y, Zhang X, Zhang C, et al. ALERT: An LLM-powered benchmark for automatic evaluation of recommendation explanations. In: Proceedings of NAACL 2025. 2025. p. 2704-2719. https://doi.org/10.18653/v1/2025.naacl-long.137</w:t>
      </w:r>
    </w:p>
    <w:p>
      <w:pPr>
        <w:spacing w:after="40" w:line="240" w:lineRule="auto"/>
        <w:ind w:left="259" w:hanging="259"/>
      </w:pPr>
      <w:r>
        <w:rPr>
          <w:rFonts w:ascii="Times New Roman" w:hAnsi="Times New Roman"/>
          <w:sz w:val="17"/>
        </w:rPr>
        <w:t>21. Yang CW, Feng ZQ, Lin YJ, et al. MAPLE: Enhancing review generation with multi-aspect prompt learning in explainable recommendation. In: Proceedings of ACL 2025. 2025. p. 31803-31821. https://doi.org/10.18653/v1/2025.acl-long.1535</w:t>
      </w:r>
    </w:p>
    <w:p>
      <w:pPr>
        <w:spacing w:after="40" w:line="240" w:lineRule="auto"/>
        <w:ind w:left="259" w:hanging="259"/>
      </w:pPr>
      <w:r>
        <w:rPr>
          <w:rFonts w:ascii="Times New Roman" w:hAnsi="Times New Roman"/>
          <w:sz w:val="17"/>
        </w:rPr>
        <w:t>22. Zhang J, Tian Z, Feng X, Chen X, Chen C. Enhancing recommendation explanations through user-centric refinement. In: Findings of the Association for Computational Linguistics: EMNLP 2025. 2025. p. 8177-8191. https://doi.org/10.18653/v1/2025.findings-emnlp.434</w:t>
      </w:r>
    </w:p>
    <w:p>
      <w:pPr>
        <w:spacing w:after="40" w:line="240" w:lineRule="auto"/>
        <w:ind w:left="259" w:hanging="259"/>
      </w:pPr>
      <w:r>
        <w:rPr>
          <w:rFonts w:ascii="Times New Roman" w:hAnsi="Times New Roman"/>
          <w:sz w:val="17"/>
        </w:rPr>
        <w:t>23. Lewis P, Perez E, Piktus A, et al. Retrieval-augmented generation for knowledge-intensive NLP tasks. Adv Neural Inf Process Syst. 2020;33:9459-9474.</w:t>
      </w:r>
    </w:p>
    <w:p>
      <w:pPr>
        <w:spacing w:after="40" w:line="240" w:lineRule="auto"/>
        <w:ind w:left="259" w:hanging="259"/>
      </w:pPr>
      <w:r>
        <w:rPr>
          <w:rFonts w:ascii="Times New Roman" w:hAnsi="Times New Roman"/>
          <w:sz w:val="17"/>
        </w:rPr>
        <w:t>24. Wang S, Fan W, Feng Y, Shanru L, Ma X, Wang S, Yin D. Knowledge graph retrieval-augmented generation for LLM-based recommendation. In: Proceedings of ACL 2025. 2025. p. 27152-27168. https://doi.org/10.18653/v1/2025.acl-long.1317</w:t>
      </w:r>
    </w:p>
    <w:p>
      <w:pPr>
        <w:spacing w:after="40" w:line="240" w:lineRule="auto"/>
        <w:ind w:left="259" w:hanging="259"/>
      </w:pPr>
      <w:r>
        <w:rPr>
          <w:rFonts w:ascii="Times New Roman" w:hAnsi="Times New Roman"/>
          <w:sz w:val="17"/>
        </w:rPr>
        <w:t>25. Gao T, Yen H, Yu J, Chen D. Enabling large language models to generate text with citations. In: Proceedings of EMNLP 2023. 2023. p. 6465-6488. https://doi.org/10.18653/v1/2023.emnlp-main.398</w:t>
      </w:r>
    </w:p>
    <w:p>
      <w:pPr>
        <w:spacing w:after="40" w:line="240" w:lineRule="auto"/>
        <w:ind w:left="259" w:hanging="259"/>
      </w:pPr>
      <w:r>
        <w:rPr>
          <w:rFonts w:ascii="Times New Roman" w:hAnsi="Times New Roman"/>
          <w:sz w:val="17"/>
        </w:rPr>
        <w:t>26. Zhang W, Aliannejadi M, Yuan Y, Pei J, Huang JH, Kanoulas E. Towards fine-grained citation evaluation in generated text: A comparative analysis of faithfulness metrics. In: Proceedings of INLG 2024. 2024. p. 427-439. https://doi.org/10.18653/v1/2024.inlg-main.35</w:t>
      </w:r>
    </w:p>
    <w:p>
      <w:pPr>
        <w:spacing w:after="40" w:line="240" w:lineRule="auto"/>
        <w:ind w:left="259" w:hanging="259"/>
      </w:pPr>
      <w:r>
        <w:rPr>
          <w:rFonts w:ascii="Times New Roman" w:hAnsi="Times New Roman"/>
          <w:sz w:val="17"/>
        </w:rPr>
        <w:t>27. Parcalabescu L, Frank A. On measuring faithfulness or self-consistency of natural language explanations. In: Proceedings of ACL 2024. 2024. p. 6048-6089. https://doi.org/10.18653/v1/2024.acl-long.329</w:t>
      </w:r>
    </w:p>
    <w:p>
      <w:pPr>
        <w:spacing w:after="40" w:line="240" w:lineRule="auto"/>
        <w:ind w:left="259" w:hanging="259"/>
      </w:pPr>
      <w:r>
        <w:rPr>
          <w:rFonts w:ascii="Times New Roman" w:hAnsi="Times New Roman"/>
          <w:sz w:val="17"/>
        </w:rPr>
        <w:t>28. Siegel N, Camburu OM, Heess N, Perez-Ortiz M. The probabilities also matter: A more faithful metric for faithfulness of free-text explanations in large language models. In: Proceedings of ACL 2024 (Short Papers). 2024. p. 530-546. https://doi.org/10.18653/v1/2024.acl-short.49</w:t>
      </w:r>
    </w:p>
    <w:p>
      <w:pPr>
        <w:spacing w:after="40" w:line="240" w:lineRule="auto"/>
        <w:ind w:left="259" w:hanging="259"/>
      </w:pPr>
      <w:r>
        <w:rPr>
          <w:rFonts w:ascii="Times New Roman" w:hAnsi="Times New Roman"/>
          <w:sz w:val="17"/>
        </w:rPr>
        <w:t>29. Efron B, Tibshirani RJ. An introduction to the bootstrap. New York: Chapman &amp; Hall/CRC; 1993.</w:t>
      </w:r>
    </w:p>
    <w:p>
      <w:pPr>
        <w:spacing w:after="40" w:line="240" w:lineRule="auto"/>
        <w:ind w:left="259" w:hanging="259"/>
      </w:pPr>
      <w:r>
        <w:rPr>
          <w:rFonts w:ascii="Times New Roman" w:hAnsi="Times New Roman"/>
          <w:sz w:val="17"/>
        </w:rPr>
        <w:t>30. Holm S. A simple sequentially rejective multiple test procedure. Scand J Stat. 1979;6(2):65-70.</w:t>
      </w:r>
    </w:p>
    <w:p>
      <w:pPr>
        <w:spacing w:after="40" w:line="240" w:lineRule="auto"/>
        <w:ind w:left="259" w:hanging="259"/>
      </w:pPr>
      <w:r>
        <w:rPr>
          <w:rFonts w:ascii="Times New Roman" w:hAnsi="Times New Roman"/>
          <w:sz w:val="17"/>
        </w:rPr>
        <w:t>31. Qwen Team. Qwen3-Embedding-0.6B model card. Hugging Face; 2025. https://huggingface.co/Qwen/Qwen3-Embedding-0.6B. Accessed 27 Aug 2026.</w:t>
      </w:r>
    </w:p>
    <w:p>
      <w:pPr>
        <w:spacing w:after="40" w:line="240" w:lineRule="auto"/>
        <w:ind w:left="259" w:hanging="259"/>
      </w:pPr>
      <w:r>
        <w:rPr>
          <w:rFonts w:ascii="Times New Roman" w:hAnsi="Times New Roman"/>
          <w:sz w:val="17"/>
        </w:rPr>
        <w:t>32. Gemma Team. Gemma 4 Technical Report. arXiv:2607.02770. 2026. https://arxiv.org/abs/2607.02770</w:t>
      </w:r>
    </w:p>
    <w:p>
      <w:pPr>
        <w:spacing w:after="40" w:line="240" w:lineRule="auto"/>
        <w:ind w:left="259" w:hanging="259"/>
      </w:pPr>
      <w:r>
        <w:rPr>
          <w:rFonts w:ascii="Times New Roman" w:hAnsi="Times New Roman"/>
          <w:sz w:val="17"/>
        </w:rPr>
        <w:t>33. Meta. Llama 3.1 model card: Meta-Llama-3.1-8B-Instruct. 2024. https://huggingface.co/meta-llama/Meta-Llama-3.1-8B-Instruct. Accessed 27 Aug 2026.</w:t>
      </w:r>
    </w:p>
    <w:p>
      <w:pPr>
        <w:spacing w:after="40" w:line="240" w:lineRule="auto"/>
        <w:ind w:left="259" w:hanging="259"/>
      </w:pPr>
      <w:r>
        <w:rPr>
          <w:rFonts w:ascii="Times New Roman" w:hAnsi="Times New Roman"/>
          <w:sz w:val="17"/>
        </w:rPr>
        <w:t>34. Mistral AI. Ministral 3 14B Instruct 2512 model card. 2025. https://huggingface.co/mistralai/Ministral-3-14B-Instruct-2512. Accessed 27 Aug 2026.</w:t>
      </w:r>
    </w:p>
    <w:p>
      <w:pPr>
        <w:spacing w:after="40" w:line="240" w:lineRule="auto"/>
        <w:ind w:left="259" w:hanging="259"/>
      </w:pPr>
      <w:r>
        <w:rPr>
          <w:rFonts w:ascii="Times New Roman" w:hAnsi="Times New Roman"/>
          <w:sz w:val="17"/>
        </w:rPr>
        <w:t>35. Qwen Team. Qwen3.5-9B model card. 2026. https://huggingface.co/Qwen/Qwen3.5-9B. Accessed 27 Aug 2026.</w:t>
      </w:r>
    </w:p>
    <w:p>
      <w:pPr>
        <w:spacing w:after="40" w:line="240" w:lineRule="auto"/>
        <w:ind w:left="259" w:hanging="259"/>
      </w:pPr>
      <w:r>
        <w:rPr>
          <w:rFonts w:ascii="Times New Roman" w:hAnsi="Times New Roman"/>
          <w:sz w:val="17"/>
        </w:rPr>
        <w:t>36. Abdin M, Aneja J, Behl H, et al. Phi-4 Technical Report. Microsoft Research Technical Report MSR-TR-2024-57. 2024. https://www.microsoft.com/en-us/research/publication/phi-4-technical-report/</w:t>
      </w:r>
    </w:p>
    <w:sectPr w:rsidR="00FC693F" w:rsidRPr="0006063C" w:rsidSect="00034616">
      <w:footerReference w:type="default" r:id="rId9"/>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Exact Reranking Evidence to Ground Multimodal Fashion Recommendation Explanations</dc:title>
  <dc:subject>SN Computer Science manuscript draft</dc:subject>
  <dc:creator>[Author name]</dc:creator>
  <cp:keywords>explainable recommendation; multimodal retrieval; evidence grounding; decision traceability; fashion compatibility; claim verification</cp:keywords>
  <dc:description>generated by python-docx</dc:description>
  <cp:lastModifiedBy/>
  <cp:revision>1</cp:revision>
  <dcterms:created xsi:type="dcterms:W3CDTF">2013-12-23T23:15:00Z</dcterms:created>
  <dcterms:modified xsi:type="dcterms:W3CDTF">2013-12-23T23:15:00Z</dcterms:modified>
  <cp:category/>
</cp:coreProperties>
</file>