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e56be5d08f3a8099e0c46830da6c816fc258b4"/>
    <w:p>
      <w:pPr>
        <w:pStyle w:val="Heading1"/>
      </w:pPr>
      <w:r>
        <w:t xml:space="preserve">Response to Referees —</w:t>
      </w:r>
      <w:r>
        <w:t xml:space="preserve"> </w:t>
      </w:r>
      <w:r>
        <w:rPr>
          <w:i/>
          <w:iCs/>
        </w:rPr>
        <w:t xml:space="preserve">Oil Price Uncertainty and Sovereign Spreads of Oil Importers</w:t>
      </w:r>
    </w:p>
    <w:p>
      <w:pPr>
        <w:pStyle w:val="FirstParagraph"/>
      </w:pPr>
      <w:r>
        <w:rPr>
          <w:b/>
          <w:bCs/>
        </w:rPr>
        <w:t xml:space="preserve">Status: DRAFT for the authors.</w:t>
      </w:r>
      <w:r>
        <w:t xml:space="preserve"> </w:t>
      </w:r>
      <w:r>
        <w:t xml:space="preserve">Everything below is reproducible from this repository.</w:t>
      </w:r>
      <w:r>
        <w:t xml:space="preserve"> </w:t>
      </w:r>
      <w:r>
        <w:t xml:space="preserve">Items are marked ✅ addressed, ◐ partially addressed, ○ not yet started. Several results</w:t>
      </w:r>
      <w:r>
        <w:t xml:space="preserve"> </w:t>
      </w:r>
      <w:r>
        <w:rPr>
          <w:b/>
          <w:bCs/>
        </w:rPr>
        <w:t xml:space="preserve">change the paper’s conclusions</w:t>
      </w:r>
      <w:r>
        <w:t xml:space="preserve">; those are flagged explicitly rather than smoothed over.</w:t>
      </w:r>
    </w:p>
    <w:p>
      <w:r>
        <w:pict>
          <v:rect style="width:0;height:1.5pt" o:hralign="center" o:hrstd="t" o:hr="t"/>
        </w:pict>
      </w:r>
    </w:p>
    <w:bookmarkStart w:id="9" w:name="summary-for-the-editor"/>
    <w:p>
      <w:pPr>
        <w:pStyle w:val="Heading2"/>
      </w:pPr>
      <w:r>
        <w:t xml:space="preserve">Summary for the editor</w:t>
      </w:r>
    </w:p>
    <w:p>
      <w:pPr>
        <w:pStyle w:val="FirstParagraph"/>
      </w:pPr>
      <w:r>
        <w:t xml:space="preserve">We thank both referees. Their lead comment — that our</w:t>
      </w:r>
      <w:r>
        <w:t xml:space="preserve"> </w:t>
      </w:r>
      <w:r>
        <w:t xml:space="preserve">“uncertainty”</w:t>
      </w:r>
      <w:r>
        <w:t xml:space="preserve"> </w:t>
      </w:r>
      <w:r>
        <w:t xml:space="preserve">effect conflates a</w:t>
      </w:r>
      <w:r>
        <w:t xml:space="preserve"> </w:t>
      </w:r>
      <w:r>
        <w:t xml:space="preserve">genuine second-moment channel with the mechanical first-moment effect of variance on the</w:t>
      </w:r>
      <w:r>
        <w:t xml:space="preserve"> </w:t>
      </w:r>
      <w:r>
        <w:t xml:space="preserve">conditional mean of a log-normal price — is correct, and acting on it turned out to be</w:t>
      </w:r>
      <w:r>
        <w:t xml:space="preserve"> </w:t>
      </w:r>
      <w:r>
        <w:t xml:space="preserve">more consequential than we expected.</w:t>
      </w:r>
    </w:p>
    <w:p>
      <w:pPr>
        <w:pStyle w:val="BodyText"/>
      </w:pPr>
      <w:r>
        <w:t xml:space="preserve">In implementing the decomposition we discovered that our price process was</w:t>
      </w:r>
      <w:r>
        <w:t xml:space="preserve"> </w:t>
      </w:r>
      <w:r>
        <w:rPr>
          <w:b/>
          <w:bCs/>
        </w:rPr>
        <w:t xml:space="preserve">discretised</w:t>
      </w:r>
      <w:r>
        <w:rPr>
          <w:b/>
          <w:bCs/>
        </w:rPr>
        <w:t xml:space="preserve"> </w:t>
      </w:r>
      <w:r>
        <w:rPr>
          <w:b/>
          <w:bCs/>
        </w:rPr>
        <w:t xml:space="preserve">on a volatility-specific grid</w:t>
      </w:r>
      <w:r>
        <w:t xml:space="preserve">, so a given price index corresponded to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physical price in each volatility state. A volatility shock therefore rescaled the price</w:t>
      </w:r>
      <w:r>
        <w:t xml:space="preserve"> </w:t>
      </w:r>
      <w:r>
        <w:rPr>
          <w:i/>
          <w:iCs/>
        </w:rPr>
        <w:t xml:space="preserve">level</w:t>
      </w:r>
      <w:r>
        <w:t xml:space="preserve">, not only its dispersion. This was not the process written in the paper. Correcting</w:t>
      </w:r>
      <w:r>
        <w:t xml:space="preserve"> </w:t>
      </w:r>
      <w:r>
        <w:t xml:space="preserve">it, and then performing the decomposition the referees requested, we find:</w:t>
      </w:r>
    </w:p>
    <w:p>
      <w:pPr>
        <w:pStyle w:val="BlockText"/>
      </w:pPr>
      <w:r>
        <w:rPr>
          <w:b/>
          <w:bCs/>
        </w:rPr>
        <w:t xml:space="preserve">Time-varying oil price volatility raises mean spreads by 12.6 bp (+3.1%). Of this,</w:t>
      </w:r>
      <w:r>
        <w:rPr>
          <w:b/>
          <w:bCs/>
        </w:rPr>
        <w:t xml:space="preserve"> </w:t>
      </w:r>
      <w:r>
        <w:rPr>
          <w:b/>
          <w:bCs/>
        </w:rPr>
        <w:t xml:space="preserve">+43.8 bp is the expected-price (Jensen) channel and −31.2 bp is the pure dispersion</w:t>
      </w:r>
      <w:r>
        <w:rPr>
          <w:b/>
          <w:bCs/>
        </w:rPr>
        <w:t xml:space="preserve"> </w:t>
      </w:r>
      <w:r>
        <w:rPr>
          <w:b/>
          <w:bCs/>
        </w:rPr>
        <w:t xml:space="preserve">channel. The mean channel is 3.5× the total effect, and genuine mean-preserving risk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lowers</w:t>
      </w:r>
      <w:r>
        <w:rPr>
          <w:b/>
          <w:bCs/>
        </w:rPr>
        <w:t xml:space="preserve"> </w:t>
      </w:r>
      <w:r>
        <w:rPr>
          <w:b/>
          <w:bCs/>
        </w:rPr>
        <w:t xml:space="preserve">spreads.</w:t>
      </w:r>
    </w:p>
    <w:p>
      <w:pPr>
        <w:pStyle w:val="FirstParagraph"/>
      </w:pPr>
      <w:r>
        <w:t xml:space="preserve">Report 2 anticipated this possibility:</w:t>
      </w:r>
      <w:r>
        <w:t xml:space="preserve"> </w:t>
      </w:r>
      <w:r>
        <w:rPr>
          <w:i/>
          <w:iCs/>
        </w:rPr>
        <w:t xml:space="preserve">“If the pure effect of uncertainty turns out to be</w:t>
      </w:r>
      <w:r>
        <w:rPr>
          <w:i/>
          <w:iCs/>
        </w:rPr>
        <w:t xml:space="preserve"> </w:t>
      </w:r>
      <w:r>
        <w:rPr>
          <w:i/>
          <w:iCs/>
        </w:rPr>
        <w:t xml:space="preserve">small, I think it is fine. At least we know why volatility matters here.”</w:t>
      </w:r>
      <w:r>
        <w:t xml:space="preserve"> </w:t>
      </w:r>
      <w:r>
        <w:t xml:space="preserve">At our</w:t>
      </w:r>
      <w:r>
        <w:t xml:space="preserve"> </w:t>
      </w:r>
      <w:r>
        <w:t xml:space="preserve">calibration it is not merely small — it is negative. We therefore revise the paper’s</w:t>
      </w:r>
      <w:r>
        <w:t xml:space="preserve"> </w:t>
      </w:r>
      <w:r>
        <w:t xml:space="preserve">interpretation rather than defend the original claim.</w:t>
      </w:r>
    </w:p>
    <w:p>
      <w:r>
        <w:pict>
          <v:rect style="width:0;height:1.5pt" o:hralign="center" o:hrstd="t" o:hr="t"/>
        </w:pict>
      </w:r>
    </w:p>
    <w:bookmarkEnd w:id="9"/>
    <w:bookmarkStart w:id="15" w:name="Xc67a7a2422199135c9c3988584a85871ba71114"/>
    <w:p>
      <w:pPr>
        <w:pStyle w:val="Heading2"/>
      </w:pPr>
      <w:r>
        <w:t xml:space="preserve">Part A — Both reports’ lead comment: the mean-preserving decomposition</w:t>
      </w:r>
    </w:p>
    <w:p>
      <w:pPr>
        <w:pStyle w:val="BlockText"/>
      </w:pPr>
      <w:r>
        <w:rPr>
          <w:b/>
          <w:bCs/>
        </w:rPr>
        <w:t xml:space="preserve">R1 Major 2 / R2 Major 1.</w:t>
      </w:r>
      <w:r>
        <w:t xml:space="preserve"> </w:t>
      </w:r>
      <w:r>
        <w:t xml:space="preserve">Separate the pure volatility effect from the</w:t>
      </w:r>
      <w:r>
        <w:t xml:space="preserve"> </w:t>
      </w:r>
      <w:r>
        <w:t xml:space="preserve">volatility-induced increase in expected oil prices.</w:t>
      </w:r>
    </w:p>
    <w:bookmarkStart w:id="10" w:name="a.1-implementation"/>
    <w:p>
      <w:pPr>
        <w:pStyle w:val="Heading3"/>
      </w:pPr>
      <w:r>
        <w:t xml:space="preserve">✅ A.1 Implementation</w:t>
      </w:r>
    </w:p>
    <w:p>
      <w:pPr>
        <w:pStyle w:val="FirstParagraph"/>
      </w:pPr>
      <w:r>
        <w:t xml:space="preserve">We implement exactly the specification both reports propose,</w:t>
      </w:r>
    </w:p>
    <w:p>
      <w:pPr>
        <w:pStyle w:val="SourceCode"/>
      </w:pPr>
      <w:r>
        <w:rPr>
          <w:rStyle w:val="VerbatimChar"/>
        </w:rPr>
        <w:t xml:space="preserve">log p_t − p̄ = ρ_p (log p_{t−1} − p̄) − ½[v_t − v₀] + e^{σ_t} u_t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v₀ = E[v]</w:t>
      </w:r>
      <w:r>
        <w:t xml:space="preserve">, the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innovation variance of the stochastic-volatility process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e^{2μ}</w:t>
      </w:r>
      <w:r>
        <w:t xml:space="preserve">). We use E[v] so that the comparison economies hold the average quantity of</w:t>
      </w:r>
      <w:r>
        <w:t xml:space="preserve"> </w:t>
      </w:r>
      <w:r>
        <w:t xml:space="preserve">price risk fixed; this differs from the literal expression in R1 Major 2 and we flag it.</w:t>
      </w:r>
    </w:p>
    <w:p>
      <w:pPr>
        <w:pStyle w:val="BodyText"/>
      </w:pPr>
      <w:r>
        <w:t xml:space="preserve">Two implementation points matter and are easy to get wrong:</w:t>
      </w:r>
    </w:p>
    <w:p>
      <w:pPr>
        <w:pStyle w:val="Compact"/>
        <w:numPr>
          <w:ilvl w:val="0"/>
          <w:numId w:val="1001"/>
        </w:numPr>
      </w:pPr>
      <w:r>
        <w:t xml:space="preserve">The correction must enter the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mean. Folding it into the process mean</w:t>
      </w:r>
      <w:r>
        <w:t xml:space="preserve"> </w:t>
      </w:r>
      <w:r>
        <w:t xml:space="preserve">delivers only</w:t>
      </w:r>
      <w:r>
        <w:t xml:space="preserve"> </w:t>
      </w:r>
      <w:r>
        <w:rPr>
          <w:rStyle w:val="VerbatimChar"/>
        </w:rPr>
        <w:t xml:space="preserve">(1 − ρ_p)</w:t>
      </w:r>
      <w:r>
        <w:t xml:space="preserve"> </w:t>
      </w:r>
      <w:r>
        <w:t xml:space="preserve">of it —</w:t>
      </w:r>
      <w:r>
        <w:t xml:space="preserve"> </w:t>
      </w:r>
      <w:r>
        <w:rPr>
          <w:b/>
          <w:bCs/>
        </w:rPr>
        <w:t xml:space="preserve">2%</w:t>
      </w:r>
      <w:r>
        <w:t xml:space="preserve"> </w:t>
      </w:r>
      <w:r>
        <w:t xml:space="preserve">at ρ_p = 0.98.</w:t>
      </w:r>
    </w:p>
    <w:p>
      <w:pPr>
        <w:pStyle w:val="Compact"/>
        <w:numPr>
          <w:ilvl w:val="0"/>
          <w:numId w:val="1001"/>
        </w:numPr>
      </w:pPr>
      <w:r>
        <w:t xml:space="preserve">It must be applied on a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t xml:space="preserve">price grid, or it corrects a term worth 0.089% while</w:t>
      </w:r>
      <w:r>
        <w:t xml:space="preserve"> </w:t>
      </w:r>
      <w:r>
        <w:t xml:space="preserve">leaving a grid artifact worth tens of percent untouched (Part B).</w:t>
      </w:r>
    </w:p>
    <w:p>
      <w:pPr>
        <w:pStyle w:val="FirstParagraph"/>
      </w:pPr>
      <w:r>
        <w:rPr>
          <w:b/>
          <w:bCs/>
        </w:rPr>
        <w:t xml:space="preserve">Validation</w:t>
      </w:r>
      <w:r>
        <w:t xml:space="preserve"> </w:t>
      </w:r>
      <w:r>
        <w:t xml:space="preserve">(Table 4, Figure D panel a):</w:t>
      </w:r>
      <w:r>
        <w:t xml:space="preserve"> </w:t>
      </w:r>
      <w:r>
        <w:rPr>
          <w:rStyle w:val="VerbatimChar"/>
        </w:rPr>
        <w:t xml:space="preserve">E[p_{t+1} | p, σ]</w:t>
      </w:r>
      <w:r>
        <w:t xml:space="preserve"> </w:t>
      </w:r>
      <w:r>
        <w:t xml:space="preserve">swings</w:t>
      </w:r>
      <w:r>
        <w:t xml:space="preserve"> </w:t>
      </w:r>
      <w:r>
        <w:rPr>
          <w:b/>
          <w:bCs/>
        </w:rPr>
        <w:t xml:space="preserve">+0.0894%</w:t>
      </w:r>
      <w:r>
        <w:t xml:space="preserve"> </w:t>
      </w:r>
      <w:r>
        <w:t xml:space="preserve">across</w:t>
      </w:r>
      <w:r>
        <w:t xml:space="preserve"> </w:t>
      </w:r>
      <w:r>
        <w:t xml:space="preserve">volatility states in the full model and</w:t>
      </w:r>
      <w:r>
        <w:t xml:space="preserve"> </w:t>
      </w:r>
      <w:r>
        <w:rPr>
          <w:b/>
          <w:bCs/>
        </w:rPr>
        <w:t xml:space="preserve">−0.0000%</w:t>
      </w:r>
      <w:r>
        <w:t xml:space="preserve"> </w:t>
      </w:r>
      <w:r>
        <w:t xml:space="preserve">after the correction.</w:t>
      </w:r>
    </w:p>
    <w:bookmarkEnd w:id="10"/>
    <w:bookmarkStart w:id="11" w:name="a.2-the-decomposition"/>
    <w:p>
      <w:pPr>
        <w:pStyle w:val="Heading3"/>
      </w:pPr>
      <w:r>
        <w:t xml:space="preserve">✅ A.2 The decomposition</w:t>
      </w:r>
    </w:p>
    <w:p>
      <w:pPr>
        <w:pStyle w:val="FirstParagraph"/>
      </w:pPr>
      <w:r>
        <w:t xml:space="preserve">Four economies, all on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physical price grid (277 nodes, ±3 sd), all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average innovation variance, all driven by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shocks: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economy</w:t>
            </w:r>
          </w:p>
        </w:tc>
        <w:tc>
          <w:tcPr/>
          <w:p>
            <w:pPr>
              <w:pStyle w:val="Compact"/>
            </w:pPr>
            <w:r>
              <w:t xml:space="preserve">mean spread (bp)</w:t>
            </w:r>
          </w:p>
        </w:tc>
        <w:tc>
          <w:tcPr/>
          <w:p>
            <w:pPr>
              <w:pStyle w:val="Compact"/>
            </w:pPr>
            <w:r>
              <w:t xml:space="preserve">sd spread</w:t>
            </w:r>
          </w:p>
        </w:tc>
        <w:tc>
          <w:tcPr/>
          <w:p>
            <w:pPr>
              <w:pStyle w:val="Compact"/>
            </w:pPr>
            <w:r>
              <w:t xml:space="preserve">default rate (%)</w:t>
            </w:r>
          </w:p>
        </w:tc>
        <w:tc>
          <w:tcPr/>
          <w:p>
            <w:pPr>
              <w:pStyle w:val="Compact"/>
            </w:pPr>
            <w:r>
              <w:t xml:space="preserve">mean debt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SV</w:t>
            </w:r>
          </w:p>
        </w:tc>
        <w:tc>
          <w:tcPr/>
          <w:p>
            <w:pPr>
              <w:pStyle w:val="Compact"/>
            </w:pPr>
            <w:r>
              <w:t xml:space="preserve">421.3</w:t>
            </w:r>
          </w:p>
        </w:tc>
        <w:tc>
          <w:tcPr/>
          <w:p>
            <w:pPr>
              <w:pStyle w:val="Compact"/>
            </w:pPr>
            <w:r>
              <w:t xml:space="preserve">226.9</w:t>
            </w:r>
          </w:p>
        </w:tc>
        <w:tc>
          <w:tcPr/>
          <w:p>
            <w:pPr>
              <w:pStyle w:val="Compact"/>
            </w:pPr>
            <w:r>
              <w:t xml:space="preserve">3.436</w:t>
            </w:r>
          </w:p>
        </w:tc>
        <w:tc>
          <w:tcPr/>
          <w:p>
            <w:pPr>
              <w:pStyle w:val="Compact"/>
            </w:pPr>
            <w:r>
              <w:t xml:space="preserve">6.370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mean-preserving SV</w:t>
            </w:r>
          </w:p>
        </w:tc>
        <w:tc>
          <w:tcPr/>
          <w:p>
            <w:pPr>
              <w:pStyle w:val="Compact"/>
            </w:pPr>
            <w:r>
              <w:t xml:space="preserve">377.5</w:t>
            </w:r>
          </w:p>
        </w:tc>
        <w:tc>
          <w:tcPr/>
          <w:p>
            <w:pPr>
              <w:pStyle w:val="Compact"/>
            </w:pPr>
            <w:r>
              <w:t xml:space="preserve">199.9</w:t>
            </w:r>
          </w:p>
        </w:tc>
        <w:tc>
          <w:tcPr/>
          <w:p>
            <w:pPr>
              <w:pStyle w:val="Compact"/>
            </w:pPr>
            <w:r>
              <w:t xml:space="preserve">3.131</w:t>
            </w:r>
          </w:p>
        </w:tc>
        <w:tc>
          <w:tcPr/>
          <w:p>
            <w:pPr>
              <w:pStyle w:val="Compact"/>
            </w:pPr>
            <w:r>
              <w:t xml:space="preserve">6.416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 volatility</w:t>
            </w:r>
          </w:p>
        </w:tc>
        <w:tc>
          <w:tcPr/>
          <w:p>
            <w:pPr>
              <w:pStyle w:val="Compact"/>
            </w:pPr>
            <w:r>
              <w:t xml:space="preserve">408.7</w:t>
            </w:r>
          </w:p>
        </w:tc>
        <w:tc>
          <w:tcPr/>
          <w:p>
            <w:pPr>
              <w:pStyle w:val="Compact"/>
            </w:pPr>
            <w:r>
              <w:t xml:space="preserve">217.2</w:t>
            </w:r>
          </w:p>
        </w:tc>
        <w:tc>
          <w:tcPr/>
          <w:p>
            <w:pPr>
              <w:pStyle w:val="Compact"/>
            </w:pPr>
            <w:r>
              <w:t xml:space="preserve">3.391</w:t>
            </w:r>
          </w:p>
        </w:tc>
        <w:tc>
          <w:tcPr/>
          <w:p>
            <w:pPr>
              <w:pStyle w:val="Compact"/>
            </w:pPr>
            <w:r>
              <w:t xml:space="preserve">6.391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 price</w:t>
            </w:r>
          </w:p>
        </w:tc>
        <w:tc>
          <w:tcPr/>
          <w:p>
            <w:pPr>
              <w:pStyle w:val="Compact"/>
            </w:pPr>
            <w:r>
              <w:t xml:space="preserve">391.4</w:t>
            </w:r>
          </w:p>
        </w:tc>
        <w:tc>
          <w:tcPr/>
          <w:p>
            <w:pPr>
              <w:pStyle w:val="Compact"/>
            </w:pPr>
            <w:r>
              <w:t xml:space="preserve">256.8</w:t>
            </w:r>
          </w:p>
        </w:tc>
        <w:tc>
          <w:tcPr/>
          <w:p>
            <w:pPr>
              <w:pStyle w:val="Compact"/>
            </w:pPr>
            <w:r>
              <w:t xml:space="preserve">3.114</w:t>
            </w:r>
          </w:p>
        </w:tc>
        <w:tc>
          <w:tcPr/>
          <w:p>
            <w:pPr>
              <w:pStyle w:val="Compact"/>
            </w:pPr>
            <w:r>
              <w:t xml:space="preserve">6.545</w:t>
            </w:r>
          </w:p>
        </w:tc>
      </w:tr>
    </w:tbl>
    <w:p>
      <w:pPr>
        <w:pStyle w:val="BodyText"/>
      </w:pPr>
      <w:r>
        <w:rPr>
          <w:i/>
          <w:iCs/>
        </w:rPr>
        <w:t xml:space="preserve">(Table 1. The constant-price economy fixes p 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E[p] = 1.1324</w:t>
      </w:r>
      <w:r>
        <w:rPr>
          <w:i/>
          <w:iCs/>
        </w:rPr>
        <w:t xml:space="preserve">, the mean, not the</w:t>
      </w:r>
      <w:r>
        <w:rPr>
          <w:i/>
          <w:iCs/>
        </w:rPr>
        <w:t xml:space="preserve"> </w:t>
      </w:r>
      <w:r>
        <w:rPr>
          <w:i/>
          <w:iCs/>
        </w:rPr>
        <w:t xml:space="preserve">median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exp(p̄) = 1.1275</w:t>
      </w:r>
      <w:r>
        <w:rPr>
          <w:i/>
          <w:iCs/>
        </w:rPr>
        <w:t xml:space="preserve"> </w:t>
      </w:r>
      <w:r>
        <w:rPr>
          <w:i/>
          <w:iCs/>
        </w:rPr>
        <w:t xml:space="preserve">— this is R2 Major 2, addressed in Part C.)</w:t>
      </w:r>
    </w:p>
    <w:p>
      <w:pPr>
        <w:pStyle w:val="BodyText"/>
      </w:pPr>
      <w:r>
        <w:rPr>
          <w:b/>
          <w:bCs/>
        </w:rPr>
        <w:t xml:space="preserve">Decomposition (Table 3, Figure D panel 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spread (bp)</w:t>
            </w:r>
          </w:p>
        </w:tc>
        <w:tc>
          <w:tcPr/>
          <w:p>
            <w:pPr>
              <w:pStyle w:val="Compact"/>
            </w:pPr>
            <w:r>
              <w:t xml:space="preserve">default (pp)</w:t>
            </w:r>
          </w:p>
        </w:tc>
        <w:tc>
          <w:tcPr/>
          <w:p>
            <w:pPr>
              <w:pStyle w:val="Compact"/>
            </w:pPr>
            <w:r>
              <w:t xml:space="preserve">mean debt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  <w:r>
              <w:t xml:space="preserve"> </w:t>
            </w:r>
            <w:r>
              <w:t xml:space="preserve">— time-varying volatility (full − constant vol)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+12.6</w:t>
            </w:r>
          </w:p>
        </w:tc>
        <w:tc>
          <w:tcPr/>
          <w:p>
            <w:pPr>
              <w:pStyle w:val="Compact"/>
            </w:pPr>
            <w:r>
              <w:t xml:space="preserve">+0.045</w:t>
            </w:r>
          </w:p>
        </w:tc>
        <w:tc>
          <w:tcPr/>
          <w:p>
            <w:pPr>
              <w:pStyle w:val="Compact"/>
            </w:pPr>
            <w:r>
              <w:t xml:space="preserve">−0.021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 which</w:t>
            </w:r>
            <w:r>
              <w:t xml:space="preserve"> </w:t>
            </w:r>
            <w:r>
              <w:rPr>
                <w:b/>
                <w:bCs/>
              </w:rPr>
              <w:t xml:space="preserve">expected-price (mean)</w:t>
            </w:r>
            <w:r>
              <w:t xml:space="preserve"> </w:t>
            </w:r>
            <w:r>
              <w:t xml:space="preserve">(full − mean-preserving)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+43.8</w:t>
            </w:r>
          </w:p>
        </w:tc>
        <w:tc>
          <w:tcPr/>
          <w:p>
            <w:pPr>
              <w:pStyle w:val="Compact"/>
            </w:pPr>
            <w:r>
              <w:t xml:space="preserve">+0.305</w:t>
            </w:r>
          </w:p>
        </w:tc>
        <w:tc>
          <w:tcPr/>
          <w:p>
            <w:pPr>
              <w:pStyle w:val="Compact"/>
            </w:pPr>
            <w:r>
              <w:t xml:space="preserve">−0.046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 which</w:t>
            </w:r>
            <w:r>
              <w:t xml:space="preserve"> </w:t>
            </w:r>
            <w:r>
              <w:rPr>
                <w:b/>
                <w:bCs/>
              </w:rPr>
              <w:t xml:space="preserve">pure dispersion</w:t>
            </w:r>
            <w:r>
              <w:t xml:space="preserve"> </w:t>
            </w:r>
            <w:r>
              <w:t xml:space="preserve">(mean-preserving − constant vol)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−31.2</w:t>
            </w:r>
          </w:p>
        </w:tc>
        <w:tc>
          <w:tcPr/>
          <w:p>
            <w:pPr>
              <w:pStyle w:val="Compact"/>
            </w:pPr>
            <w:r>
              <w:t xml:space="preserve">−0.260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 price variation at all (constant vol − constant price)</w:t>
            </w:r>
          </w:p>
        </w:tc>
        <w:tc>
          <w:tcPr/>
          <w:p>
            <w:pPr>
              <w:pStyle w:val="Compact"/>
            </w:pPr>
            <w:r>
              <w:t xml:space="preserve">+17.3</w:t>
            </w:r>
          </w:p>
        </w:tc>
        <w:tc>
          <w:tcPr/>
          <w:p>
            <w:pPr>
              <w:pStyle w:val="Compact"/>
            </w:pPr>
            <w:r>
              <w:t xml:space="preserve">+0.277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1"/>
    <w:bookmarkStart w:id="12" w:name="a.3-interpretation"/>
    <w:p>
      <w:pPr>
        <w:pStyle w:val="Heading3"/>
      </w:pPr>
      <w:r>
        <w:t xml:space="preserve">A.3 Interpretation</w:t>
      </w:r>
    </w:p>
    <w:p>
      <w:pPr>
        <w:pStyle w:val="FirstParagraph"/>
      </w:pPr>
      <w:r>
        <w:t xml:space="preserve">The mean channel is</w:t>
      </w:r>
      <w:r>
        <w:t xml:space="preserve"> </w:t>
      </w:r>
      <w:r>
        <w:rPr>
          <w:b/>
          <w:bCs/>
        </w:rPr>
        <w:t xml:space="preserve">3.5× the total</w:t>
      </w:r>
      <w:r>
        <w:t xml:space="preserve">, and the pure dispersion channel has the</w:t>
      </w:r>
      <w:r>
        <w:t xml:space="preserve"> </w:t>
      </w:r>
      <w:r>
        <w:rPr>
          <w:b/>
          <w:bCs/>
        </w:rPr>
        <w:t xml:space="preserve">opposite</w:t>
      </w:r>
      <w:r>
        <w:rPr>
          <w:b/>
          <w:bCs/>
        </w:rPr>
        <w:t xml:space="preserve"> </w:t>
      </w:r>
      <w:r>
        <w:rPr>
          <w:b/>
          <w:bCs/>
        </w:rPr>
        <w:t xml:space="preserve">sign</w:t>
      </w:r>
      <w:r>
        <w:t xml:space="preserve">. Nearly everything the submitted draft attributes to oil price</w:t>
      </w:r>
      <w:r>
        <w:t xml:space="preserve"> </w:t>
      </w:r>
      <w:r>
        <w:rPr>
          <w:i/>
          <w:iCs/>
        </w:rPr>
        <w:t xml:space="preserve">uncertainty</w:t>
      </w:r>
      <w:r>
        <w:t xml:space="preserve"> </w:t>
      </w:r>
      <w:r>
        <w:t xml:space="preserve">is the</w:t>
      </w:r>
      <w:r>
        <w:t xml:space="preserve"> </w:t>
      </w:r>
      <w:r>
        <w:t xml:space="preserve">Jensen effect of conditional variance on the conditional mean of the price</w:t>
      </w:r>
      <w:r>
        <w:t xml:space="preserve"> </w:t>
      </w:r>
      <w:r>
        <w:rPr>
          <w:i/>
          <w:iCs/>
        </w:rPr>
        <w:t xml:space="preserve">level</w:t>
      </w:r>
      <w:r>
        <w:t xml:space="preserve">.</w:t>
      </w:r>
    </w:p>
    <w:p>
      <w:pPr>
        <w:pStyle w:val="BodyText"/>
      </w:pPr>
      <w:r>
        <w:t xml:space="preserve">Why mean-preserving dispersion</w:t>
      </w:r>
      <w:r>
        <w:t xml:space="preserve"> </w:t>
      </w:r>
      <w:r>
        <w:rPr>
          <w:i/>
          <w:iCs/>
        </w:rPr>
        <w:t xml:space="preserve">lowers</w:t>
      </w:r>
      <w:r>
        <w:t xml:space="preserve"> </w:t>
      </w:r>
      <w:r>
        <w:t xml:space="preserve">spreads: the mechanism is financial, not real.</w:t>
      </w:r>
      <w:r>
        <w:t xml:space="preserve"> </w:t>
      </w:r>
      <w:r>
        <w:t xml:space="preserve">E[output] differs by only 0.08% across the three economies. Time-varying risk, with the</w:t>
      </w:r>
      <w:r>
        <w:t xml:space="preserve"> </w:t>
      </w:r>
      <w:r>
        <w:t xml:space="preserve">mean held fixed, gives the sovereign an</w:t>
      </w:r>
      <w:r>
        <w:t xml:space="preserve"> </w:t>
      </w:r>
      <w:r>
        <w:rPr>
          <w:b/>
          <w:bCs/>
        </w:rPr>
        <w:t xml:space="preserve">option to time its borrowing</w:t>
      </w:r>
      <w:r>
        <w:t xml:space="preserve"> </w:t>
      </w:r>
      <w:r>
        <w:t xml:space="preserve">— lean on debt</w:t>
      </w:r>
      <w:r>
        <w:t xml:space="preserve"> </w:t>
      </w:r>
      <w:r>
        <w:t xml:space="preserve">when volatility is low, retrench when high. The value function is convex in the risk level,</w:t>
      </w:r>
      <w:r>
        <w:t xml:space="preserve"> </w:t>
      </w:r>
      <w:r>
        <w:t xml:space="preserve">so variation in v at constant E[v] is valuable.</w:t>
      </w:r>
    </w:p>
    <w:bookmarkEnd w:id="12"/>
    <w:bookmarkStart w:id="13" w:name="Xc3f9cf46b0351df5ce866b06c47e4b381c2c46f"/>
    <w:p>
      <w:pPr>
        <w:pStyle w:val="Heading3"/>
      </w:pPr>
      <w:r>
        <w:t xml:space="preserve">✅ A.4 Does precautionary borrowing survive? (R1 Major 2, second part)</w:t>
      </w:r>
    </w:p>
    <w:p>
      <w:pPr>
        <w:pStyle w:val="BlockText"/>
      </w:pPr>
      <w:r>
        <w:rPr>
          <w:i/>
          <w:iCs/>
        </w:rPr>
        <w:t xml:space="preserve">“Once this mean effect is removed, any remaining increase in borrowing would reflect a</w:t>
      </w:r>
      <w:r>
        <w:rPr>
          <w:i/>
          <w:iCs/>
        </w:rPr>
        <w:t xml:space="preserve"> </w:t>
      </w:r>
      <w:r>
        <w:rPr>
          <w:i/>
          <w:iCs/>
        </w:rPr>
        <w:t xml:space="preserve">precautionary response to greater oil price risk itself.”</w:t>
      </w:r>
    </w:p>
    <w:p>
      <w:pPr>
        <w:pStyle w:val="FirstParagraph"/>
      </w:pPr>
      <w:r>
        <w:rPr>
          <w:b/>
          <w:bCs/>
        </w:rPr>
        <w:t xml:space="preserve">Yes.</w:t>
      </w:r>
      <w:r>
        <w:t xml:space="preserve"> </w:t>
      </w:r>
      <w:r>
        <w:t xml:space="preserve">The pure dispersion channel raises mean debt by</w:t>
      </w:r>
      <w:r>
        <w:t xml:space="preserve"> </w:t>
      </w:r>
      <w:r>
        <w:rPr>
          <w:b/>
          <w:bCs/>
        </w:rPr>
        <w:t xml:space="preserve">+0.0246</w:t>
      </w:r>
      <w:r>
        <w:t xml:space="preserve"> </w:t>
      </w:r>
      <w:r>
        <w:t xml:space="preserve">(+0.39%), while the</w:t>
      </w:r>
      <w:r>
        <w:t xml:space="preserve"> </w:t>
      </w:r>
      <w:r>
        <w:t xml:space="preserve">mean channel</w:t>
      </w:r>
      <w:r>
        <w:t xml:space="preserve"> </w:t>
      </w:r>
      <w:r>
        <w:rPr>
          <w:i/>
          <w:iCs/>
        </w:rPr>
        <w:t xml:space="preserve">lowers</w:t>
      </w:r>
      <w:r>
        <w:t xml:space="preserve"> </w:t>
      </w:r>
      <w:r>
        <w:t xml:space="preserve">it by −0.0455. So the borrowing response to risk per se survives the</w:t>
      </w:r>
      <w:r>
        <w:t xml:space="preserve"> </w:t>
      </w:r>
      <w:r>
        <w:t xml:space="preserve">correction — but see Part B.3, where we show the</w:t>
      </w:r>
      <w:r>
        <w:t xml:space="preserve"> </w:t>
      </w:r>
      <w:r>
        <w:rPr>
          <w:i/>
          <w:iCs/>
        </w:rPr>
        <w:t xml:space="preserve">cross-state</w:t>
      </w:r>
      <w:r>
        <w:t xml:space="preserve"> </w:t>
      </w:r>
      <w:r>
        <w:t xml:space="preserve">version of this claim is not</w:t>
      </w:r>
      <w:r>
        <w:t xml:space="preserve"> </w:t>
      </w:r>
      <w:r>
        <w:t xml:space="preserve">identified.</w:t>
      </w:r>
    </w:p>
    <w:bookmarkEnd w:id="13"/>
    <w:bookmarkStart w:id="14" w:name="X74fe2550d18460f8413a5cfcb0b3c6fc5cdd745"/>
    <w:p>
      <w:pPr>
        <w:pStyle w:val="Heading3"/>
      </w:pPr>
      <w:r>
        <w:t xml:space="preserve">◐ A.5 Caveat: the correction is exact only at one step</w:t>
      </w:r>
    </w:p>
    <w:p>
      <w:pPr>
        <w:pStyle w:val="FirstParagraph"/>
      </w:pPr>
      <w:r>
        <w:t xml:space="preserve">With ρ_p &lt; 1, conditional variance accumulates at ρ² while the drift correction accumulates</w:t>
      </w:r>
      <w:r>
        <w:t xml:space="preserve"> </w:t>
      </w:r>
      <w:r>
        <w:t xml:space="preserve">at ρ, so exact cancellation requires ρ_p = 1. Since δ = 0.03 implies a bond duration near</w:t>
      </w:r>
      <w:r>
        <w:t xml:space="preserve"> </w:t>
      </w:r>
      <w:r>
        <w:t xml:space="preserve">25 quarters, long horizons are what price the bond (Table 5, Figure D panel 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 (quarters)</w:t>
            </w:r>
          </w:p>
        </w:tc>
        <w:tc>
          <w:tcPr/>
          <w:p>
            <w:pPr>
              <w:pStyle w:val="Compact"/>
            </w:pPr>
            <w:r>
              <w:t xml:space="preserve">full SV swing</w:t>
            </w:r>
          </w:p>
        </w:tc>
        <w:tc>
          <w:tcPr/>
          <w:p>
            <w:pPr>
              <w:pStyle w:val="Compact"/>
            </w:pPr>
            <w:r>
              <w:t xml:space="preserve">mean-preserving 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+0.048%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+0.098%</w:t>
            </w:r>
          </w:p>
        </w:tc>
        <w:tc>
          <w:tcPr/>
          <w:p>
            <w:pPr>
              <w:pStyle w:val="Compact"/>
            </w:pPr>
            <w:r>
              <w:t xml:space="preserve">−0.004%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+0.062%</w:t>
            </w:r>
          </w:p>
        </w:tc>
        <w:tc>
          <w:tcPr/>
          <w:p>
            <w:pPr>
              <w:pStyle w:val="Compact"/>
            </w:pPr>
            <w:r>
              <w:t xml:space="preserve">−0.027%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+0.026%</w:t>
            </w:r>
          </w:p>
        </w:tc>
        <w:tc>
          <w:tcPr/>
          <w:p>
            <w:pPr>
              <w:pStyle w:val="Compact"/>
            </w:pPr>
            <w:r>
              <w:t xml:space="preserve">−0.033%</w:t>
            </w:r>
          </w:p>
        </w:tc>
      </w:tr>
    </w:tbl>
    <w:p>
      <w:pPr>
        <w:pStyle w:val="BodyText"/>
      </w:pPr>
      <w:r>
        <w:t xml:space="preserve">The correction slightly</w:t>
      </w:r>
      <w:r>
        <w:t xml:space="preserve"> </w:t>
      </w:r>
      <w:r>
        <w:rPr>
          <w:b/>
          <w:bCs/>
        </w:rPr>
        <w:t xml:space="preserve">overshoots</w:t>
      </w:r>
      <w:r>
        <w:t xml:space="preserve"> </w:t>
      </w:r>
      <w:r>
        <w:t xml:space="preserve">at long horizons. The residual is about one third of</w:t>
      </w:r>
      <w:r>
        <w:t xml:space="preserve"> </w:t>
      </w:r>
      <w:r>
        <w:t xml:space="preserve">the full model’s peak swing, and opposite in sign. We report this rather than leave it to</w:t>
      </w:r>
      <w:r>
        <w:t xml:space="preserve"> </w:t>
      </w:r>
      <w:r>
        <w:t xml:space="preserve">be discovered.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8a4be7ab92f7dc790119e4ed72d6dcd74f73bfa"/>
    <w:p>
      <w:pPr>
        <w:pStyle w:val="Heading2"/>
      </w:pPr>
      <w:r>
        <w:t xml:space="preserve">Part B — A discretisation defect that affects the headline result</w:t>
      </w:r>
    </w:p>
    <w:p>
      <w:pPr>
        <w:pStyle w:val="FirstParagraph"/>
      </w:pPr>
      <w:r>
        <w:t xml:space="preserve">This was not raised by either referee. We report it because it materially affects</w:t>
      </w:r>
      <w:r>
        <w:t xml:space="preserve"> </w:t>
      </w:r>
      <w:r>
        <w:t xml:space="preserve">Figure 3 and the paper’s central quantitative claim.</w:t>
      </w:r>
    </w:p>
    <w:bookmarkStart w:id="16" w:name="b.1-the-defect"/>
    <w:p>
      <w:pPr>
        <w:pStyle w:val="Heading3"/>
      </w:pPr>
      <w:r>
        <w:t xml:space="preserve">✅ B.1 The defect</w:t>
      </w:r>
    </w:p>
    <w:p>
      <w:pPr>
        <w:pStyle w:val="FirstParagraph"/>
      </w:pPr>
      <w:r>
        <w:t xml:space="preserve">The submitted code builds a</w:t>
      </w:r>
      <w:r>
        <w:t xml:space="preserve"> </w:t>
      </w:r>
      <w:r>
        <w:rPr>
          <w:b/>
          <w:bCs/>
        </w:rPr>
        <w:t xml:space="preserve">separate price grid for each volatility state</w:t>
      </w:r>
      <w:r>
        <w:t xml:space="preserve">, with</w:t>
      </w:r>
      <w:r>
        <w:t xml:space="preserve"> </w:t>
      </w:r>
      <w:r>
        <w:t xml:space="preserve">half-width scaling in</w:t>
      </w:r>
      <w:r>
        <w:t xml:space="preserve"> </w:t>
      </w:r>
      <w:r>
        <w:rPr>
          <w:rStyle w:val="VerbatimChar"/>
        </w:rPr>
        <w:t xml:space="preserve">e^{σ}</w:t>
      </w:r>
      <w:r>
        <w:t xml:space="preserve">. The implemented process is therefore</w:t>
      </w:r>
    </w:p>
    <w:p>
      <w:pPr>
        <w:pStyle w:val="SourceCode"/>
      </w:pPr>
      <w:r>
        <w:rPr>
          <w:rStyle w:val="VerbatimChar"/>
        </w:rPr>
        <w:t xml:space="preserve">log p_t = p̄ + ψ(σ_t)·z_t ,   ψ(σ) = √(n−1)·e^{σ}/√(1−ρ_p²)</w:t>
      </w:r>
    </w:p>
    <w:p>
      <w:pPr>
        <w:pStyle w:val="FirstParagraph"/>
      </w:pPr>
      <w:r>
        <w:t xml:space="preserve">not the paper’s</w:t>
      </w:r>
      <w:r>
        <w:t xml:space="preserve"> </w:t>
      </w:r>
      <w:r>
        <w:rPr>
          <w:rStyle w:val="VerbatimChar"/>
        </w:rPr>
        <w:t xml:space="preserve">log p_t − p̄ = ρ_p(log p_{t−1} − p̄) + e^{σ_t}u_t</w:t>
      </w:r>
      <w:r>
        <w:t xml:space="preserve">. Volatility rescales the</w:t>
      </w:r>
      <w:r>
        <w:t xml:space="preserve"> </w:t>
      </w:r>
      <w:r>
        <w:t xml:space="preserve">price</w:t>
      </w:r>
      <w:r>
        <w:t xml:space="preserve"> </w:t>
      </w:r>
      <w:r>
        <w:rPr>
          <w:b/>
          <w:bCs/>
        </w:rPr>
        <w:t xml:space="preserve">level</w:t>
      </w:r>
      <w:r>
        <w:t xml:space="preserve">. Verified: the Rouwenhorst transition matrix is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across</w:t>
      </w:r>
      <w:r>
        <w:t xml:space="preserve"> </w:t>
      </w:r>
      <w:r>
        <w:t xml:space="preserve">volatility states (max difference 0.0) — all volatility dependence runs through grid width.</w:t>
      </w:r>
    </w:p>
    <w:p>
      <w:pPr>
        <w:pStyle w:val="BodyText"/>
      </w:pPr>
      <w:r>
        <w:t xml:space="preserve">Consequences: the price state space moves with σ (in the submitted calibration a price of</w:t>
      </w:r>
      <w:r>
        <w:t xml:space="preserve"> </w:t>
      </w:r>
      <w:r>
        <w:t xml:space="preserve">1.90 exists only in the highest volatility state), and</w:t>
      </w:r>
      <w:r>
        <w:t xml:space="preserve"> </w:t>
      </w:r>
      <w:r>
        <w:t xml:space="preserve">“high price, low volatility”</w:t>
      </w:r>
      <w:r>
        <w:t xml:space="preserve"> </w:t>
      </w:r>
      <w:r>
        <w:t xml:space="preserve">is not</w:t>
      </w:r>
      <w:r>
        <w:t xml:space="preserve"> </w:t>
      </w:r>
      <w:r>
        <w:t xml:space="preserve">representable.</w:t>
      </w:r>
    </w:p>
    <w:bookmarkEnd w:id="16"/>
    <w:bookmarkStart w:id="17" w:name="Xe830e0a48045d32c243abfde2c341546b268c84"/>
    <w:p>
      <w:pPr>
        <w:pStyle w:val="Heading3"/>
      </w:pPr>
      <w:r>
        <w:t xml:space="preserve">✅ B.2 The reported 3× state-dependence is a measurement artifact</w:t>
      </w:r>
    </w:p>
    <w:p>
      <w:pPr>
        <w:pStyle w:val="FirstParagraph"/>
      </w:pPr>
      <w:r>
        <w:t xml:space="preserve">Our setup first</w:t>
      </w:r>
      <w:r>
        <w:t xml:space="preserve"> </w:t>
      </w:r>
      <w:r>
        <w:rPr>
          <w:b/>
          <w:bCs/>
        </w:rPr>
        <w:t xml:space="preserve">reproduces</w:t>
      </w:r>
      <w:r>
        <w:t xml:space="preserve"> </w:t>
      </w:r>
      <w:r>
        <w:t xml:space="preserve">the published result: using the paper’s own definition</w:t>
      </w:r>
      <w:r>
        <w:t xml:space="preserve"> </w:t>
      </w:r>
      <w:r>
        <w:t xml:space="preserve">(i_b = 44, nodes 2 and 6, median endowment), slopes are 0.0108 / 0.0224 / 0.0322 across</w:t>
      </w:r>
      <w:r>
        <w:t xml:space="preserve"> </w:t>
      </w:r>
      <w:r>
        <w:t xml:space="preserve">volatility states 2/3/4 — a</w:t>
      </w:r>
      <w:r>
        <w:t xml:space="preserve"> </w:t>
      </w:r>
      <w:r>
        <w:rPr>
          <w:b/>
          <w:bCs/>
        </w:rPr>
        <w:t xml:space="preserve">ratio of 2.99</w:t>
      </w:r>
      <w:r>
        <w:t xml:space="preserve">.</w:t>
      </w:r>
    </w:p>
    <w:p>
      <w:pPr>
        <w:pStyle w:val="BodyText"/>
      </w:pPr>
      <w:r>
        <w:t xml:space="preserve">But the slope divides by a</w:t>
      </w:r>
      <w:r>
        <w:t xml:space="preserve"> </w:t>
      </w:r>
      <w:r>
        <w:rPr>
          <w:rStyle w:val="VerbatimChar"/>
        </w:rPr>
        <w:t xml:space="preserve">dprice</w:t>
      </w:r>
      <w:r>
        <w:t xml:space="preserve"> </w:t>
      </w:r>
      <w:r>
        <w:t xml:space="preserve">held fixed at the</w:t>
      </w:r>
      <w:r>
        <w:t xml:space="preserve"> </w:t>
      </w:r>
      <w:r>
        <w:rPr>
          <w:b/>
          <w:bCs/>
        </w:rPr>
        <w:t xml:space="preserve">vol-3</w:t>
      </w:r>
      <w:r>
        <w:t xml:space="preserve"> </w:t>
      </w:r>
      <w:r>
        <w:t xml:space="preserve">grid, while nodes 2 and 6</w:t>
      </w:r>
      <w:r>
        <w:t xml:space="preserve"> </w:t>
      </w:r>
      <w:r>
        <w:t xml:space="preserve">span a volatility-</w:t>
      </w:r>
      <w:r>
        <w:rPr>
          <w:i/>
          <w:iCs/>
        </w:rPr>
        <w:t xml:space="preserve">dependent</w:t>
      </w:r>
      <w:r>
        <w:t xml:space="preserve"> </w:t>
      </w:r>
      <w:r>
        <w:t xml:space="preserve">price interval: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 state</w:t>
            </w:r>
          </w:p>
        </w:tc>
        <w:tc>
          <w:tcPr/>
          <w:p>
            <w:pPr>
              <w:pStyle w:val="Compact"/>
            </w:pPr>
            <w:r>
              <w:t xml:space="preserve">price interval spanned</w:t>
            </w:r>
          </w:p>
        </w:tc>
        <w:tc>
          <w:tcPr/>
          <w:p>
            <w:pPr>
              <w:pStyle w:val="Compact"/>
            </w:pPr>
            <w:r>
              <w:t xml:space="preserve">reported slope</w:t>
            </w:r>
          </w:p>
        </w:tc>
        <w:tc>
          <w:tcPr/>
          <w:p>
            <w:pPr>
              <w:pStyle w:val="Compact"/>
            </w:pPr>
            <w:r>
              <w:t xml:space="preserve">per</w:t>
            </w:r>
            <w:r>
              <w:t xml:space="preserve"> </w:t>
            </w:r>
            <w:r>
              <w:rPr>
                <w:b/>
                <w:bCs/>
              </w:rPr>
              <w:t xml:space="preserve">actual</w:t>
            </w:r>
            <w:r>
              <w:t xml:space="preserve"> </w:t>
            </w:r>
            <w:r>
              <w:t xml:space="preserve">price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0.136 (1.00×)</w:t>
            </w:r>
          </w:p>
        </w:tc>
        <w:tc>
          <w:tcPr/>
          <w:p>
            <w:pPr>
              <w:pStyle w:val="Compact"/>
            </w:pPr>
            <w:r>
              <w:t xml:space="preserve">0.0108</w:t>
            </w:r>
          </w:p>
        </w:tc>
        <w:tc>
          <w:tcPr/>
          <w:p>
            <w:pPr>
              <w:pStyle w:val="Compact"/>
            </w:pPr>
            <w:r>
              <w:t xml:space="preserve">193.8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0.244 (1.80×)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  <w:tc>
          <w:tcPr/>
          <w:p>
            <w:pPr>
              <w:pStyle w:val="Compact"/>
            </w:pPr>
            <w:r>
              <w:t xml:space="preserve">224.2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0.440 (3.24×)</w:t>
            </w:r>
          </w:p>
        </w:tc>
        <w:tc>
          <w:tcPr/>
          <w:p>
            <w:pPr>
              <w:pStyle w:val="Compact"/>
            </w:pPr>
            <w:r>
              <w:t xml:space="preserve">0.0322</w:t>
            </w:r>
          </w:p>
        </w:tc>
        <w:tc>
          <w:tcPr/>
          <w:p>
            <w:pPr>
              <w:pStyle w:val="Compact"/>
            </w:pPr>
            <w:r>
              <w:t xml:space="preserve">178.5 bp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 of price intervals 3.24; ratio of reported slopes 2.99.</w:t>
      </w:r>
      <w:r>
        <w:t xml:space="preserve"> </w:t>
      </w:r>
      <w:r>
        <w:t xml:space="preserve">Normalising by the</w:t>
      </w:r>
      <w:r>
        <w:t xml:space="preserve"> </w:t>
      </w:r>
      <w:r>
        <w:t xml:space="preserve">interval actually traversed leaves 194 / 224 / 179 bp — no monotone pattern in volatility.</w:t>
      </w:r>
    </w:p>
    <w:p>
      <w:pPr>
        <w:pStyle w:val="BodyText"/>
      </w:pPr>
      <w:r>
        <w:t xml:space="preserve">The statistic is also fragile. The 3× occurs at one debt index (neighbours give 0.47,</w:t>
      </w:r>
      <w:r>
        <w:t xml:space="preserve"> </w:t>
      </w:r>
      <w:r>
        <w:t xml:space="preserve">−0.05, −0.84, 0.09), and OLS over all seven price nodes reverses the ordering</w:t>
      </w:r>
      <w:r>
        <w:t xml:space="preserve"> </w:t>
      </w:r>
      <w:r>
        <w:t xml:space="preserve">(0.067 / 0.036 / 0.025). On a balanced non-default sample the vol-5/vol-1 ratio is negative</w:t>
      </w:r>
      <w:r>
        <w:t xml:space="preserve"> </w:t>
      </w:r>
      <w:r>
        <w:t xml:space="preserve">or near zero at every debt index under both estimators.</w:t>
      </w:r>
    </w:p>
    <w:bookmarkEnd w:id="17"/>
    <w:bookmarkStart w:id="18" w:name="X100910920743ebdf7934960e20a5ac72ecdf617"/>
    <w:p>
      <w:pPr>
        <w:pStyle w:val="Heading3"/>
      </w:pPr>
      <w:r>
        <w:t xml:space="preserve">✅ B.3 A placebo for the cross-state results</w:t>
      </w:r>
    </w:p>
    <w:p>
      <w:pPr>
        <w:pStyle w:val="FirstParagraph"/>
      </w:pPr>
      <w:r>
        <w:t xml:space="preserve">The constant-volatility economy retains five volatility</w:t>
      </w:r>
      <w:r>
        <w:t xml:space="preserve"> </w:t>
      </w:r>
      <w:r>
        <w:rPr>
          <w:i/>
          <w:iCs/>
        </w:rPr>
        <w:t xml:space="preserve">indices</w:t>
      </w:r>
      <w:r>
        <w:t xml:space="preserve"> </w:t>
      </w:r>
      <w:r>
        <w:t xml:space="preserve">that are economically</w:t>
      </w:r>
      <w:r>
        <w:t xml:space="preserve"> </w:t>
      </w:r>
      <w:r>
        <w:t xml:space="preserve">identical, so any variation across them is pure simulation noise. This gives a noise floor</w:t>
      </w:r>
      <w:r>
        <w:t xml:space="preserve"> </w:t>
      </w:r>
      <w:r>
        <w:t xml:space="preserve">(Table 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 across the 5 states</w:t>
            </w:r>
          </w:p>
        </w:tc>
        <w:tc>
          <w:tcPr/>
          <w:p>
            <w:pPr>
              <w:pStyle w:val="Compact"/>
            </w:pPr>
            <w:r>
              <w:t xml:space="preserve">placebo (noise)</w:t>
            </w:r>
          </w:p>
        </w:tc>
        <w:tc>
          <w:tcPr/>
          <w:p>
            <w:pPr>
              <w:pStyle w:val="Compact"/>
            </w:pPr>
            <w:r>
              <w:t xml:space="preserve">full SV (signal)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spread</w:t>
            </w:r>
          </w:p>
        </w:tc>
        <w:tc>
          <w:tcPr/>
          <w:p>
            <w:pPr>
              <w:pStyle w:val="Compact"/>
            </w:pPr>
            <w:r>
              <w:t xml:space="preserve">2.3 bp</w:t>
            </w:r>
          </w:p>
        </w:tc>
        <w:tc>
          <w:tcPr/>
          <w:p>
            <w:pPr>
              <w:pStyle w:val="Compact"/>
            </w:pPr>
            <w:r>
              <w:t xml:space="preserve">7.7 bp, and</w:t>
            </w:r>
            <w:r>
              <w:t xml:space="preserve"> </w:t>
            </w:r>
            <w:r>
              <w:rPr>
                <w:b/>
                <w:bCs/>
              </w:rPr>
              <w:t xml:space="preserve">falling</w:t>
            </w:r>
            <w:r>
              <w:t xml:space="preserve"> </w:t>
            </w:r>
            <w:r>
              <w:t xml:space="preserve">in volatility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rate</w:t>
            </w:r>
          </w:p>
        </w:tc>
        <w:tc>
          <w:tcPr/>
          <w:p>
            <w:pPr>
              <w:pStyle w:val="Compact"/>
            </w:pPr>
            <w:r>
              <w:t xml:space="preserve">0.199 pp</w:t>
            </w:r>
          </w:p>
        </w:tc>
        <w:tc>
          <w:tcPr/>
          <w:p>
            <w:pPr>
              <w:pStyle w:val="Compact"/>
            </w:pPr>
            <w:r>
              <w:t xml:space="preserve">0.210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debt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0.024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default-rate and mean-debt patterns across volatility states lie inside the noise</w:t>
      </w:r>
      <w:r>
        <w:rPr>
          <w:b/>
          <w:bCs/>
        </w:rPr>
        <w:t xml:space="preserve"> </w:t>
      </w:r>
      <w:r>
        <w:rPr>
          <w:b/>
          <w:bCs/>
        </w:rPr>
        <w:t xml:space="preserve">floor.</w:t>
      </w:r>
      <w:r>
        <w:t xml:space="preserve"> </w:t>
      </w:r>
      <w:r>
        <w:t xml:space="preserve">Section 6.3’s precautionary-borrowing result, as currently measured, is not</w:t>
      </w:r>
      <w:r>
        <w:t xml:space="preserve"> </w:t>
      </w:r>
      <w:r>
        <w:t xml:space="preserve">identified; it needs a policy-function or impulse-response design at fixed (b, y). The</w:t>
      </w:r>
      <w:r>
        <w:t xml:space="preserve"> </w:t>
      </w:r>
      <w:r>
        <w:t xml:space="preserve">decomposition in Part A is unaffected — it differences ergodic means across economies</w:t>
      </w:r>
      <w:r>
        <w:t xml:space="preserve"> </w:t>
      </w:r>
      <w:r>
        <w:t xml:space="preserve">driven by the same 750,000 shocks, so common sampling error cancels.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art-c-remaining-comments"/>
    <w:p>
      <w:pPr>
        <w:pStyle w:val="Heading2"/>
      </w:pPr>
      <w:r>
        <w:t xml:space="preserve">Part C — Remaining comments</w:t>
      </w:r>
    </w:p>
    <w:bookmarkStart w:id="20" w:name="Xed4b07eec9e3b6a679f89771806fc2470864629"/>
    <w:p>
      <w:pPr>
        <w:pStyle w:val="Heading3"/>
      </w:pPr>
      <w:r>
        <w:t xml:space="preserve">✅ C.1 R2 Major 2 — welfare comparisons mix less risk with cheaper oil</w:t>
      </w:r>
    </w:p>
    <w:p>
      <w:pPr>
        <w:pStyle w:val="FirstParagraph"/>
      </w:pPr>
      <w:r>
        <w:t xml:space="preserve">Correct. The submitted basic economy fixes the price at</w:t>
      </w:r>
      <w:r>
        <w:t xml:space="preserve"> </w:t>
      </w:r>
      <w:r>
        <w:rPr>
          <w:rStyle w:val="VerbatimChar"/>
        </w:rPr>
        <w:t xml:space="preserve">exp(p̄) = 1.1275</w:t>
      </w:r>
      <w:r>
        <w:t xml:space="preserve">, the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of the log-normal. All comparison economies now share (i) the same physical price grid,</w:t>
      </w:r>
      <w:r>
        <w:t xml:space="preserve"> </w:t>
      </w:r>
      <w:r>
        <w:t xml:space="preserve">(ii) the same average innovation variance E[v], and (iii) a constant-price economy set at</w:t>
      </w:r>
      <w:r>
        <w:t xml:space="preserve"> </w:t>
      </w:r>
      <w:r>
        <w:rPr>
          <w:b/>
          <w:bCs/>
        </w:rPr>
        <w:t xml:space="preserve">E[p] = 1.1324</w:t>
      </w:r>
      <w:r>
        <w:t xml:space="preserve">, the mean. The ladder no longer confounds risk with the price level.</w:t>
      </w:r>
    </w:p>
    <w:bookmarkEnd w:id="20"/>
    <w:bookmarkStart w:id="21" w:name="Xbc4670536b6324f9b4d88a2aad58d560cb546d0"/>
    <w:p>
      <w:pPr>
        <w:pStyle w:val="Heading3"/>
      </w:pPr>
      <w:r>
        <w:t xml:space="preserve">✅ C.2 R1 Major 3 — discipline the substitution elasticity</w:t>
      </w:r>
    </w:p>
    <w:p>
      <w:pPr>
        <w:pStyle w:val="FirstParagraph"/>
      </w:pPr>
      <w:r>
        <w:t xml:space="preserve">We estimate it from our own panel. The CES optimal-oil conditions imply</w:t>
      </w:r>
      <w:r>
        <w:t xml:space="preserve"> </w:t>
      </w:r>
      <w:r>
        <w:rPr>
          <w:rStyle w:val="VerbatimChar"/>
        </w:rPr>
        <w:t xml:space="preserve">s(p) = α^σ p^{1−σ}</w:t>
      </w:r>
      <w:r>
        <w:t xml:space="preserve">, so the share’s price elasticity identifies σ directly:</w:t>
      </w:r>
      <w:r>
        <w:t xml:space="preserve"> </w:t>
      </w:r>
      <w:r>
        <w:rPr>
          <w:rStyle w:val="VerbatimChar"/>
        </w:rPr>
        <w:t xml:space="preserve">d ln s / d ln p = 1 − σ</w:t>
      </w:r>
      <w:r>
        <w:t xml:space="preserve">. Using the</w:t>
      </w:r>
      <w:r>
        <w:t xml:space="preserve"> </w:t>
      </w:r>
      <w:r>
        <w:rPr>
          <w:rStyle w:val="VerbatimChar"/>
        </w:rPr>
        <w:t xml:space="preserve">import_gdp</w:t>
      </w:r>
      <w:r>
        <w:t xml:space="preserve"> </w:t>
      </w:r>
      <w:r>
        <w:t xml:space="preserve">panel (34 oil importers, 1995–2015,</w:t>
      </w:r>
      <w:r>
        <w:t xml:space="preserve"> </w:t>
      </w:r>
      <w:r>
        <w:t xml:space="preserve">660 observations):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implied 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 country, clustered by year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+0.606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collapsed to a time series</w:t>
            </w:r>
          </w:p>
        </w:tc>
        <w:tc>
          <w:tcPr/>
          <w:p>
            <w:pPr>
              <w:pStyle w:val="Compact"/>
            </w:pPr>
            <w:r>
              <w:t xml:space="preserve">+0.627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collapsed, with linear trend</w:t>
            </w:r>
          </w:p>
        </w:tc>
        <w:tc>
          <w:tcPr/>
          <w:p>
            <w:pPr>
              <w:pStyle w:val="Compact"/>
            </w:pPr>
            <w:r>
              <w:t xml:space="preserve">+0.958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differences within country</w:t>
            </w:r>
          </w:p>
        </w:tc>
        <w:tc>
          <w:tcPr/>
          <w:p>
            <w:pPr>
              <w:pStyle w:val="Compact"/>
            </w:pPr>
            <w:r>
              <w:t xml:space="preserve">+0.836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</w:p>
        </w:tc>
      </w:tr>
    </w:tbl>
    <w:p>
      <w:pPr>
        <w:pStyle w:val="BodyText"/>
      </w:pPr>
      <w:r>
        <w:t xml:space="preserve">All four are positive and strongly significant.</w:t>
      </w:r>
      <w:r>
        <w:t xml:space="preserve"> </w:t>
      </w:r>
      <w:r>
        <w:rPr>
          <w:b/>
          <w:bCs/>
        </w:rPr>
        <w:t xml:space="preserve">σ = 2 predicts −1 and is rejected</w:t>
      </w:r>
      <w:r>
        <w:t xml:space="preserve">;</w:t>
      </w:r>
      <w:r>
        <w:t xml:space="preserve"> </w:t>
      </w:r>
      <w:r>
        <w:t xml:space="preserve">σ = 1 is also rejected. 95% CI for σ:</w:t>
      </w:r>
      <w:r>
        <w:t xml:space="preserve"> </w:t>
      </w:r>
      <w:r>
        <w:rPr>
          <w:b/>
          <w:bCs/>
        </w:rPr>
        <w:t xml:space="preserve">[0.23, 0.56]</w:t>
      </w:r>
      <w:r>
        <w:t xml:space="preserve">. Oil and the domestic input are</w:t>
      </w:r>
      <w:r>
        <w:t xml:space="preserve"> </w:t>
      </w:r>
      <w:r>
        <w:rPr>
          <w:b/>
          <w:bCs/>
        </w:rPr>
        <w:t xml:space="preserve">complements</w:t>
      </w:r>
      <w:r>
        <w:t xml:space="preserve">, not substitutes. Standard errors cluster on</w:t>
      </w:r>
      <w:r>
        <w:t xml:space="preserve"> </w:t>
      </w:r>
      <w:r>
        <w:rPr>
          <w:b/>
          <w:bCs/>
        </w:rPr>
        <w:t xml:space="preserve">year</w:t>
      </w:r>
      <w:r>
        <w:t xml:space="preserve">, since the regressor</w:t>
      </w:r>
      <w:r>
        <w:t xml:space="preserve"> </w:t>
      </w:r>
      <w:r>
        <w:t xml:space="preserve">is the global oil price, common across the cross-section within a year.</w:t>
      </w:r>
    </w:p>
    <w:p>
      <w:pPr>
        <w:pStyle w:val="BodyText"/>
      </w:pPr>
      <w:r>
        <w:rPr>
          <w:i/>
          <w:iCs/>
        </w:rPr>
        <w:t xml:space="preserve">Caveat:</w:t>
      </w:r>
      <w:r>
        <w:t xml:space="preserve"> </w:t>
      </w:r>
      <w:r>
        <w:t xml:space="preserve">the sign flips to −0.33 if oil</w:t>
      </w:r>
      <w:r>
        <w:t xml:space="preserve"> </w:t>
      </w:r>
      <w:r>
        <w:rPr>
          <w:b/>
          <w:bCs/>
        </w:rPr>
        <w:t xml:space="preserve">exporters</w:t>
      </w:r>
      <w:r>
        <w:t xml:space="preserve"> </w:t>
      </w:r>
      <w:r>
        <w:t xml:space="preserve">are retained, so the importer sample</w:t>
      </w:r>
      <w:r>
        <w:t xml:space="preserve"> </w:t>
      </w:r>
      <w:r>
        <w:t xml:space="preserve">definition is doing real work and must be stated explicitly.</w:t>
      </w:r>
    </w:p>
    <w:p>
      <w:pPr>
        <w:pStyle w:val="BodyText"/>
      </w:pPr>
      <w:r>
        <w:t xml:space="preserve">The same data gives a calibration target: the importer-sample mean oil import share is</w:t>
      </w:r>
      <w:r>
        <w:t xml:space="preserve"> </w:t>
      </w:r>
      <w:r>
        <w:rPr>
          <w:b/>
          <w:bCs/>
        </w:rPr>
        <w:t xml:space="preserve">3.74%</w:t>
      </w:r>
      <w:r>
        <w:t xml:space="preserve"> </w:t>
      </w:r>
      <w:r>
        <w:t xml:space="preserve">of GDP (median 2.59%), against</w:t>
      </w:r>
      <w:r>
        <w:t xml:space="preserve"> </w:t>
      </w:r>
      <w:r>
        <w:rPr>
          <w:b/>
          <w:bCs/>
        </w:rPr>
        <w:t xml:space="preserve">7.99%</w:t>
      </w:r>
      <w:r>
        <w:t xml:space="preserve"> </w:t>
      </w:r>
      <w:r>
        <w:t xml:space="preserve">implied by α = 0.3, θ = 0.5.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argument against σ = 2, from the model’s own internals: with a</w:t>
      </w:r>
      <w:r>
        <w:t xml:space="preserve"> </w:t>
      </w:r>
      <w:r>
        <w:t xml:space="preserve">realistically volatile oil price, σ = 2 implies an oil import share of</w:t>
      </w:r>
      <w:r>
        <w:t xml:space="preserve"> </w:t>
      </w:r>
      <w:r>
        <w:rPr>
          <w:b/>
          <w:bCs/>
        </w:rPr>
        <w:t xml:space="preserve">76% of output</w:t>
      </w:r>
      <w:r>
        <w:t xml:space="preserve"> </w:t>
      </w:r>
      <w:r>
        <w:t xml:space="preserve">at</w:t>
      </w:r>
      <w:r>
        <w:t xml:space="preserve"> </w:t>
      </w:r>
      <w:r>
        <w:t xml:space="preserve">the low end of the price grid, because strong substitutability pulls the firm into enormous</w:t>
      </w:r>
      <w:r>
        <w:t xml:space="preserve"> </w:t>
      </w:r>
      <w:r>
        <w:t xml:space="preserve">oil use when oil is cheap. The submitted model never reaches that region only because its</w:t>
      </w:r>
      <w:r>
        <w:t xml:space="preserve"> </w:t>
      </w:r>
      <w:r>
        <w:t xml:space="preserve">calibrated oil price volatility is roughly an order of magnitude too small (Part C.3).</w:t>
      </w:r>
    </w:p>
    <w:bookmarkEnd w:id="21"/>
    <w:bookmarkStart w:id="22" w:name="X436462bed359ac9692a11fe3cb37a731be932f4"/>
    <w:p>
      <w:pPr>
        <w:pStyle w:val="Heading3"/>
      </w:pPr>
      <w:r>
        <w:t xml:space="preserve">◐ C.3 Volatility calibration — a convention check we could not close</w:t>
      </w:r>
    </w:p>
    <w:p>
      <w:pPr>
        <w:pStyle w:val="FirstParagraph"/>
      </w:pPr>
      <w:r>
        <w:t xml:space="preserve">Re-running our own</w:t>
      </w:r>
      <w:r>
        <w:t xml:space="preserve"> </w:t>
      </w:r>
      <w:r>
        <w:rPr>
          <w:rStyle w:val="VerbatimChar"/>
        </w:rPr>
        <w:t xml:space="preserve">svsample(log real price, designmatrix="ar1")</w:t>
      </w:r>
      <w:r>
        <w:t xml:space="preserve"> </w:t>
      </w:r>
      <w:r>
        <w:t xml:space="preserve">reproduces the Table 2</w:t>
      </w:r>
      <w:r>
        <w:t xml:space="preserve"> </w:t>
      </w:r>
      <w:r>
        <w:t xml:space="preserve">parameters and identifies their provenance: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Fortran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rho_p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beta_1 = 0.9763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mean_p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beta_0 = 0.1176</w:t>
            </w:r>
          </w:p>
        </w:tc>
        <w:tc>
          <w:tcPr/>
          <w:p>
            <w:pPr>
              <w:pStyle w:val="Compact"/>
            </w:pPr>
            <w:r>
              <w:t xml:space="preserve">⚠️ that is the</w:t>
            </w:r>
            <w:r>
              <w:t xml:space="preserve"> </w:t>
            </w:r>
            <w:r>
              <w:rPr>
                <w:b/>
                <w:bCs/>
              </w:rPr>
              <w:t xml:space="preserve">intercept</w:t>
            </w:r>
            <w:r>
              <w:t xml:space="preserve">, not the unconditional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mean_p_vol</w:t>
            </w:r>
          </w:p>
        </w:tc>
        <w:tc>
          <w:tcPr/>
          <w:p>
            <w:pPr>
              <w:pStyle w:val="Compact"/>
            </w:pPr>
            <w:r>
              <w:t xml:space="preserve">−4.33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 = −4.3317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mu</w:t>
            </w:r>
            <w:r>
              <w:t xml:space="preserve"> </w:t>
            </w:r>
            <w:r>
              <w:t xml:space="preserve">is the mean of log</w:t>
            </w:r>
            <w:r>
              <w:t xml:space="preserve"> </w:t>
            </w:r>
            <w:r>
              <w:rPr>
                <w:b/>
                <w:bCs/>
              </w:rP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rho_p_vol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 = 0.6779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sigma = 0.4460</w:t>
            </w:r>
            <w:r>
              <w:t xml:space="preserve"> </w:t>
            </w:r>
            <w:r>
              <w:rPr>
                <w:b/>
                <w:bCs/>
              </w:rPr>
              <w:t xml:space="preserve">under the commented-out priors</w:t>
            </w:r>
          </w:p>
        </w:tc>
        <w:tc>
          <w:tcPr/>
          <w:p>
            <w:pPr>
              <w:pStyle w:val="Compact"/>
            </w:pPr>
            <w:r>
              <w:t xml:space="preserve">❌ different estimation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stochvol</w:t>
      </w:r>
      <w:r>
        <w:t xml:space="preserve"> </w:t>
      </w:r>
      <w:r>
        <w:t xml:space="preserve">parameterises</w:t>
      </w:r>
      <w:r>
        <w:t xml:space="preserve"> </w:t>
      </w:r>
      <w:r>
        <w:rPr>
          <w:rStyle w:val="VerbatimChar"/>
        </w:rPr>
        <w:t xml:space="preserve">y_t = exp(h_t/2)·ε_t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is the log</w:t>
      </w:r>
      <w:r>
        <w:t xml:space="preserve"> </w:t>
      </w:r>
      <w:r>
        <w:rPr>
          <w:i/>
          <w:iCs/>
        </w:rPr>
        <w:t xml:space="preserve">variance</w:t>
      </w:r>
      <w:r>
        <w:t xml:space="preserve"> </w:t>
      </w:r>
      <w:r>
        <w:t xml:space="preserve">and</w:t>
      </w:r>
      <w:r>
        <w:t xml:space="preserve"> </w:t>
      </w:r>
      <w:r>
        <w:t xml:space="preserve">σ = exp(h/2). If the code applies σ = exp(h), implied quarterly innovation volatility is</w:t>
      </w:r>
      <w:r>
        <w:t xml:space="preserve"> </w:t>
      </w:r>
      <w:r>
        <w:t xml:space="preserve">1.3% rather than 11.5%, and the unconditional sd of log p is 6.6% against</w:t>
      </w:r>
      <w:r>
        <w:t xml:space="preserve"> </w:t>
      </w:r>
      <w:r>
        <w:rPr>
          <w:b/>
          <w:bCs/>
        </w:rPr>
        <w:t xml:space="preserve">48.5%</w:t>
      </w:r>
      <w:r>
        <w:t xml:space="preserve"> </w:t>
      </w:r>
      <w:r>
        <w:t xml:space="preserve">in the</w:t>
      </w:r>
      <w:r>
        <w:t xml:space="preserve"> </w:t>
      </w:r>
      <w:r>
        <w:t xml:space="preserve">data. We flag this for verification against the authors’ own estimation output; it is the</w:t>
      </w:r>
      <w:r>
        <w:t xml:space="preserve"> </w:t>
      </w:r>
      <w:r>
        <w:t xml:space="preserve">single most consequential open item, because the Jensen term dominating Part A is a direct</w:t>
      </w:r>
      <w:r>
        <w:t xml:space="preserve"> </w:t>
      </w:r>
      <w:r>
        <w:t xml:space="preserve">consequence of σ being small.</w:t>
      </w:r>
    </w:p>
    <w:bookmarkEnd w:id="22"/>
    <w:bookmarkStart w:id="23" w:name="c.4-not-yet-addressed"/>
    <w:p>
      <w:pPr>
        <w:pStyle w:val="Heading3"/>
      </w:pPr>
      <w:r>
        <w:t xml:space="preserve">○ C.4 Not yet addressed</w:t>
      </w:r>
    </w:p>
    <w:p>
      <w:pPr>
        <w:pStyle w:val="Compact"/>
        <w:numPr>
          <w:ilvl w:val="0"/>
          <w:numId w:val="1002"/>
        </w:numPr>
      </w:pPr>
      <w:r>
        <w:t xml:space="preserve">R1 Major 1a — expectations evidence from futures / Consensus Forecasts</w:t>
      </w:r>
    </w:p>
    <w:p>
      <w:pPr>
        <w:pStyle w:val="Compact"/>
        <w:numPr>
          <w:ilvl w:val="0"/>
          <w:numId w:val="1002"/>
        </w:numPr>
      </w:pPr>
      <w:r>
        <w:t xml:space="preserve">R1 Major 1b, R2 Major 5 — state-dependence tests in the panel (interactions)</w:t>
      </w:r>
    </w:p>
    <w:p>
      <w:pPr>
        <w:pStyle w:val="Compact"/>
        <w:numPr>
          <w:ilvl w:val="0"/>
          <w:numId w:val="1002"/>
        </w:numPr>
      </w:pPr>
      <w:r>
        <w:t xml:space="preserve">R1 Major 1c — two-way clustering by country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quarter</w:t>
      </w:r>
    </w:p>
    <w:p>
      <w:pPr>
        <w:pStyle w:val="Compact"/>
        <w:numPr>
          <w:ilvl w:val="0"/>
          <w:numId w:val="1002"/>
        </w:numPr>
      </w:pPr>
      <w:r>
        <w:t xml:space="preserve">R1 Major 5 — risk-averse lenders / exogenous SDF</w:t>
      </w:r>
    </w:p>
    <w:p>
      <w:pPr>
        <w:pStyle w:val="Compact"/>
        <w:numPr>
          <w:ilvl w:val="0"/>
          <w:numId w:val="1002"/>
        </w:numPr>
      </w:pPr>
      <w:r>
        <w:t xml:space="preserve">R2 Major 3 — oil import disruption during default</w:t>
      </w:r>
    </w:p>
    <w:p>
      <w:pPr>
        <w:pStyle w:val="Compact"/>
        <w:numPr>
          <w:ilvl w:val="0"/>
          <w:numId w:val="1002"/>
        </w:numPr>
      </w:pPr>
      <w:r>
        <w:t xml:space="preserve">R2 Major 4 — novelty framing vs Lopez-Martin et al. (2019)</w:t>
      </w:r>
    </w:p>
    <w:p>
      <w:pPr>
        <w:pStyle w:val="Compact"/>
        <w:numPr>
          <w:ilvl w:val="0"/>
          <w:numId w:val="1002"/>
        </w:numPr>
      </w:pPr>
      <w:r>
        <w:t xml:space="preserve">R2 Minor 2 — oil moments in Table 3</w:t>
      </w:r>
    </w:p>
    <w:p>
      <w:pPr>
        <w:pStyle w:val="Compact"/>
        <w:numPr>
          <w:ilvl w:val="0"/>
          <w:numId w:val="1002"/>
        </w:numPr>
      </w:pPr>
      <w:r>
        <w:t xml:space="preserve">R1 Minor 1, 2, 3; R2 Minor 1 — terminology, y vs x, exchange rate, notation</w:t>
      </w:r>
    </w:p>
    <w:p>
      <w:pPr>
        <w:pStyle w:val="Compact"/>
        <w:numPr>
          <w:ilvl w:val="0"/>
          <w:numId w:val="1002"/>
        </w:numPr>
      </w:pPr>
      <w:r>
        <w:t xml:space="preserve">R1 Minor 4 / R2 Minor 1 —</w:t>
      </w:r>
      <w:r>
        <w:t xml:space="preserve"> </w:t>
      </w:r>
      <w:r>
        <w:rPr>
          <w:b/>
          <w:bCs/>
        </w:rPr>
        <w:t xml:space="preserve">confirmed</w:t>
      </w:r>
      <w:r>
        <w:t xml:space="preserve">: the elasticity is 1/(1−θ), not 1/θ. Text fix.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igures-and-tables"/>
    <w:p>
      <w:pPr>
        <w:pStyle w:val="Heading2"/>
      </w:pPr>
      <w:r>
        <w:t xml:space="preserve">Figures and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FIGURE_decomposition.jpg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new.</w:t>
            </w:r>
            <w:r>
              <w:t xml:space="preserve"> </w:t>
            </w:r>
            <w:r>
              <w:t xml:space="preserve">(a) mean channel and its removal; (b) spread by economy; (c) channel decomposition; (d) mean preservation by horizon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table1_economies.csv</w:t>
            </w:r>
          </w:p>
        </w:tc>
        <w:tc>
          <w:tcPr/>
          <w:p>
            <w:pPr>
              <w:pStyle w:val="Compact"/>
            </w:pPr>
            <w:r>
              <w:t xml:space="preserve">four economies: spread, sd, default rate, debt,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table2_by_volatility_state.csv</w:t>
            </w:r>
          </w:p>
        </w:tc>
        <w:tc>
          <w:tcPr/>
          <w:p>
            <w:pPr>
              <w:pStyle w:val="Compact"/>
            </w:pPr>
            <w:r>
              <w:t xml:space="preserve">the same by volatility state, including the placebo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table3_decomposition.csv</w:t>
            </w:r>
          </w:p>
        </w:tc>
        <w:tc>
          <w:tcPr/>
          <w:p>
            <w:pPr>
              <w:pStyle w:val="Compact"/>
            </w:pPr>
            <w:r>
              <w:t xml:space="preserve">the channel decomposition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table4_expected_price_by_volatility.csv</w:t>
            </w:r>
          </w:p>
        </w:tc>
        <w:tc>
          <w:tcPr/>
          <w:p>
            <w:pPr>
              <w:pStyle w:val="Compact"/>
            </w:pPr>
            <w:r>
              <w:t xml:space="preserve">E[p’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table5_horizon_mean_preservation.csv</w:t>
            </w:r>
          </w:p>
        </w:tc>
        <w:tc>
          <w:tcPr/>
          <w:p>
            <w:pPr>
              <w:pStyle w:val="Compact"/>
            </w:pPr>
            <w:r>
              <w:t xml:space="preserve">40-quarter horizon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table6_configuration.csv</w:t>
            </w:r>
          </w:p>
        </w:tc>
        <w:tc>
          <w:tcPr/>
          <w:p>
            <w:pPr>
              <w:pStyle w:val="Compact"/>
            </w:pPr>
            <w:r>
              <w:t xml:space="preserve">grid and calibration provenance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Figures 2–7 on the corrected model are not yet regenerated.</w:t>
      </w:r>
      <w:r>
        <w:t xml:space="preserve"> </w:t>
      </w:r>
      <w:r>
        <w:t xml:space="preserve">The plotting pipeline is</w:t>
      </w:r>
      <w:r>
        <w:t xml:space="preserve"> </w:t>
      </w:r>
      <w:r>
        <w:t xml:space="preserve">validated — run on the submitted outputs it reproduces all ten published figures</w:t>
      </w:r>
      <w:r>
        <w:t xml:space="preserve"> </w:t>
      </w:r>
      <w:r>
        <w:rPr>
          <w:b/>
          <w:bCs/>
        </w:rPr>
        <w:t xml:space="preserve">pixel-identically</w:t>
      </w:r>
      <w:r>
        <w:t xml:space="preserve"> </w:t>
      </w:r>
      <w:r>
        <w:t xml:space="preserve">— but at 277 price nodes a single economy has not completed. Two</w:t>
      </w:r>
      <w:r>
        <w:t xml:space="preserve"> </w:t>
      </w:r>
      <w:r>
        <w:t xml:space="preserve">causes were found and fixed (ASCII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replaced by</w:t>
      </w:r>
      <w:r>
        <w:t xml:space="preserve"> </w:t>
      </w:r>
      <w:r>
        <w:rPr>
          <w:rStyle w:val="VerbatimChar"/>
        </w:rPr>
        <w:t xml:space="preserve">textscan</w:t>
      </w:r>
      <w:r>
        <w:t xml:space="preserve">; eight arrays in the</w:t>
      </w:r>
      <w:r>
        <w:t xml:space="preserve"> </w:t>
      </w:r>
      <w:r>
        <w:t xml:space="preserve">4-deep fill loop were never preallocated, making it O(n²)), both verified output-neutral</w:t>
      </w:r>
      <w:r>
        <w:t xml:space="preserve"> </w:t>
      </w:r>
      <w:r>
        <w:t xml:space="preserve">against the published figures. A third bottleneck remains under investigation.</w:t>
      </w:r>
    </w:p>
    <w:p>
      <w:r>
        <w:pict>
          <v:rect style="width:0;height:1.5pt" o:hralign="center" o:hrstd="t" o:hr="t"/>
        </w:pict>
      </w:r>
    </w:p>
    <w:bookmarkEnd w:id="25"/>
    <w:bookmarkStart w:id="26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Everything is in the repository. The submitted version is tagged</w:t>
      </w:r>
      <w:r>
        <w:t xml:space="preserve"> </w:t>
      </w:r>
      <w:r>
        <w:rPr>
          <w:rStyle w:val="VerbatimChar"/>
        </w:rPr>
        <w:t xml:space="preserve">submitted-baseline</w:t>
      </w:r>
      <w:r>
        <w:t xml:space="preserve">.</w:t>
      </w:r>
      <w:r>
        <w:t xml:space="preserve"> </w:t>
      </w:r>
      <w:r>
        <w:rPr>
          <w:rStyle w:val="VerbatimChar"/>
        </w:rPr>
        <w:t xml:space="preserve">REVISION_NOTES.md</w:t>
      </w:r>
      <w:r>
        <w:t xml:space="preserve"> </w:t>
      </w:r>
      <w:r>
        <w:t xml:space="preserve">records the full working history, including defects found in the</w:t>
      </w:r>
      <w:r>
        <w:t xml:space="preserve"> </w:t>
      </w:r>
      <w:r>
        <w:t xml:space="preserve">submitted code and their verification. Key switches in</w:t>
      </w:r>
      <w:r>
        <w:t xml:space="preserve"> </w:t>
      </w:r>
      <w:r>
        <w:rPr>
          <w:rStyle w:val="VerbatimChar"/>
        </w:rPr>
        <w:t xml:space="preserve">model/oil_prod_CES.f90</w:t>
      </w:r>
      <w:r>
        <w:t xml:space="preserve">:</w:t>
      </w:r>
      <w:r>
        <w:t xml:space="preserve"> </w:t>
      </w:r>
      <w:r>
        <w:rPr>
          <w:rStyle w:val="VerbatimChar"/>
        </w:rPr>
        <w:t xml:space="preserve">use_common_p_grid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mean_preserving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p_width_sd</w:t>
      </w:r>
      <w:r>
        <w:t xml:space="preserve">,</w:t>
      </w:r>
      <w:r>
        <w:t xml:space="preserve"> </w:t>
      </w:r>
      <w:r>
        <w:rPr>
          <w:rStyle w:val="VerbatimChar"/>
        </w:rPr>
        <w:t xml:space="preserve">p_vol_width_sd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2026-10-23T03:26:00Z</dcterms:created>
  <dcterms:modified xsi:type="dcterms:W3CDTF">2026-10-23T03:26:00Z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