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5404B" w14:textId="77777777" w:rsidR="00355E5A" w:rsidRDefault="003C4050">
      <w:pPr>
        <w:pStyle w:val="Title"/>
        <w:spacing w:before="0" w:after="480" w:line="360" w:lineRule="auto"/>
        <w:outlineLvl w:val="9"/>
      </w:pPr>
      <w:bookmarkStart w:id="0" w:name="_Toc243829203"/>
      <w:r>
        <w:rPr>
          <w:rFonts w:ascii="Times New Roman" w:hAnsi="Times New Roman"/>
        </w:rPr>
        <w:t>Water Storage Trends and Climate Attribution Across River Basins in Thailand</w:t>
      </w:r>
      <w:bookmarkEnd w:id="0"/>
    </w:p>
    <w:p w14:paraId="0E208252" w14:textId="77777777" w:rsidR="00355E5A" w:rsidRDefault="003C4050">
      <w:pPr>
        <w:spacing w:after="300" w:line="360" w:lineRule="auto"/>
        <w:jc w:val="center"/>
      </w:pPr>
      <w:r>
        <w:t>by</w:t>
      </w:r>
    </w:p>
    <w:p w14:paraId="10344E0C" w14:textId="77777777" w:rsidR="00355E5A" w:rsidRDefault="003C4050">
      <w:pPr>
        <w:spacing w:after="300" w:line="360" w:lineRule="auto"/>
        <w:jc w:val="center"/>
      </w:pPr>
      <w:r>
        <w:t>Farzeen Khan</w:t>
      </w:r>
    </w:p>
    <w:p w14:paraId="41A2D60F" w14:textId="77777777" w:rsidR="00355E5A" w:rsidRDefault="003C4050">
      <w:pPr>
        <w:spacing w:after="300" w:line="360" w:lineRule="auto"/>
        <w:jc w:val="center"/>
      </w:pPr>
      <w:r>
        <w:t>A research thesis report</w:t>
      </w:r>
    </w:p>
    <w:p w14:paraId="1EFAE407" w14:textId="77777777" w:rsidR="00355E5A" w:rsidRDefault="003C4050">
      <w:pPr>
        <w:spacing w:after="300" w:line="360" w:lineRule="auto"/>
        <w:jc w:val="center"/>
      </w:pPr>
      <w:r>
        <w:t>Master of Science in Water Engineering and Management</w:t>
      </w:r>
    </w:p>
    <w:p w14:paraId="1A0AAD92" w14:textId="77777777" w:rsidR="00355E5A" w:rsidRDefault="003C4050">
      <w:pPr>
        <w:spacing w:after="300" w:line="360" w:lineRule="auto"/>
        <w:jc w:val="center"/>
      </w:pPr>
      <w:r>
        <w:t>Advisor Dr. Natthachet Tangdamrongsub</w:t>
      </w:r>
    </w:p>
    <w:p w14:paraId="26B18964" w14:textId="77777777" w:rsidR="00355E5A" w:rsidRDefault="003C4050">
      <w:pPr>
        <w:spacing w:after="300" w:line="360" w:lineRule="auto"/>
        <w:jc w:val="center"/>
      </w:pPr>
      <w:r>
        <w:t>Asian Institute of Technology</w:t>
      </w:r>
    </w:p>
    <w:p w14:paraId="03F08285" w14:textId="77777777" w:rsidR="00355E5A" w:rsidRDefault="003C4050">
      <w:pPr>
        <w:spacing w:after="300" w:line="360" w:lineRule="auto"/>
        <w:jc w:val="center"/>
      </w:pPr>
      <w:r>
        <w:t>Thailand</w:t>
      </w:r>
    </w:p>
    <w:p w14:paraId="3CCBDCD7" w14:textId="77777777" w:rsidR="00355E5A" w:rsidRDefault="003C4050">
      <w:pPr>
        <w:spacing w:after="300" w:line="360" w:lineRule="auto"/>
        <w:jc w:val="center"/>
      </w:pPr>
      <w:r>
        <w:t>October 2026</w:t>
      </w:r>
    </w:p>
    <w:p w14:paraId="73E40A9B" w14:textId="77777777" w:rsidR="00355E5A" w:rsidRDefault="003C4050">
      <w:pPr>
        <w:keepNext/>
        <w:pageBreakBefore/>
        <w:spacing w:after="160"/>
      </w:pPr>
      <w:r>
        <w:rPr>
          <w:b/>
        </w:rPr>
        <w:lastRenderedPageBreak/>
        <w:t>ABSTRACT</w:t>
      </w:r>
    </w:p>
    <w:p w14:paraId="0E77C8BC" w14:textId="77777777" w:rsidR="00355E5A" w:rsidRDefault="003C4050">
      <w:pPr>
        <w:spacing w:after="100" w:line="360" w:lineRule="auto"/>
        <w:jc w:val="both"/>
      </w:pPr>
      <w:r>
        <w:t xml:space="preserve">Separating water-storage decline into climatic and human components requires more than a high prediction score. This study assessed terrestrial and groundwater storage anomalies (TWSA and GWSA) across Thailand's 22 principal </w:t>
      </w:r>
      <w:r>
        <w:t xml:space="preserve">basins using documented CSR RL06.3 mascons, a full-compartment groundwater balance, paired naturalized and historical-human WaterGAP simulations and 5,484 observed aggregates from 511 wells. The analysis combined seasonal Sen and Mann–Kendall methods with </w:t>
      </w:r>
      <w:r>
        <w:t>common-support product comparisons, climate-memory ablations, independent-precipitation forcing tests, additive trend uncertainty and station-panel resampling. National CSR-based TWSA declined by 7.51 mm/year through September 2024 and GWSA by 6.84 mm/year</w:t>
      </w:r>
      <w:r>
        <w:t xml:space="preserve"> through September 2023. The contrasting COST-G/G3P chain retained a national negative direction but showed weak basin-ranking agreement: Spearman coefficients were 0.138 for TWSA and 0.027 for GWSA. Climate memory raised national held-out anomaly NSE from</w:t>
      </w:r>
      <w:r>
        <w:t xml:space="preserve"> 0.283 to 0.890 for TWSA and from 0.039 to 0.723 for GWSA relative to current-weather Ridge models. Replacing native precipitation with CHIRPS reduced anomaly skill, exposing forcing dependence. The exact residual decomposition retained both the modeled di</w:t>
      </w:r>
      <w:r>
        <w:t>rect-human perturbation and observation–historical-model discrepancy. The discrepancy-magnitude diagnostics were 0.938 and 0.991; these are descriptive indices, not causal human fractions. Longest-overlap residual–head correlations were 0.127 and 0.037, wi</w:t>
      </w:r>
      <w:r>
        <w:t>th broad station-bootstrap intervals. A strict balanced 2013–2022 panel gave groundwater correlation close to zero over eight usable storage years. The study demonstrates robust broad decline alongside unstable local rankings and unresolved human attributi</w:t>
      </w:r>
      <w:r>
        <w:t>on. Its proposed contribution is an auditable credibility assessment linking processed gravity support, climate reconstruction and observation-network uncertainty, released with reproducible code and decision-support outputs.</w:t>
      </w:r>
    </w:p>
    <w:p w14:paraId="245C817B" w14:textId="77777777" w:rsidR="00355E5A" w:rsidRDefault="003C4050">
      <w:pPr>
        <w:keepNext/>
        <w:pageBreakBefore/>
        <w:spacing w:after="160"/>
      </w:pPr>
      <w:r>
        <w:rPr>
          <w:b/>
        </w:rPr>
        <w:lastRenderedPageBreak/>
        <w:t>CONTENTS</w:t>
      </w:r>
    </w:p>
    <w:p w14:paraId="14B9CD0C" w14:textId="267E495F" w:rsidR="003C4050" w:rsidRPr="003C4050" w:rsidRDefault="003C4050" w:rsidP="003C4050">
      <w:pPr>
        <w:pStyle w:val="TOC1"/>
        <w:spacing w:after="20" w:line="240" w:lineRule="auto"/>
        <w:rPr>
          <w:rFonts w:eastAsiaTheme="minorEastAsia"/>
          <w:b w:val="0"/>
          <w:bCs w:val="0"/>
          <w:noProof/>
          <w:color w:val="auto"/>
          <w:sz w:val="21"/>
          <w:szCs w:val="22"/>
          <w:lang w:bidi="ar-SA"/>
        </w:rPr>
      </w:pPr>
      <w:r w:rsidRPr="003C4050">
        <w:rPr>
          <w:sz w:val="21"/>
        </w:rPr>
        <w:fldChar w:fldCharType="begin"/>
      </w:r>
      <w:r w:rsidRPr="003C4050">
        <w:rPr>
          <w:sz w:val="21"/>
        </w:rPr>
        <w:instrText>TOC \o "1-2" \h \z</w:instrText>
      </w:r>
      <w:r w:rsidRPr="003C4050">
        <w:rPr>
          <w:sz w:val="21"/>
        </w:rPr>
        <w:fldChar w:fldCharType="separate"/>
      </w:r>
      <w:hyperlink w:anchor="_Toc243829203" w:history="1">
        <w:r w:rsidRPr="003C4050">
          <w:rPr>
            <w:rStyle w:val="Hyperlink"/>
            <w:noProof/>
            <w:sz w:val="21"/>
          </w:rPr>
          <w:t>Water Storage Trends and Climate Attribution Across River Basins in Thailand</w:t>
        </w:r>
        <w:r w:rsidRPr="003C4050">
          <w:rPr>
            <w:noProof/>
            <w:webHidden/>
            <w:sz w:val="21"/>
          </w:rPr>
          <w:tab/>
        </w:r>
        <w:r w:rsidRPr="003C4050">
          <w:rPr>
            <w:noProof/>
            <w:webHidden/>
            <w:sz w:val="21"/>
          </w:rPr>
          <w:fldChar w:fldCharType="begin"/>
        </w:r>
        <w:r w:rsidRPr="003C4050">
          <w:rPr>
            <w:noProof/>
            <w:webHidden/>
            <w:sz w:val="21"/>
          </w:rPr>
          <w:instrText xml:space="preserve"> PAGEREF _Toc243829203 \h </w:instrText>
        </w:r>
        <w:r w:rsidRPr="003C4050">
          <w:rPr>
            <w:noProof/>
            <w:webHidden/>
            <w:sz w:val="21"/>
          </w:rPr>
        </w:r>
        <w:r w:rsidRPr="003C4050">
          <w:rPr>
            <w:noProof/>
            <w:webHidden/>
            <w:sz w:val="21"/>
          </w:rPr>
          <w:fldChar w:fldCharType="separate"/>
        </w:r>
        <w:r>
          <w:rPr>
            <w:noProof/>
            <w:webHidden/>
            <w:sz w:val="21"/>
          </w:rPr>
          <w:t>i</w:t>
        </w:r>
        <w:r w:rsidRPr="003C4050">
          <w:rPr>
            <w:noProof/>
            <w:webHidden/>
            <w:sz w:val="21"/>
          </w:rPr>
          <w:fldChar w:fldCharType="end"/>
        </w:r>
      </w:hyperlink>
    </w:p>
    <w:p w14:paraId="36FBF012" w14:textId="62591EDC" w:rsidR="003C4050" w:rsidRPr="003C4050" w:rsidRDefault="003C4050" w:rsidP="003C4050">
      <w:pPr>
        <w:pStyle w:val="TOC1"/>
        <w:spacing w:after="20" w:line="240" w:lineRule="auto"/>
        <w:rPr>
          <w:rFonts w:eastAsiaTheme="minorEastAsia"/>
          <w:b w:val="0"/>
          <w:bCs w:val="0"/>
          <w:noProof/>
          <w:color w:val="auto"/>
          <w:sz w:val="21"/>
          <w:szCs w:val="22"/>
          <w:lang w:bidi="ar-SA"/>
        </w:rPr>
      </w:pPr>
      <w:hyperlink w:anchor="_Toc243829204" w:history="1">
        <w:r w:rsidRPr="003C4050">
          <w:rPr>
            <w:rStyle w:val="Hyperlink"/>
            <w:noProof/>
            <w:sz w:val="21"/>
          </w:rPr>
          <w:t>CHAPTER 1 INTRODUCTION</w:t>
        </w:r>
        <w:r w:rsidRPr="003C4050">
          <w:rPr>
            <w:noProof/>
            <w:webHidden/>
            <w:sz w:val="21"/>
          </w:rPr>
          <w:tab/>
        </w:r>
        <w:r w:rsidRPr="003C4050">
          <w:rPr>
            <w:noProof/>
            <w:webHidden/>
            <w:sz w:val="21"/>
          </w:rPr>
          <w:fldChar w:fldCharType="begin"/>
        </w:r>
        <w:r w:rsidRPr="003C4050">
          <w:rPr>
            <w:noProof/>
            <w:webHidden/>
            <w:sz w:val="21"/>
          </w:rPr>
          <w:instrText xml:space="preserve"> PAGEREF _Toc243829204 \h </w:instrText>
        </w:r>
        <w:r w:rsidRPr="003C4050">
          <w:rPr>
            <w:noProof/>
            <w:webHidden/>
            <w:sz w:val="21"/>
          </w:rPr>
        </w:r>
        <w:r w:rsidRPr="003C4050">
          <w:rPr>
            <w:noProof/>
            <w:webHidden/>
            <w:sz w:val="21"/>
          </w:rPr>
          <w:fldChar w:fldCharType="separate"/>
        </w:r>
        <w:r>
          <w:rPr>
            <w:noProof/>
            <w:webHidden/>
            <w:sz w:val="21"/>
          </w:rPr>
          <w:t>1</w:t>
        </w:r>
        <w:r w:rsidRPr="003C4050">
          <w:rPr>
            <w:noProof/>
            <w:webHidden/>
            <w:sz w:val="21"/>
          </w:rPr>
          <w:fldChar w:fldCharType="end"/>
        </w:r>
      </w:hyperlink>
    </w:p>
    <w:p w14:paraId="7A35AA8B" w14:textId="319C6FD8" w:rsidR="003C4050" w:rsidRPr="003C4050" w:rsidRDefault="003C4050" w:rsidP="003C4050">
      <w:pPr>
        <w:pStyle w:val="TOC2"/>
        <w:spacing w:after="20" w:line="240" w:lineRule="auto"/>
        <w:rPr>
          <w:rFonts w:eastAsiaTheme="minorEastAsia"/>
          <w:noProof/>
          <w:color w:val="auto"/>
          <w:sz w:val="21"/>
          <w:szCs w:val="22"/>
          <w:lang w:bidi="ar-SA"/>
        </w:rPr>
      </w:pPr>
      <w:hyperlink w:anchor="_Toc243829205" w:history="1">
        <w:r w:rsidRPr="003C4050">
          <w:rPr>
            <w:rStyle w:val="Hyperlink"/>
            <w:noProof/>
            <w:sz w:val="21"/>
          </w:rPr>
          <w:t>Why climate and human effects are difficult to separate</w:t>
        </w:r>
        <w:r w:rsidRPr="003C4050">
          <w:rPr>
            <w:noProof/>
            <w:webHidden/>
            <w:sz w:val="21"/>
          </w:rPr>
          <w:tab/>
        </w:r>
        <w:r w:rsidRPr="003C4050">
          <w:rPr>
            <w:noProof/>
            <w:webHidden/>
            <w:sz w:val="21"/>
          </w:rPr>
          <w:fldChar w:fldCharType="begin"/>
        </w:r>
        <w:r w:rsidRPr="003C4050">
          <w:rPr>
            <w:noProof/>
            <w:webHidden/>
            <w:sz w:val="21"/>
          </w:rPr>
          <w:instrText xml:space="preserve"> PAGEREF _Toc243829205 \h </w:instrText>
        </w:r>
        <w:r w:rsidRPr="003C4050">
          <w:rPr>
            <w:noProof/>
            <w:webHidden/>
            <w:sz w:val="21"/>
          </w:rPr>
        </w:r>
        <w:r w:rsidRPr="003C4050">
          <w:rPr>
            <w:noProof/>
            <w:webHidden/>
            <w:sz w:val="21"/>
          </w:rPr>
          <w:fldChar w:fldCharType="separate"/>
        </w:r>
        <w:r>
          <w:rPr>
            <w:noProof/>
            <w:webHidden/>
            <w:sz w:val="21"/>
          </w:rPr>
          <w:t>2</w:t>
        </w:r>
        <w:r w:rsidRPr="003C4050">
          <w:rPr>
            <w:noProof/>
            <w:webHidden/>
            <w:sz w:val="21"/>
          </w:rPr>
          <w:fldChar w:fldCharType="end"/>
        </w:r>
      </w:hyperlink>
    </w:p>
    <w:p w14:paraId="77DC85B0" w14:textId="70352E8E" w:rsidR="003C4050" w:rsidRPr="003C4050" w:rsidRDefault="003C4050" w:rsidP="003C4050">
      <w:pPr>
        <w:pStyle w:val="TOC2"/>
        <w:spacing w:after="20" w:line="240" w:lineRule="auto"/>
        <w:rPr>
          <w:rFonts w:eastAsiaTheme="minorEastAsia"/>
          <w:noProof/>
          <w:color w:val="auto"/>
          <w:sz w:val="21"/>
          <w:szCs w:val="22"/>
          <w:lang w:bidi="ar-SA"/>
        </w:rPr>
      </w:pPr>
      <w:hyperlink w:anchor="_Toc243829206" w:history="1">
        <w:r w:rsidRPr="003C4050">
          <w:rPr>
            <w:rStyle w:val="Hyperlink"/>
            <w:noProof/>
            <w:sz w:val="21"/>
          </w:rPr>
          <w:t>Objectives and proposed contribution</w:t>
        </w:r>
        <w:r w:rsidRPr="003C4050">
          <w:rPr>
            <w:noProof/>
            <w:webHidden/>
            <w:sz w:val="21"/>
          </w:rPr>
          <w:tab/>
        </w:r>
        <w:r w:rsidRPr="003C4050">
          <w:rPr>
            <w:noProof/>
            <w:webHidden/>
            <w:sz w:val="21"/>
          </w:rPr>
          <w:fldChar w:fldCharType="begin"/>
        </w:r>
        <w:r w:rsidRPr="003C4050">
          <w:rPr>
            <w:noProof/>
            <w:webHidden/>
            <w:sz w:val="21"/>
          </w:rPr>
          <w:instrText xml:space="preserve"> PAGEREF _Toc243829206 \h </w:instrText>
        </w:r>
        <w:r w:rsidRPr="003C4050">
          <w:rPr>
            <w:noProof/>
            <w:webHidden/>
            <w:sz w:val="21"/>
          </w:rPr>
        </w:r>
        <w:r w:rsidRPr="003C4050">
          <w:rPr>
            <w:noProof/>
            <w:webHidden/>
            <w:sz w:val="21"/>
          </w:rPr>
          <w:fldChar w:fldCharType="separate"/>
        </w:r>
        <w:r>
          <w:rPr>
            <w:noProof/>
            <w:webHidden/>
            <w:sz w:val="21"/>
          </w:rPr>
          <w:t>3</w:t>
        </w:r>
        <w:r w:rsidRPr="003C4050">
          <w:rPr>
            <w:noProof/>
            <w:webHidden/>
            <w:sz w:val="21"/>
          </w:rPr>
          <w:fldChar w:fldCharType="end"/>
        </w:r>
      </w:hyperlink>
    </w:p>
    <w:p w14:paraId="6201A00E" w14:textId="3936BEDB" w:rsidR="003C4050" w:rsidRPr="003C4050" w:rsidRDefault="003C4050" w:rsidP="003C4050">
      <w:pPr>
        <w:pStyle w:val="TOC1"/>
        <w:spacing w:after="20" w:line="240" w:lineRule="auto"/>
        <w:rPr>
          <w:rFonts w:eastAsiaTheme="minorEastAsia"/>
          <w:b w:val="0"/>
          <w:bCs w:val="0"/>
          <w:noProof/>
          <w:color w:val="auto"/>
          <w:sz w:val="21"/>
          <w:szCs w:val="22"/>
          <w:lang w:bidi="ar-SA"/>
        </w:rPr>
      </w:pPr>
      <w:hyperlink w:anchor="_Toc243829207" w:history="1">
        <w:r w:rsidRPr="003C4050">
          <w:rPr>
            <w:rStyle w:val="Hyperlink"/>
            <w:noProof/>
            <w:sz w:val="21"/>
          </w:rPr>
          <w:t>CHAPTER 2 LITERATURE REVIEW</w:t>
        </w:r>
        <w:r w:rsidRPr="003C4050">
          <w:rPr>
            <w:noProof/>
            <w:webHidden/>
            <w:sz w:val="21"/>
          </w:rPr>
          <w:tab/>
        </w:r>
        <w:r w:rsidRPr="003C4050">
          <w:rPr>
            <w:noProof/>
            <w:webHidden/>
            <w:sz w:val="21"/>
          </w:rPr>
          <w:fldChar w:fldCharType="begin"/>
        </w:r>
        <w:r w:rsidRPr="003C4050">
          <w:rPr>
            <w:noProof/>
            <w:webHidden/>
            <w:sz w:val="21"/>
          </w:rPr>
          <w:instrText xml:space="preserve"> PAGEREF _Toc243829207 \h </w:instrText>
        </w:r>
        <w:r w:rsidRPr="003C4050">
          <w:rPr>
            <w:noProof/>
            <w:webHidden/>
            <w:sz w:val="21"/>
          </w:rPr>
        </w:r>
        <w:r w:rsidRPr="003C4050">
          <w:rPr>
            <w:noProof/>
            <w:webHidden/>
            <w:sz w:val="21"/>
          </w:rPr>
          <w:fldChar w:fldCharType="separate"/>
        </w:r>
        <w:r>
          <w:rPr>
            <w:noProof/>
            <w:webHidden/>
            <w:sz w:val="21"/>
          </w:rPr>
          <w:t>5</w:t>
        </w:r>
        <w:r w:rsidRPr="003C4050">
          <w:rPr>
            <w:noProof/>
            <w:webHidden/>
            <w:sz w:val="21"/>
          </w:rPr>
          <w:fldChar w:fldCharType="end"/>
        </w:r>
      </w:hyperlink>
    </w:p>
    <w:p w14:paraId="7366214F" w14:textId="593F9445" w:rsidR="003C4050" w:rsidRPr="003C4050" w:rsidRDefault="003C4050" w:rsidP="003C4050">
      <w:pPr>
        <w:pStyle w:val="TOC2"/>
        <w:spacing w:after="20" w:line="240" w:lineRule="auto"/>
        <w:rPr>
          <w:rFonts w:eastAsiaTheme="minorEastAsia"/>
          <w:noProof/>
          <w:color w:val="auto"/>
          <w:sz w:val="21"/>
          <w:szCs w:val="22"/>
          <w:lang w:bidi="ar-SA"/>
        </w:rPr>
      </w:pPr>
      <w:hyperlink w:anchor="_Toc243829208" w:history="1">
        <w:r w:rsidRPr="003C4050">
          <w:rPr>
            <w:rStyle w:val="Hyperlink"/>
            <w:noProof/>
            <w:sz w:val="21"/>
          </w:rPr>
          <w:t>Groundwater isolation and compartment compatibility</w:t>
        </w:r>
        <w:r w:rsidRPr="003C4050">
          <w:rPr>
            <w:noProof/>
            <w:webHidden/>
            <w:sz w:val="21"/>
          </w:rPr>
          <w:tab/>
        </w:r>
        <w:r w:rsidRPr="003C4050">
          <w:rPr>
            <w:noProof/>
            <w:webHidden/>
            <w:sz w:val="21"/>
          </w:rPr>
          <w:fldChar w:fldCharType="begin"/>
        </w:r>
        <w:r w:rsidRPr="003C4050">
          <w:rPr>
            <w:noProof/>
            <w:webHidden/>
            <w:sz w:val="21"/>
          </w:rPr>
          <w:instrText xml:space="preserve"> PAGEREF _Toc243829208 \h </w:instrText>
        </w:r>
        <w:r w:rsidRPr="003C4050">
          <w:rPr>
            <w:noProof/>
            <w:webHidden/>
            <w:sz w:val="21"/>
          </w:rPr>
        </w:r>
        <w:r w:rsidRPr="003C4050">
          <w:rPr>
            <w:noProof/>
            <w:webHidden/>
            <w:sz w:val="21"/>
          </w:rPr>
          <w:fldChar w:fldCharType="separate"/>
        </w:r>
        <w:r>
          <w:rPr>
            <w:noProof/>
            <w:webHidden/>
            <w:sz w:val="21"/>
          </w:rPr>
          <w:t>6</w:t>
        </w:r>
        <w:r w:rsidRPr="003C4050">
          <w:rPr>
            <w:noProof/>
            <w:webHidden/>
            <w:sz w:val="21"/>
          </w:rPr>
          <w:fldChar w:fldCharType="end"/>
        </w:r>
      </w:hyperlink>
    </w:p>
    <w:p w14:paraId="3018C6F1" w14:textId="5543FEEC" w:rsidR="003C4050" w:rsidRPr="003C4050" w:rsidRDefault="003C4050" w:rsidP="003C4050">
      <w:pPr>
        <w:pStyle w:val="TOC2"/>
        <w:spacing w:after="20" w:line="240" w:lineRule="auto"/>
        <w:rPr>
          <w:rFonts w:eastAsiaTheme="minorEastAsia"/>
          <w:noProof/>
          <w:color w:val="auto"/>
          <w:sz w:val="21"/>
          <w:szCs w:val="22"/>
          <w:lang w:bidi="ar-SA"/>
        </w:rPr>
      </w:pPr>
      <w:hyperlink w:anchor="_Toc243829209" w:history="1">
        <w:r w:rsidRPr="003C4050">
          <w:rPr>
            <w:rStyle w:val="Hyperlink"/>
            <w:noProof/>
            <w:sz w:val="21"/>
          </w:rPr>
          <w:t>Naturalized models and the meaning of attribution</w:t>
        </w:r>
        <w:r w:rsidRPr="003C4050">
          <w:rPr>
            <w:noProof/>
            <w:webHidden/>
            <w:sz w:val="21"/>
          </w:rPr>
          <w:tab/>
        </w:r>
        <w:r w:rsidRPr="003C4050">
          <w:rPr>
            <w:noProof/>
            <w:webHidden/>
            <w:sz w:val="21"/>
          </w:rPr>
          <w:fldChar w:fldCharType="begin"/>
        </w:r>
        <w:r w:rsidRPr="003C4050">
          <w:rPr>
            <w:noProof/>
            <w:webHidden/>
            <w:sz w:val="21"/>
          </w:rPr>
          <w:instrText xml:space="preserve"> PAGEREF _Toc243829209 \h </w:instrText>
        </w:r>
        <w:r w:rsidRPr="003C4050">
          <w:rPr>
            <w:noProof/>
            <w:webHidden/>
            <w:sz w:val="21"/>
          </w:rPr>
        </w:r>
        <w:r w:rsidRPr="003C4050">
          <w:rPr>
            <w:noProof/>
            <w:webHidden/>
            <w:sz w:val="21"/>
          </w:rPr>
          <w:fldChar w:fldCharType="separate"/>
        </w:r>
        <w:r>
          <w:rPr>
            <w:noProof/>
            <w:webHidden/>
            <w:sz w:val="21"/>
          </w:rPr>
          <w:t>7</w:t>
        </w:r>
        <w:r w:rsidRPr="003C4050">
          <w:rPr>
            <w:noProof/>
            <w:webHidden/>
            <w:sz w:val="21"/>
          </w:rPr>
          <w:fldChar w:fldCharType="end"/>
        </w:r>
      </w:hyperlink>
    </w:p>
    <w:p w14:paraId="4194CD1D" w14:textId="4DD29E61" w:rsidR="003C4050" w:rsidRPr="003C4050" w:rsidRDefault="003C4050" w:rsidP="003C4050">
      <w:pPr>
        <w:pStyle w:val="TOC2"/>
        <w:spacing w:after="20" w:line="240" w:lineRule="auto"/>
        <w:rPr>
          <w:rFonts w:eastAsiaTheme="minorEastAsia"/>
          <w:noProof/>
          <w:color w:val="auto"/>
          <w:sz w:val="21"/>
          <w:szCs w:val="22"/>
          <w:lang w:bidi="ar-SA"/>
        </w:rPr>
      </w:pPr>
      <w:hyperlink w:anchor="_Toc243829210" w:history="1">
        <w:r w:rsidRPr="003C4050">
          <w:rPr>
            <w:rStyle w:val="Hyperlink"/>
            <w:noProof/>
            <w:sz w:val="21"/>
          </w:rPr>
          <w:t>Model skill beyond a seasonal cycle</w:t>
        </w:r>
        <w:r w:rsidRPr="003C4050">
          <w:rPr>
            <w:noProof/>
            <w:webHidden/>
            <w:sz w:val="21"/>
          </w:rPr>
          <w:tab/>
        </w:r>
        <w:r w:rsidRPr="003C4050">
          <w:rPr>
            <w:noProof/>
            <w:webHidden/>
            <w:sz w:val="21"/>
          </w:rPr>
          <w:fldChar w:fldCharType="begin"/>
        </w:r>
        <w:r w:rsidRPr="003C4050">
          <w:rPr>
            <w:noProof/>
            <w:webHidden/>
            <w:sz w:val="21"/>
          </w:rPr>
          <w:instrText xml:space="preserve"> PAGEREF _Toc243829210 \h </w:instrText>
        </w:r>
        <w:r w:rsidRPr="003C4050">
          <w:rPr>
            <w:noProof/>
            <w:webHidden/>
            <w:sz w:val="21"/>
          </w:rPr>
        </w:r>
        <w:r w:rsidRPr="003C4050">
          <w:rPr>
            <w:noProof/>
            <w:webHidden/>
            <w:sz w:val="21"/>
          </w:rPr>
          <w:fldChar w:fldCharType="separate"/>
        </w:r>
        <w:r>
          <w:rPr>
            <w:noProof/>
            <w:webHidden/>
            <w:sz w:val="21"/>
          </w:rPr>
          <w:t>8</w:t>
        </w:r>
        <w:r w:rsidRPr="003C4050">
          <w:rPr>
            <w:noProof/>
            <w:webHidden/>
            <w:sz w:val="21"/>
          </w:rPr>
          <w:fldChar w:fldCharType="end"/>
        </w:r>
      </w:hyperlink>
    </w:p>
    <w:p w14:paraId="048DA8E8" w14:textId="01ACFF70" w:rsidR="003C4050" w:rsidRPr="003C4050" w:rsidRDefault="003C4050" w:rsidP="003C4050">
      <w:pPr>
        <w:pStyle w:val="TOC2"/>
        <w:spacing w:after="20" w:line="240" w:lineRule="auto"/>
        <w:rPr>
          <w:rFonts w:eastAsiaTheme="minorEastAsia"/>
          <w:noProof/>
          <w:color w:val="auto"/>
          <w:sz w:val="21"/>
          <w:szCs w:val="22"/>
          <w:lang w:bidi="ar-SA"/>
        </w:rPr>
      </w:pPr>
      <w:hyperlink w:anchor="_Toc243829211" w:history="1">
        <w:r w:rsidRPr="003C4050">
          <w:rPr>
            <w:rStyle w:val="Hyperlink"/>
            <w:noProof/>
            <w:sz w:val="21"/>
          </w:rPr>
          <w:t>Groundwater observations and network effects</w:t>
        </w:r>
        <w:r w:rsidRPr="003C4050">
          <w:rPr>
            <w:noProof/>
            <w:webHidden/>
            <w:sz w:val="21"/>
          </w:rPr>
          <w:tab/>
        </w:r>
        <w:r w:rsidRPr="003C4050">
          <w:rPr>
            <w:noProof/>
            <w:webHidden/>
            <w:sz w:val="21"/>
          </w:rPr>
          <w:fldChar w:fldCharType="begin"/>
        </w:r>
        <w:r w:rsidRPr="003C4050">
          <w:rPr>
            <w:noProof/>
            <w:webHidden/>
            <w:sz w:val="21"/>
          </w:rPr>
          <w:instrText xml:space="preserve"> PAGEREF _Toc243829211 \h </w:instrText>
        </w:r>
        <w:r w:rsidRPr="003C4050">
          <w:rPr>
            <w:noProof/>
            <w:webHidden/>
            <w:sz w:val="21"/>
          </w:rPr>
        </w:r>
        <w:r w:rsidRPr="003C4050">
          <w:rPr>
            <w:noProof/>
            <w:webHidden/>
            <w:sz w:val="21"/>
          </w:rPr>
          <w:fldChar w:fldCharType="separate"/>
        </w:r>
        <w:r>
          <w:rPr>
            <w:noProof/>
            <w:webHidden/>
            <w:sz w:val="21"/>
          </w:rPr>
          <w:t>9</w:t>
        </w:r>
        <w:r w:rsidRPr="003C4050">
          <w:rPr>
            <w:noProof/>
            <w:webHidden/>
            <w:sz w:val="21"/>
          </w:rPr>
          <w:fldChar w:fldCharType="end"/>
        </w:r>
      </w:hyperlink>
    </w:p>
    <w:p w14:paraId="499577D0" w14:textId="20FD4C47" w:rsidR="003C4050" w:rsidRPr="003C4050" w:rsidRDefault="003C4050" w:rsidP="003C4050">
      <w:pPr>
        <w:pStyle w:val="TOC2"/>
        <w:spacing w:after="20" w:line="240" w:lineRule="auto"/>
        <w:rPr>
          <w:rFonts w:eastAsiaTheme="minorEastAsia"/>
          <w:noProof/>
          <w:color w:val="auto"/>
          <w:sz w:val="21"/>
          <w:szCs w:val="22"/>
          <w:lang w:bidi="ar-SA"/>
        </w:rPr>
      </w:pPr>
      <w:hyperlink w:anchor="_Toc243829212" w:history="1">
        <w:r w:rsidRPr="003C4050">
          <w:rPr>
            <w:rStyle w:val="Hyperlink"/>
            <w:noProof/>
            <w:sz w:val="21"/>
          </w:rPr>
          <w:t>Thai studies and the remaining research gap</w:t>
        </w:r>
        <w:r w:rsidRPr="003C4050">
          <w:rPr>
            <w:noProof/>
            <w:webHidden/>
            <w:sz w:val="21"/>
          </w:rPr>
          <w:tab/>
        </w:r>
        <w:r w:rsidRPr="003C4050">
          <w:rPr>
            <w:noProof/>
            <w:webHidden/>
            <w:sz w:val="21"/>
          </w:rPr>
          <w:fldChar w:fldCharType="begin"/>
        </w:r>
        <w:r w:rsidRPr="003C4050">
          <w:rPr>
            <w:noProof/>
            <w:webHidden/>
            <w:sz w:val="21"/>
          </w:rPr>
          <w:instrText xml:space="preserve"> PAGEREF _Toc243829212 \h </w:instrText>
        </w:r>
        <w:r w:rsidRPr="003C4050">
          <w:rPr>
            <w:noProof/>
            <w:webHidden/>
            <w:sz w:val="21"/>
          </w:rPr>
        </w:r>
        <w:r w:rsidRPr="003C4050">
          <w:rPr>
            <w:noProof/>
            <w:webHidden/>
            <w:sz w:val="21"/>
          </w:rPr>
          <w:fldChar w:fldCharType="separate"/>
        </w:r>
        <w:r>
          <w:rPr>
            <w:noProof/>
            <w:webHidden/>
            <w:sz w:val="21"/>
          </w:rPr>
          <w:t>10</w:t>
        </w:r>
        <w:r w:rsidRPr="003C4050">
          <w:rPr>
            <w:noProof/>
            <w:webHidden/>
            <w:sz w:val="21"/>
          </w:rPr>
          <w:fldChar w:fldCharType="end"/>
        </w:r>
      </w:hyperlink>
    </w:p>
    <w:p w14:paraId="062254DC" w14:textId="06F6BE8B" w:rsidR="003C4050" w:rsidRPr="003C4050" w:rsidRDefault="003C4050" w:rsidP="003C4050">
      <w:pPr>
        <w:pStyle w:val="TOC1"/>
        <w:spacing w:after="20" w:line="240" w:lineRule="auto"/>
        <w:rPr>
          <w:rFonts w:eastAsiaTheme="minorEastAsia"/>
          <w:b w:val="0"/>
          <w:bCs w:val="0"/>
          <w:noProof/>
          <w:color w:val="auto"/>
          <w:sz w:val="21"/>
          <w:szCs w:val="22"/>
          <w:lang w:bidi="ar-SA"/>
        </w:rPr>
      </w:pPr>
      <w:hyperlink w:anchor="_Toc243829213" w:history="1">
        <w:r w:rsidRPr="003C4050">
          <w:rPr>
            <w:rStyle w:val="Hyperlink"/>
            <w:noProof/>
            <w:sz w:val="21"/>
          </w:rPr>
          <w:t>CHAPTER 3 STUDY AREA AND DATA</w:t>
        </w:r>
        <w:r w:rsidRPr="003C4050">
          <w:rPr>
            <w:noProof/>
            <w:webHidden/>
            <w:sz w:val="21"/>
          </w:rPr>
          <w:tab/>
        </w:r>
        <w:r w:rsidRPr="003C4050">
          <w:rPr>
            <w:noProof/>
            <w:webHidden/>
            <w:sz w:val="21"/>
          </w:rPr>
          <w:fldChar w:fldCharType="begin"/>
        </w:r>
        <w:r w:rsidRPr="003C4050">
          <w:rPr>
            <w:noProof/>
            <w:webHidden/>
            <w:sz w:val="21"/>
          </w:rPr>
          <w:instrText xml:space="preserve"> PAGEREF _Toc243829213 \h </w:instrText>
        </w:r>
        <w:r w:rsidRPr="003C4050">
          <w:rPr>
            <w:noProof/>
            <w:webHidden/>
            <w:sz w:val="21"/>
          </w:rPr>
        </w:r>
        <w:r w:rsidRPr="003C4050">
          <w:rPr>
            <w:noProof/>
            <w:webHidden/>
            <w:sz w:val="21"/>
          </w:rPr>
          <w:fldChar w:fldCharType="separate"/>
        </w:r>
        <w:r>
          <w:rPr>
            <w:noProof/>
            <w:webHidden/>
            <w:sz w:val="21"/>
          </w:rPr>
          <w:t>12</w:t>
        </w:r>
        <w:r w:rsidRPr="003C4050">
          <w:rPr>
            <w:noProof/>
            <w:webHidden/>
            <w:sz w:val="21"/>
          </w:rPr>
          <w:fldChar w:fldCharType="end"/>
        </w:r>
      </w:hyperlink>
    </w:p>
    <w:p w14:paraId="6E1E3DC8" w14:textId="52B38EEA" w:rsidR="003C4050" w:rsidRPr="003C4050" w:rsidRDefault="003C4050" w:rsidP="003C4050">
      <w:pPr>
        <w:pStyle w:val="TOC2"/>
        <w:spacing w:after="20" w:line="240" w:lineRule="auto"/>
        <w:rPr>
          <w:rFonts w:eastAsiaTheme="minorEastAsia"/>
          <w:noProof/>
          <w:color w:val="auto"/>
          <w:sz w:val="21"/>
          <w:szCs w:val="22"/>
          <w:lang w:bidi="ar-SA"/>
        </w:rPr>
      </w:pPr>
      <w:hyperlink w:anchor="_Toc243829214" w:history="1">
        <w:r w:rsidRPr="003C4050">
          <w:rPr>
            <w:rStyle w:val="Hyperlink"/>
            <w:noProof/>
            <w:sz w:val="21"/>
          </w:rPr>
          <w:t>Input records and analysis periods</w:t>
        </w:r>
        <w:r w:rsidRPr="003C4050">
          <w:rPr>
            <w:noProof/>
            <w:webHidden/>
            <w:sz w:val="21"/>
          </w:rPr>
          <w:tab/>
        </w:r>
        <w:r w:rsidRPr="003C4050">
          <w:rPr>
            <w:noProof/>
            <w:webHidden/>
            <w:sz w:val="21"/>
          </w:rPr>
          <w:fldChar w:fldCharType="begin"/>
        </w:r>
        <w:r w:rsidRPr="003C4050">
          <w:rPr>
            <w:noProof/>
            <w:webHidden/>
            <w:sz w:val="21"/>
          </w:rPr>
          <w:instrText xml:space="preserve"> PAGEREF _Toc243829214 \h </w:instrText>
        </w:r>
        <w:r w:rsidRPr="003C4050">
          <w:rPr>
            <w:noProof/>
            <w:webHidden/>
            <w:sz w:val="21"/>
          </w:rPr>
        </w:r>
        <w:r w:rsidRPr="003C4050">
          <w:rPr>
            <w:noProof/>
            <w:webHidden/>
            <w:sz w:val="21"/>
          </w:rPr>
          <w:fldChar w:fldCharType="separate"/>
        </w:r>
        <w:r>
          <w:rPr>
            <w:noProof/>
            <w:webHidden/>
            <w:sz w:val="21"/>
          </w:rPr>
          <w:t>13</w:t>
        </w:r>
        <w:r w:rsidRPr="003C4050">
          <w:rPr>
            <w:noProof/>
            <w:webHidden/>
            <w:sz w:val="21"/>
          </w:rPr>
          <w:fldChar w:fldCharType="end"/>
        </w:r>
      </w:hyperlink>
    </w:p>
    <w:p w14:paraId="193514E6" w14:textId="0B919A72" w:rsidR="003C4050" w:rsidRPr="003C4050" w:rsidRDefault="003C4050" w:rsidP="003C4050">
      <w:pPr>
        <w:pStyle w:val="TOC2"/>
        <w:spacing w:after="20" w:line="240" w:lineRule="auto"/>
        <w:rPr>
          <w:rFonts w:eastAsiaTheme="minorEastAsia"/>
          <w:noProof/>
          <w:color w:val="auto"/>
          <w:sz w:val="21"/>
          <w:szCs w:val="22"/>
          <w:lang w:bidi="ar-SA"/>
        </w:rPr>
      </w:pPr>
      <w:hyperlink w:anchor="_Toc243829215" w:history="1">
        <w:r w:rsidRPr="003C4050">
          <w:rPr>
            <w:rStyle w:val="Hyperlink"/>
            <w:noProof/>
            <w:sz w:val="21"/>
          </w:rPr>
          <w:t>CSR processing and calendar audit</w:t>
        </w:r>
        <w:r w:rsidRPr="003C4050">
          <w:rPr>
            <w:noProof/>
            <w:webHidden/>
            <w:sz w:val="21"/>
          </w:rPr>
          <w:tab/>
        </w:r>
        <w:r w:rsidRPr="003C4050">
          <w:rPr>
            <w:noProof/>
            <w:webHidden/>
            <w:sz w:val="21"/>
          </w:rPr>
          <w:fldChar w:fldCharType="begin"/>
        </w:r>
        <w:r w:rsidRPr="003C4050">
          <w:rPr>
            <w:noProof/>
            <w:webHidden/>
            <w:sz w:val="21"/>
          </w:rPr>
          <w:instrText xml:space="preserve"> PAGEREF _Toc243829215 \h </w:instrText>
        </w:r>
        <w:r w:rsidRPr="003C4050">
          <w:rPr>
            <w:noProof/>
            <w:webHidden/>
            <w:sz w:val="21"/>
          </w:rPr>
        </w:r>
        <w:r w:rsidRPr="003C4050">
          <w:rPr>
            <w:noProof/>
            <w:webHidden/>
            <w:sz w:val="21"/>
          </w:rPr>
          <w:fldChar w:fldCharType="separate"/>
        </w:r>
        <w:r>
          <w:rPr>
            <w:noProof/>
            <w:webHidden/>
            <w:sz w:val="21"/>
          </w:rPr>
          <w:t>14</w:t>
        </w:r>
        <w:r w:rsidRPr="003C4050">
          <w:rPr>
            <w:noProof/>
            <w:webHidden/>
            <w:sz w:val="21"/>
          </w:rPr>
          <w:fldChar w:fldCharType="end"/>
        </w:r>
      </w:hyperlink>
    </w:p>
    <w:p w14:paraId="246F7D1E" w14:textId="58DA43D6" w:rsidR="003C4050" w:rsidRPr="003C4050" w:rsidRDefault="003C4050" w:rsidP="003C4050">
      <w:pPr>
        <w:pStyle w:val="TOC2"/>
        <w:spacing w:after="20" w:line="240" w:lineRule="auto"/>
        <w:rPr>
          <w:rFonts w:eastAsiaTheme="minorEastAsia"/>
          <w:noProof/>
          <w:color w:val="auto"/>
          <w:sz w:val="21"/>
          <w:szCs w:val="22"/>
          <w:lang w:bidi="ar-SA"/>
        </w:rPr>
      </w:pPr>
      <w:hyperlink w:anchor="_Toc243829216" w:history="1">
        <w:r w:rsidRPr="003C4050">
          <w:rPr>
            <w:rStyle w:val="Hyperlink"/>
            <w:noProof/>
            <w:sz w:val="21"/>
          </w:rPr>
          <w:t>Groundwater records and representativeness</w:t>
        </w:r>
        <w:r w:rsidRPr="003C4050">
          <w:rPr>
            <w:noProof/>
            <w:webHidden/>
            <w:sz w:val="21"/>
          </w:rPr>
          <w:tab/>
        </w:r>
        <w:r w:rsidRPr="003C4050">
          <w:rPr>
            <w:noProof/>
            <w:webHidden/>
            <w:sz w:val="21"/>
          </w:rPr>
          <w:fldChar w:fldCharType="begin"/>
        </w:r>
        <w:r w:rsidRPr="003C4050">
          <w:rPr>
            <w:noProof/>
            <w:webHidden/>
            <w:sz w:val="21"/>
          </w:rPr>
          <w:instrText xml:space="preserve"> PAGEREF _Toc243829216 \h </w:instrText>
        </w:r>
        <w:r w:rsidRPr="003C4050">
          <w:rPr>
            <w:noProof/>
            <w:webHidden/>
            <w:sz w:val="21"/>
          </w:rPr>
        </w:r>
        <w:r w:rsidRPr="003C4050">
          <w:rPr>
            <w:noProof/>
            <w:webHidden/>
            <w:sz w:val="21"/>
          </w:rPr>
          <w:fldChar w:fldCharType="separate"/>
        </w:r>
        <w:r>
          <w:rPr>
            <w:noProof/>
            <w:webHidden/>
            <w:sz w:val="21"/>
          </w:rPr>
          <w:t>17</w:t>
        </w:r>
        <w:r w:rsidRPr="003C4050">
          <w:rPr>
            <w:noProof/>
            <w:webHidden/>
            <w:sz w:val="21"/>
          </w:rPr>
          <w:fldChar w:fldCharType="end"/>
        </w:r>
      </w:hyperlink>
    </w:p>
    <w:p w14:paraId="641FBF43" w14:textId="0D483079" w:rsidR="003C4050" w:rsidRPr="003C4050" w:rsidRDefault="003C4050" w:rsidP="003C4050">
      <w:pPr>
        <w:pStyle w:val="TOC1"/>
        <w:spacing w:after="20" w:line="240" w:lineRule="auto"/>
        <w:rPr>
          <w:rFonts w:eastAsiaTheme="minorEastAsia"/>
          <w:b w:val="0"/>
          <w:bCs w:val="0"/>
          <w:noProof/>
          <w:color w:val="auto"/>
          <w:sz w:val="21"/>
          <w:szCs w:val="22"/>
          <w:lang w:bidi="ar-SA"/>
        </w:rPr>
      </w:pPr>
      <w:hyperlink w:anchor="_Toc243829217" w:history="1">
        <w:r w:rsidRPr="003C4050">
          <w:rPr>
            <w:rStyle w:val="Hyperlink"/>
            <w:noProof/>
            <w:sz w:val="21"/>
          </w:rPr>
          <w:t>CHAPTER 4 METHODOLOGY</w:t>
        </w:r>
        <w:r w:rsidRPr="003C4050">
          <w:rPr>
            <w:noProof/>
            <w:webHidden/>
            <w:sz w:val="21"/>
          </w:rPr>
          <w:tab/>
        </w:r>
        <w:r w:rsidRPr="003C4050">
          <w:rPr>
            <w:noProof/>
            <w:webHidden/>
            <w:sz w:val="21"/>
          </w:rPr>
          <w:fldChar w:fldCharType="begin"/>
        </w:r>
        <w:r w:rsidRPr="003C4050">
          <w:rPr>
            <w:noProof/>
            <w:webHidden/>
            <w:sz w:val="21"/>
          </w:rPr>
          <w:instrText xml:space="preserve"> PAGEREF _Toc243829217 \h </w:instrText>
        </w:r>
        <w:r w:rsidRPr="003C4050">
          <w:rPr>
            <w:noProof/>
            <w:webHidden/>
            <w:sz w:val="21"/>
          </w:rPr>
        </w:r>
        <w:r w:rsidRPr="003C4050">
          <w:rPr>
            <w:noProof/>
            <w:webHidden/>
            <w:sz w:val="21"/>
          </w:rPr>
          <w:fldChar w:fldCharType="separate"/>
        </w:r>
        <w:r>
          <w:rPr>
            <w:noProof/>
            <w:webHidden/>
            <w:sz w:val="21"/>
          </w:rPr>
          <w:t>18</w:t>
        </w:r>
        <w:r w:rsidRPr="003C4050">
          <w:rPr>
            <w:noProof/>
            <w:webHidden/>
            <w:sz w:val="21"/>
          </w:rPr>
          <w:fldChar w:fldCharType="end"/>
        </w:r>
      </w:hyperlink>
    </w:p>
    <w:p w14:paraId="30F9659A" w14:textId="10299ABA" w:rsidR="003C4050" w:rsidRPr="003C4050" w:rsidRDefault="003C4050" w:rsidP="003C4050">
      <w:pPr>
        <w:pStyle w:val="TOC2"/>
        <w:spacing w:after="20" w:line="240" w:lineRule="auto"/>
        <w:rPr>
          <w:rFonts w:eastAsiaTheme="minorEastAsia"/>
          <w:noProof/>
          <w:color w:val="auto"/>
          <w:sz w:val="21"/>
          <w:szCs w:val="22"/>
          <w:lang w:bidi="ar-SA"/>
        </w:rPr>
      </w:pPr>
      <w:hyperlink w:anchor="_Toc243829218" w:history="1">
        <w:r w:rsidRPr="003C4050">
          <w:rPr>
            <w:rStyle w:val="Hyperlink"/>
            <w:noProof/>
            <w:sz w:val="21"/>
          </w:rPr>
          <w:t>Trend estimation and statistical qualification</w:t>
        </w:r>
        <w:r w:rsidRPr="003C4050">
          <w:rPr>
            <w:noProof/>
            <w:webHidden/>
            <w:sz w:val="21"/>
          </w:rPr>
          <w:tab/>
        </w:r>
        <w:r w:rsidRPr="003C4050">
          <w:rPr>
            <w:noProof/>
            <w:webHidden/>
            <w:sz w:val="21"/>
          </w:rPr>
          <w:fldChar w:fldCharType="begin"/>
        </w:r>
        <w:r w:rsidRPr="003C4050">
          <w:rPr>
            <w:noProof/>
            <w:webHidden/>
            <w:sz w:val="21"/>
          </w:rPr>
          <w:instrText xml:space="preserve"> PAGEREF _Toc243829218 \h </w:instrText>
        </w:r>
        <w:r w:rsidRPr="003C4050">
          <w:rPr>
            <w:noProof/>
            <w:webHidden/>
            <w:sz w:val="21"/>
          </w:rPr>
        </w:r>
        <w:r w:rsidRPr="003C4050">
          <w:rPr>
            <w:noProof/>
            <w:webHidden/>
            <w:sz w:val="21"/>
          </w:rPr>
          <w:fldChar w:fldCharType="separate"/>
        </w:r>
        <w:r>
          <w:rPr>
            <w:noProof/>
            <w:webHidden/>
            <w:sz w:val="21"/>
          </w:rPr>
          <w:t>19</w:t>
        </w:r>
        <w:r w:rsidRPr="003C4050">
          <w:rPr>
            <w:noProof/>
            <w:webHidden/>
            <w:sz w:val="21"/>
          </w:rPr>
          <w:fldChar w:fldCharType="end"/>
        </w:r>
      </w:hyperlink>
    </w:p>
    <w:p w14:paraId="6ABB8CE0" w14:textId="4C2DACB4" w:rsidR="003C4050" w:rsidRPr="003C4050" w:rsidRDefault="003C4050" w:rsidP="003C4050">
      <w:pPr>
        <w:pStyle w:val="TOC2"/>
        <w:spacing w:after="20" w:line="240" w:lineRule="auto"/>
        <w:rPr>
          <w:rFonts w:eastAsiaTheme="minorEastAsia"/>
          <w:noProof/>
          <w:color w:val="auto"/>
          <w:sz w:val="21"/>
          <w:szCs w:val="22"/>
          <w:lang w:bidi="ar-SA"/>
        </w:rPr>
      </w:pPr>
      <w:hyperlink w:anchor="_Toc243829219" w:history="1">
        <w:r w:rsidRPr="003C4050">
          <w:rPr>
            <w:rStyle w:val="Hyperlink"/>
            <w:noProof/>
            <w:sz w:val="21"/>
          </w:rPr>
          <w:t>Paired climate and human decomposition</w:t>
        </w:r>
        <w:r w:rsidRPr="003C4050">
          <w:rPr>
            <w:noProof/>
            <w:webHidden/>
            <w:sz w:val="21"/>
          </w:rPr>
          <w:tab/>
        </w:r>
        <w:r w:rsidRPr="003C4050">
          <w:rPr>
            <w:noProof/>
            <w:webHidden/>
            <w:sz w:val="21"/>
          </w:rPr>
          <w:fldChar w:fldCharType="begin"/>
        </w:r>
        <w:r w:rsidRPr="003C4050">
          <w:rPr>
            <w:noProof/>
            <w:webHidden/>
            <w:sz w:val="21"/>
          </w:rPr>
          <w:instrText xml:space="preserve"> PAGEREF _Toc243829219 \h </w:instrText>
        </w:r>
        <w:r w:rsidRPr="003C4050">
          <w:rPr>
            <w:noProof/>
            <w:webHidden/>
            <w:sz w:val="21"/>
          </w:rPr>
        </w:r>
        <w:r w:rsidRPr="003C4050">
          <w:rPr>
            <w:noProof/>
            <w:webHidden/>
            <w:sz w:val="21"/>
          </w:rPr>
          <w:fldChar w:fldCharType="separate"/>
        </w:r>
        <w:r>
          <w:rPr>
            <w:noProof/>
            <w:webHidden/>
            <w:sz w:val="21"/>
          </w:rPr>
          <w:t>20</w:t>
        </w:r>
        <w:r w:rsidRPr="003C4050">
          <w:rPr>
            <w:noProof/>
            <w:webHidden/>
            <w:sz w:val="21"/>
          </w:rPr>
          <w:fldChar w:fldCharType="end"/>
        </w:r>
      </w:hyperlink>
    </w:p>
    <w:p w14:paraId="3818559A" w14:textId="3E07D87C" w:rsidR="003C4050" w:rsidRPr="003C4050" w:rsidRDefault="003C4050" w:rsidP="003C4050">
      <w:pPr>
        <w:pStyle w:val="TOC2"/>
        <w:spacing w:after="20" w:line="240" w:lineRule="auto"/>
        <w:rPr>
          <w:rFonts w:eastAsiaTheme="minorEastAsia"/>
          <w:noProof/>
          <w:color w:val="auto"/>
          <w:sz w:val="21"/>
          <w:szCs w:val="22"/>
          <w:lang w:bidi="ar-SA"/>
        </w:rPr>
      </w:pPr>
      <w:hyperlink w:anchor="_Toc243829220" w:history="1">
        <w:r w:rsidRPr="003C4050">
          <w:rPr>
            <w:rStyle w:val="Hyperlink"/>
            <w:noProof/>
            <w:sz w:val="21"/>
          </w:rPr>
          <w:t>Climate emulation and chronological evaluation</w:t>
        </w:r>
        <w:r w:rsidRPr="003C4050">
          <w:rPr>
            <w:noProof/>
            <w:webHidden/>
            <w:sz w:val="21"/>
          </w:rPr>
          <w:tab/>
        </w:r>
        <w:r w:rsidRPr="003C4050">
          <w:rPr>
            <w:noProof/>
            <w:webHidden/>
            <w:sz w:val="21"/>
          </w:rPr>
          <w:fldChar w:fldCharType="begin"/>
        </w:r>
        <w:r w:rsidRPr="003C4050">
          <w:rPr>
            <w:noProof/>
            <w:webHidden/>
            <w:sz w:val="21"/>
          </w:rPr>
          <w:instrText xml:space="preserve"> PAGEREF _Toc243829220 \h </w:instrText>
        </w:r>
        <w:r w:rsidRPr="003C4050">
          <w:rPr>
            <w:noProof/>
            <w:webHidden/>
            <w:sz w:val="21"/>
          </w:rPr>
        </w:r>
        <w:r w:rsidRPr="003C4050">
          <w:rPr>
            <w:noProof/>
            <w:webHidden/>
            <w:sz w:val="21"/>
          </w:rPr>
          <w:fldChar w:fldCharType="separate"/>
        </w:r>
        <w:r>
          <w:rPr>
            <w:noProof/>
            <w:webHidden/>
            <w:sz w:val="21"/>
          </w:rPr>
          <w:t>22</w:t>
        </w:r>
        <w:r w:rsidRPr="003C4050">
          <w:rPr>
            <w:noProof/>
            <w:webHidden/>
            <w:sz w:val="21"/>
          </w:rPr>
          <w:fldChar w:fldCharType="end"/>
        </w:r>
      </w:hyperlink>
    </w:p>
    <w:p w14:paraId="1898C1D3" w14:textId="4671A56E" w:rsidR="003C4050" w:rsidRPr="003C4050" w:rsidRDefault="003C4050" w:rsidP="003C4050">
      <w:pPr>
        <w:pStyle w:val="TOC2"/>
        <w:spacing w:after="20" w:line="240" w:lineRule="auto"/>
        <w:rPr>
          <w:rFonts w:eastAsiaTheme="minorEastAsia"/>
          <w:noProof/>
          <w:color w:val="auto"/>
          <w:sz w:val="21"/>
          <w:szCs w:val="22"/>
          <w:lang w:bidi="ar-SA"/>
        </w:rPr>
      </w:pPr>
      <w:hyperlink w:anchor="_Toc243829221" w:history="1">
        <w:r w:rsidRPr="003C4050">
          <w:rPr>
            <w:rStyle w:val="Hyperlink"/>
            <w:noProof/>
            <w:sz w:val="21"/>
          </w:rPr>
          <w:t>Held out rainfall and observed storage response</w:t>
        </w:r>
        <w:r w:rsidRPr="003C4050">
          <w:rPr>
            <w:noProof/>
            <w:webHidden/>
            <w:sz w:val="21"/>
          </w:rPr>
          <w:tab/>
        </w:r>
        <w:r w:rsidRPr="003C4050">
          <w:rPr>
            <w:noProof/>
            <w:webHidden/>
            <w:sz w:val="21"/>
          </w:rPr>
          <w:fldChar w:fldCharType="begin"/>
        </w:r>
        <w:r w:rsidRPr="003C4050">
          <w:rPr>
            <w:noProof/>
            <w:webHidden/>
            <w:sz w:val="21"/>
          </w:rPr>
          <w:instrText xml:space="preserve"> PAGEREF _Toc243829221 \h </w:instrText>
        </w:r>
        <w:r w:rsidRPr="003C4050">
          <w:rPr>
            <w:noProof/>
            <w:webHidden/>
            <w:sz w:val="21"/>
          </w:rPr>
        </w:r>
        <w:r w:rsidRPr="003C4050">
          <w:rPr>
            <w:noProof/>
            <w:webHidden/>
            <w:sz w:val="21"/>
          </w:rPr>
          <w:fldChar w:fldCharType="separate"/>
        </w:r>
        <w:r>
          <w:rPr>
            <w:noProof/>
            <w:webHidden/>
            <w:sz w:val="21"/>
          </w:rPr>
          <w:t>24</w:t>
        </w:r>
        <w:r w:rsidRPr="003C4050">
          <w:rPr>
            <w:noProof/>
            <w:webHidden/>
            <w:sz w:val="21"/>
          </w:rPr>
          <w:fldChar w:fldCharType="end"/>
        </w:r>
      </w:hyperlink>
    </w:p>
    <w:p w14:paraId="37507D11" w14:textId="20D8F402" w:rsidR="003C4050" w:rsidRPr="003C4050" w:rsidRDefault="003C4050" w:rsidP="003C4050">
      <w:pPr>
        <w:pStyle w:val="TOC2"/>
        <w:spacing w:after="20" w:line="240" w:lineRule="auto"/>
        <w:rPr>
          <w:rFonts w:eastAsiaTheme="minorEastAsia"/>
          <w:noProof/>
          <w:color w:val="auto"/>
          <w:sz w:val="21"/>
          <w:szCs w:val="22"/>
          <w:lang w:bidi="ar-SA"/>
        </w:rPr>
      </w:pPr>
      <w:hyperlink w:anchor="_Toc243829222" w:history="1">
        <w:r w:rsidRPr="003C4050">
          <w:rPr>
            <w:rStyle w:val="Hyperlink"/>
            <w:noProof/>
            <w:sz w:val="21"/>
          </w:rPr>
          <w:t>Groundwater panel and station bootstrap design</w:t>
        </w:r>
        <w:r w:rsidRPr="003C4050">
          <w:rPr>
            <w:noProof/>
            <w:webHidden/>
            <w:sz w:val="21"/>
          </w:rPr>
          <w:tab/>
        </w:r>
        <w:r w:rsidRPr="003C4050">
          <w:rPr>
            <w:noProof/>
            <w:webHidden/>
            <w:sz w:val="21"/>
          </w:rPr>
          <w:fldChar w:fldCharType="begin"/>
        </w:r>
        <w:r w:rsidRPr="003C4050">
          <w:rPr>
            <w:noProof/>
            <w:webHidden/>
            <w:sz w:val="21"/>
          </w:rPr>
          <w:instrText xml:space="preserve"> PAGEREF _Toc243829222 \h </w:instrText>
        </w:r>
        <w:r w:rsidRPr="003C4050">
          <w:rPr>
            <w:noProof/>
            <w:webHidden/>
            <w:sz w:val="21"/>
          </w:rPr>
        </w:r>
        <w:r w:rsidRPr="003C4050">
          <w:rPr>
            <w:noProof/>
            <w:webHidden/>
            <w:sz w:val="21"/>
          </w:rPr>
          <w:fldChar w:fldCharType="separate"/>
        </w:r>
        <w:r>
          <w:rPr>
            <w:noProof/>
            <w:webHidden/>
            <w:sz w:val="21"/>
          </w:rPr>
          <w:t>25</w:t>
        </w:r>
        <w:r w:rsidRPr="003C4050">
          <w:rPr>
            <w:noProof/>
            <w:webHidden/>
            <w:sz w:val="21"/>
          </w:rPr>
          <w:fldChar w:fldCharType="end"/>
        </w:r>
      </w:hyperlink>
    </w:p>
    <w:p w14:paraId="25DABE9C" w14:textId="6273CC17" w:rsidR="003C4050" w:rsidRPr="003C4050" w:rsidRDefault="003C4050" w:rsidP="003C4050">
      <w:pPr>
        <w:pStyle w:val="TOC2"/>
        <w:spacing w:after="20" w:line="240" w:lineRule="auto"/>
        <w:rPr>
          <w:rFonts w:eastAsiaTheme="minorEastAsia"/>
          <w:noProof/>
          <w:color w:val="auto"/>
          <w:sz w:val="21"/>
          <w:szCs w:val="22"/>
          <w:lang w:bidi="ar-SA"/>
        </w:rPr>
      </w:pPr>
      <w:hyperlink w:anchor="_Toc243829223" w:history="1">
        <w:r w:rsidRPr="003C4050">
          <w:rPr>
            <w:rStyle w:val="Hyperlink"/>
            <w:noProof/>
            <w:sz w:val="21"/>
          </w:rPr>
          <w:t>Native support and product ranking diagnostics</w:t>
        </w:r>
        <w:r w:rsidRPr="003C4050">
          <w:rPr>
            <w:noProof/>
            <w:webHidden/>
            <w:sz w:val="21"/>
          </w:rPr>
          <w:tab/>
        </w:r>
        <w:r w:rsidRPr="003C4050">
          <w:rPr>
            <w:noProof/>
            <w:webHidden/>
            <w:sz w:val="21"/>
          </w:rPr>
          <w:fldChar w:fldCharType="begin"/>
        </w:r>
        <w:r w:rsidRPr="003C4050">
          <w:rPr>
            <w:noProof/>
            <w:webHidden/>
            <w:sz w:val="21"/>
          </w:rPr>
          <w:instrText xml:space="preserve"> PAGEREF _Toc243829223 \h </w:instrText>
        </w:r>
        <w:r w:rsidRPr="003C4050">
          <w:rPr>
            <w:noProof/>
            <w:webHidden/>
            <w:sz w:val="21"/>
          </w:rPr>
        </w:r>
        <w:r w:rsidRPr="003C4050">
          <w:rPr>
            <w:noProof/>
            <w:webHidden/>
            <w:sz w:val="21"/>
          </w:rPr>
          <w:fldChar w:fldCharType="separate"/>
        </w:r>
        <w:r>
          <w:rPr>
            <w:noProof/>
            <w:webHidden/>
            <w:sz w:val="21"/>
          </w:rPr>
          <w:t>26</w:t>
        </w:r>
        <w:r w:rsidRPr="003C4050">
          <w:rPr>
            <w:noProof/>
            <w:webHidden/>
            <w:sz w:val="21"/>
          </w:rPr>
          <w:fldChar w:fldCharType="end"/>
        </w:r>
      </w:hyperlink>
    </w:p>
    <w:p w14:paraId="53CF1A72" w14:textId="5DCE69CB" w:rsidR="003C4050" w:rsidRPr="003C4050" w:rsidRDefault="003C4050" w:rsidP="003C4050">
      <w:pPr>
        <w:pStyle w:val="TOC2"/>
        <w:spacing w:after="20" w:line="240" w:lineRule="auto"/>
        <w:rPr>
          <w:rFonts w:eastAsiaTheme="minorEastAsia"/>
          <w:noProof/>
          <w:color w:val="auto"/>
          <w:sz w:val="21"/>
          <w:szCs w:val="22"/>
          <w:lang w:bidi="ar-SA"/>
        </w:rPr>
      </w:pPr>
      <w:hyperlink w:anchor="_Toc243829224" w:history="1">
        <w:r w:rsidRPr="003C4050">
          <w:rPr>
            <w:rStyle w:val="Hyperlink"/>
            <w:noProof/>
            <w:sz w:val="21"/>
          </w:rPr>
          <w:t>Decision support and reproducible execution</w:t>
        </w:r>
        <w:r w:rsidRPr="003C4050">
          <w:rPr>
            <w:noProof/>
            <w:webHidden/>
            <w:sz w:val="21"/>
          </w:rPr>
          <w:tab/>
        </w:r>
        <w:r w:rsidRPr="003C4050">
          <w:rPr>
            <w:noProof/>
            <w:webHidden/>
            <w:sz w:val="21"/>
          </w:rPr>
          <w:fldChar w:fldCharType="begin"/>
        </w:r>
        <w:r w:rsidRPr="003C4050">
          <w:rPr>
            <w:noProof/>
            <w:webHidden/>
            <w:sz w:val="21"/>
          </w:rPr>
          <w:instrText xml:space="preserve"> PAGEREF _Toc243829224 \h </w:instrText>
        </w:r>
        <w:r w:rsidRPr="003C4050">
          <w:rPr>
            <w:noProof/>
            <w:webHidden/>
            <w:sz w:val="21"/>
          </w:rPr>
        </w:r>
        <w:r w:rsidRPr="003C4050">
          <w:rPr>
            <w:noProof/>
            <w:webHidden/>
            <w:sz w:val="21"/>
          </w:rPr>
          <w:fldChar w:fldCharType="separate"/>
        </w:r>
        <w:r>
          <w:rPr>
            <w:noProof/>
            <w:webHidden/>
            <w:sz w:val="21"/>
          </w:rPr>
          <w:t>27</w:t>
        </w:r>
        <w:r w:rsidRPr="003C4050">
          <w:rPr>
            <w:noProof/>
            <w:webHidden/>
            <w:sz w:val="21"/>
          </w:rPr>
          <w:fldChar w:fldCharType="end"/>
        </w:r>
      </w:hyperlink>
    </w:p>
    <w:p w14:paraId="4B3674F5" w14:textId="4BF8DCC3" w:rsidR="003C4050" w:rsidRPr="003C4050" w:rsidRDefault="003C4050" w:rsidP="003C4050">
      <w:pPr>
        <w:pStyle w:val="TOC1"/>
        <w:spacing w:after="20" w:line="240" w:lineRule="auto"/>
        <w:rPr>
          <w:rFonts w:eastAsiaTheme="minorEastAsia"/>
          <w:b w:val="0"/>
          <w:bCs w:val="0"/>
          <w:noProof/>
          <w:color w:val="auto"/>
          <w:sz w:val="21"/>
          <w:szCs w:val="22"/>
          <w:lang w:bidi="ar-SA"/>
        </w:rPr>
      </w:pPr>
      <w:hyperlink w:anchor="_Toc243829225" w:history="1">
        <w:r w:rsidRPr="003C4050">
          <w:rPr>
            <w:rStyle w:val="Hyperlink"/>
            <w:noProof/>
            <w:sz w:val="21"/>
          </w:rPr>
          <w:t>CHAPTER 5 RESULTS</w:t>
        </w:r>
        <w:r w:rsidRPr="003C4050">
          <w:rPr>
            <w:noProof/>
            <w:webHidden/>
            <w:sz w:val="21"/>
          </w:rPr>
          <w:tab/>
        </w:r>
        <w:r w:rsidRPr="003C4050">
          <w:rPr>
            <w:noProof/>
            <w:webHidden/>
            <w:sz w:val="21"/>
          </w:rPr>
          <w:fldChar w:fldCharType="begin"/>
        </w:r>
        <w:r w:rsidRPr="003C4050">
          <w:rPr>
            <w:noProof/>
            <w:webHidden/>
            <w:sz w:val="21"/>
          </w:rPr>
          <w:instrText xml:space="preserve"> PAGEREF _Toc243829225 \h </w:instrText>
        </w:r>
        <w:r w:rsidRPr="003C4050">
          <w:rPr>
            <w:noProof/>
            <w:webHidden/>
            <w:sz w:val="21"/>
          </w:rPr>
        </w:r>
        <w:r w:rsidRPr="003C4050">
          <w:rPr>
            <w:noProof/>
            <w:webHidden/>
            <w:sz w:val="21"/>
          </w:rPr>
          <w:fldChar w:fldCharType="separate"/>
        </w:r>
        <w:r>
          <w:rPr>
            <w:noProof/>
            <w:webHidden/>
            <w:sz w:val="21"/>
          </w:rPr>
          <w:t>28</w:t>
        </w:r>
        <w:r w:rsidRPr="003C4050">
          <w:rPr>
            <w:noProof/>
            <w:webHidden/>
            <w:sz w:val="21"/>
          </w:rPr>
          <w:fldChar w:fldCharType="end"/>
        </w:r>
      </w:hyperlink>
    </w:p>
    <w:p w14:paraId="0331CA47" w14:textId="3CA72DFD" w:rsidR="003C4050" w:rsidRPr="003C4050" w:rsidRDefault="003C4050" w:rsidP="003C4050">
      <w:pPr>
        <w:pStyle w:val="TOC2"/>
        <w:spacing w:after="20" w:line="240" w:lineRule="auto"/>
        <w:rPr>
          <w:rFonts w:eastAsiaTheme="minorEastAsia"/>
          <w:noProof/>
          <w:color w:val="auto"/>
          <w:sz w:val="21"/>
          <w:szCs w:val="22"/>
          <w:lang w:bidi="ar-SA"/>
        </w:rPr>
      </w:pPr>
      <w:hyperlink w:anchor="_Toc243829226" w:history="1">
        <w:r w:rsidRPr="003C4050">
          <w:rPr>
            <w:rStyle w:val="Hyperlink"/>
            <w:noProof/>
            <w:sz w:val="21"/>
          </w:rPr>
          <w:t>Observed storage time series for all 22 basins</w:t>
        </w:r>
        <w:r w:rsidRPr="003C4050">
          <w:rPr>
            <w:noProof/>
            <w:webHidden/>
            <w:sz w:val="21"/>
          </w:rPr>
          <w:tab/>
        </w:r>
        <w:r w:rsidRPr="003C4050">
          <w:rPr>
            <w:noProof/>
            <w:webHidden/>
            <w:sz w:val="21"/>
          </w:rPr>
          <w:fldChar w:fldCharType="begin"/>
        </w:r>
        <w:r w:rsidRPr="003C4050">
          <w:rPr>
            <w:noProof/>
            <w:webHidden/>
            <w:sz w:val="21"/>
          </w:rPr>
          <w:instrText xml:space="preserve"> PAGEREF _Toc243829226 \h </w:instrText>
        </w:r>
        <w:r w:rsidRPr="003C4050">
          <w:rPr>
            <w:noProof/>
            <w:webHidden/>
            <w:sz w:val="21"/>
          </w:rPr>
        </w:r>
        <w:r w:rsidRPr="003C4050">
          <w:rPr>
            <w:noProof/>
            <w:webHidden/>
            <w:sz w:val="21"/>
          </w:rPr>
          <w:fldChar w:fldCharType="separate"/>
        </w:r>
        <w:r>
          <w:rPr>
            <w:noProof/>
            <w:webHidden/>
            <w:sz w:val="21"/>
          </w:rPr>
          <w:t>29</w:t>
        </w:r>
        <w:r w:rsidRPr="003C4050">
          <w:rPr>
            <w:noProof/>
            <w:webHidden/>
            <w:sz w:val="21"/>
          </w:rPr>
          <w:fldChar w:fldCharType="end"/>
        </w:r>
      </w:hyperlink>
    </w:p>
    <w:p w14:paraId="2829AF28" w14:textId="2189A022" w:rsidR="003C4050" w:rsidRPr="003C4050" w:rsidRDefault="003C4050" w:rsidP="003C4050">
      <w:pPr>
        <w:pStyle w:val="TOC2"/>
        <w:spacing w:after="20" w:line="240" w:lineRule="auto"/>
        <w:rPr>
          <w:rFonts w:eastAsiaTheme="minorEastAsia"/>
          <w:noProof/>
          <w:color w:val="auto"/>
          <w:sz w:val="21"/>
          <w:szCs w:val="22"/>
          <w:lang w:bidi="ar-SA"/>
        </w:rPr>
      </w:pPr>
      <w:hyperlink w:anchor="_Toc243829227" w:history="1">
        <w:r w:rsidRPr="003C4050">
          <w:rPr>
            <w:rStyle w:val="Hyperlink"/>
            <w:noProof/>
            <w:sz w:val="21"/>
          </w:rPr>
          <w:t>Spatial naturalized storage and climate reconstruction</w:t>
        </w:r>
        <w:r w:rsidRPr="003C4050">
          <w:rPr>
            <w:noProof/>
            <w:webHidden/>
            <w:sz w:val="21"/>
          </w:rPr>
          <w:tab/>
        </w:r>
        <w:r w:rsidRPr="003C4050">
          <w:rPr>
            <w:noProof/>
            <w:webHidden/>
            <w:sz w:val="21"/>
          </w:rPr>
          <w:fldChar w:fldCharType="begin"/>
        </w:r>
        <w:r w:rsidRPr="003C4050">
          <w:rPr>
            <w:noProof/>
            <w:webHidden/>
            <w:sz w:val="21"/>
          </w:rPr>
          <w:instrText xml:space="preserve"> PAGEREF _Toc243829227 \h </w:instrText>
        </w:r>
        <w:r w:rsidRPr="003C4050">
          <w:rPr>
            <w:noProof/>
            <w:webHidden/>
            <w:sz w:val="21"/>
          </w:rPr>
        </w:r>
        <w:r w:rsidRPr="003C4050">
          <w:rPr>
            <w:noProof/>
            <w:webHidden/>
            <w:sz w:val="21"/>
          </w:rPr>
          <w:fldChar w:fldCharType="separate"/>
        </w:r>
        <w:r>
          <w:rPr>
            <w:noProof/>
            <w:webHidden/>
            <w:sz w:val="21"/>
          </w:rPr>
          <w:t>31</w:t>
        </w:r>
        <w:r w:rsidRPr="003C4050">
          <w:rPr>
            <w:noProof/>
            <w:webHidden/>
            <w:sz w:val="21"/>
          </w:rPr>
          <w:fldChar w:fldCharType="end"/>
        </w:r>
      </w:hyperlink>
    </w:p>
    <w:p w14:paraId="62314F33" w14:textId="69C23E55" w:rsidR="003C4050" w:rsidRPr="003C4050" w:rsidRDefault="003C4050" w:rsidP="003C4050">
      <w:pPr>
        <w:pStyle w:val="TOC2"/>
        <w:spacing w:after="20" w:line="240" w:lineRule="auto"/>
        <w:rPr>
          <w:rFonts w:eastAsiaTheme="minorEastAsia"/>
          <w:noProof/>
          <w:color w:val="auto"/>
          <w:sz w:val="21"/>
          <w:szCs w:val="22"/>
          <w:lang w:bidi="ar-SA"/>
        </w:rPr>
      </w:pPr>
      <w:hyperlink w:anchor="_Toc243829228" w:history="1">
        <w:r w:rsidRPr="003C4050">
          <w:rPr>
            <w:rStyle w:val="Hyperlink"/>
            <w:noProof/>
            <w:sz w:val="21"/>
          </w:rPr>
          <w:t>Climate model evaluation through time</w:t>
        </w:r>
        <w:r w:rsidRPr="003C4050">
          <w:rPr>
            <w:noProof/>
            <w:webHidden/>
            <w:sz w:val="21"/>
          </w:rPr>
          <w:tab/>
        </w:r>
        <w:r w:rsidRPr="003C4050">
          <w:rPr>
            <w:noProof/>
            <w:webHidden/>
            <w:sz w:val="21"/>
          </w:rPr>
          <w:fldChar w:fldCharType="begin"/>
        </w:r>
        <w:r w:rsidRPr="003C4050">
          <w:rPr>
            <w:noProof/>
            <w:webHidden/>
            <w:sz w:val="21"/>
          </w:rPr>
          <w:instrText xml:space="preserve"> PAGEREF _Toc243829228 \h </w:instrText>
        </w:r>
        <w:r w:rsidRPr="003C4050">
          <w:rPr>
            <w:noProof/>
            <w:webHidden/>
            <w:sz w:val="21"/>
          </w:rPr>
        </w:r>
        <w:r w:rsidRPr="003C4050">
          <w:rPr>
            <w:noProof/>
            <w:webHidden/>
            <w:sz w:val="21"/>
          </w:rPr>
          <w:fldChar w:fldCharType="separate"/>
        </w:r>
        <w:r>
          <w:rPr>
            <w:noProof/>
            <w:webHidden/>
            <w:sz w:val="21"/>
          </w:rPr>
          <w:t>35</w:t>
        </w:r>
        <w:r w:rsidRPr="003C4050">
          <w:rPr>
            <w:noProof/>
            <w:webHidden/>
            <w:sz w:val="21"/>
          </w:rPr>
          <w:fldChar w:fldCharType="end"/>
        </w:r>
      </w:hyperlink>
    </w:p>
    <w:p w14:paraId="18B834D1" w14:textId="78D18D86" w:rsidR="003C4050" w:rsidRPr="003C4050" w:rsidRDefault="003C4050" w:rsidP="003C4050">
      <w:pPr>
        <w:pStyle w:val="TOC2"/>
        <w:spacing w:after="20" w:line="240" w:lineRule="auto"/>
        <w:rPr>
          <w:rFonts w:eastAsiaTheme="minorEastAsia"/>
          <w:noProof/>
          <w:color w:val="auto"/>
          <w:sz w:val="21"/>
          <w:szCs w:val="22"/>
          <w:lang w:bidi="ar-SA"/>
        </w:rPr>
      </w:pPr>
      <w:hyperlink w:anchor="_Toc243829229" w:history="1">
        <w:r w:rsidRPr="003C4050">
          <w:rPr>
            <w:rStyle w:val="Hyperlink"/>
            <w:noProof/>
            <w:sz w:val="21"/>
          </w:rPr>
          <w:t>GWSA residual histories for all 22 basins</w:t>
        </w:r>
        <w:r w:rsidRPr="003C4050">
          <w:rPr>
            <w:noProof/>
            <w:webHidden/>
            <w:sz w:val="21"/>
          </w:rPr>
          <w:tab/>
        </w:r>
        <w:r w:rsidRPr="003C4050">
          <w:rPr>
            <w:noProof/>
            <w:webHidden/>
            <w:sz w:val="21"/>
          </w:rPr>
          <w:fldChar w:fldCharType="begin"/>
        </w:r>
        <w:r w:rsidRPr="003C4050">
          <w:rPr>
            <w:noProof/>
            <w:webHidden/>
            <w:sz w:val="21"/>
          </w:rPr>
          <w:instrText xml:space="preserve"> PAGEREF _Toc243829229 \h </w:instrText>
        </w:r>
        <w:r w:rsidRPr="003C4050">
          <w:rPr>
            <w:noProof/>
            <w:webHidden/>
            <w:sz w:val="21"/>
          </w:rPr>
        </w:r>
        <w:r w:rsidRPr="003C4050">
          <w:rPr>
            <w:noProof/>
            <w:webHidden/>
            <w:sz w:val="21"/>
          </w:rPr>
          <w:fldChar w:fldCharType="separate"/>
        </w:r>
        <w:r>
          <w:rPr>
            <w:noProof/>
            <w:webHidden/>
            <w:sz w:val="21"/>
          </w:rPr>
          <w:t>38</w:t>
        </w:r>
        <w:r w:rsidRPr="003C4050">
          <w:rPr>
            <w:noProof/>
            <w:webHidden/>
            <w:sz w:val="21"/>
          </w:rPr>
          <w:fldChar w:fldCharType="end"/>
        </w:r>
      </w:hyperlink>
    </w:p>
    <w:p w14:paraId="6DCEEEDE" w14:textId="2005D44E" w:rsidR="003C4050" w:rsidRPr="003C4050" w:rsidRDefault="003C4050" w:rsidP="003C4050">
      <w:pPr>
        <w:pStyle w:val="TOC2"/>
        <w:spacing w:after="20" w:line="240" w:lineRule="auto"/>
        <w:rPr>
          <w:rFonts w:eastAsiaTheme="minorEastAsia"/>
          <w:noProof/>
          <w:color w:val="auto"/>
          <w:sz w:val="21"/>
          <w:szCs w:val="22"/>
          <w:lang w:bidi="ar-SA"/>
        </w:rPr>
      </w:pPr>
      <w:hyperlink w:anchor="_Toc243829230" w:history="1">
        <w:r w:rsidRPr="003C4050">
          <w:rPr>
            <w:rStyle w:val="Hyperlink"/>
            <w:noProof/>
            <w:sz w:val="21"/>
          </w:rPr>
          <w:t>Spatial GLDAS matched compartment comparison</w:t>
        </w:r>
        <w:r w:rsidRPr="003C4050">
          <w:rPr>
            <w:noProof/>
            <w:webHidden/>
            <w:sz w:val="21"/>
          </w:rPr>
          <w:tab/>
        </w:r>
        <w:r w:rsidRPr="003C4050">
          <w:rPr>
            <w:noProof/>
            <w:webHidden/>
            <w:sz w:val="21"/>
          </w:rPr>
          <w:fldChar w:fldCharType="begin"/>
        </w:r>
        <w:r w:rsidRPr="003C4050">
          <w:rPr>
            <w:noProof/>
            <w:webHidden/>
            <w:sz w:val="21"/>
          </w:rPr>
          <w:instrText xml:space="preserve"> PAGEREF _Toc243829230 \h </w:instrText>
        </w:r>
        <w:r w:rsidRPr="003C4050">
          <w:rPr>
            <w:noProof/>
            <w:webHidden/>
            <w:sz w:val="21"/>
          </w:rPr>
        </w:r>
        <w:r w:rsidRPr="003C4050">
          <w:rPr>
            <w:noProof/>
            <w:webHidden/>
            <w:sz w:val="21"/>
          </w:rPr>
          <w:fldChar w:fldCharType="separate"/>
        </w:r>
        <w:r>
          <w:rPr>
            <w:noProof/>
            <w:webHidden/>
            <w:sz w:val="21"/>
          </w:rPr>
          <w:t>39</w:t>
        </w:r>
        <w:r w:rsidRPr="003C4050">
          <w:rPr>
            <w:noProof/>
            <w:webHidden/>
            <w:sz w:val="21"/>
          </w:rPr>
          <w:fldChar w:fldCharType="end"/>
        </w:r>
      </w:hyperlink>
    </w:p>
    <w:p w14:paraId="36AEBCA6" w14:textId="315576C7" w:rsidR="003C4050" w:rsidRPr="003C4050" w:rsidRDefault="003C4050" w:rsidP="003C4050">
      <w:pPr>
        <w:pStyle w:val="TOC2"/>
        <w:spacing w:after="20" w:line="240" w:lineRule="auto"/>
        <w:rPr>
          <w:rFonts w:eastAsiaTheme="minorEastAsia"/>
          <w:noProof/>
          <w:color w:val="auto"/>
          <w:sz w:val="21"/>
          <w:szCs w:val="22"/>
          <w:lang w:bidi="ar-SA"/>
        </w:rPr>
      </w:pPr>
      <w:hyperlink w:anchor="_Toc243829231" w:history="1">
        <w:r w:rsidRPr="003C4050">
          <w:rPr>
            <w:rStyle w:val="Hyperlink"/>
            <w:noProof/>
            <w:sz w:val="21"/>
          </w:rPr>
          <w:t>GLDAS and residual histories for all 22 basins</w:t>
        </w:r>
        <w:r w:rsidRPr="003C4050">
          <w:rPr>
            <w:noProof/>
            <w:webHidden/>
            <w:sz w:val="21"/>
          </w:rPr>
          <w:tab/>
        </w:r>
        <w:r w:rsidRPr="003C4050">
          <w:rPr>
            <w:noProof/>
            <w:webHidden/>
            <w:sz w:val="21"/>
          </w:rPr>
          <w:fldChar w:fldCharType="begin"/>
        </w:r>
        <w:r w:rsidRPr="003C4050">
          <w:rPr>
            <w:noProof/>
            <w:webHidden/>
            <w:sz w:val="21"/>
          </w:rPr>
          <w:instrText xml:space="preserve"> PAGEREF _Toc243829231 \h </w:instrText>
        </w:r>
        <w:r w:rsidRPr="003C4050">
          <w:rPr>
            <w:noProof/>
            <w:webHidden/>
            <w:sz w:val="21"/>
          </w:rPr>
        </w:r>
        <w:r w:rsidRPr="003C4050">
          <w:rPr>
            <w:noProof/>
            <w:webHidden/>
            <w:sz w:val="21"/>
          </w:rPr>
          <w:fldChar w:fldCharType="separate"/>
        </w:r>
        <w:r>
          <w:rPr>
            <w:noProof/>
            <w:webHidden/>
            <w:sz w:val="21"/>
          </w:rPr>
          <w:t>42</w:t>
        </w:r>
        <w:r w:rsidRPr="003C4050">
          <w:rPr>
            <w:noProof/>
            <w:webHidden/>
            <w:sz w:val="21"/>
          </w:rPr>
          <w:fldChar w:fldCharType="end"/>
        </w:r>
      </w:hyperlink>
    </w:p>
    <w:p w14:paraId="68880BD6" w14:textId="2A5E0E0A" w:rsidR="003C4050" w:rsidRPr="003C4050" w:rsidRDefault="003C4050" w:rsidP="003C4050">
      <w:pPr>
        <w:pStyle w:val="TOC2"/>
        <w:spacing w:after="20" w:line="240" w:lineRule="auto"/>
        <w:rPr>
          <w:rFonts w:eastAsiaTheme="minorEastAsia"/>
          <w:noProof/>
          <w:color w:val="auto"/>
          <w:sz w:val="21"/>
          <w:szCs w:val="22"/>
          <w:lang w:bidi="ar-SA"/>
        </w:rPr>
      </w:pPr>
      <w:hyperlink w:anchor="_Toc243829232" w:history="1">
        <w:r w:rsidRPr="003C4050">
          <w:rPr>
            <w:rStyle w:val="Hyperlink"/>
            <w:noProof/>
            <w:sz w:val="21"/>
          </w:rPr>
          <w:t>Spatial evaluation of residual agreement with groundwater</w:t>
        </w:r>
        <w:r w:rsidRPr="003C4050">
          <w:rPr>
            <w:noProof/>
            <w:webHidden/>
            <w:sz w:val="21"/>
          </w:rPr>
          <w:tab/>
        </w:r>
        <w:r w:rsidRPr="003C4050">
          <w:rPr>
            <w:noProof/>
            <w:webHidden/>
            <w:sz w:val="21"/>
          </w:rPr>
          <w:fldChar w:fldCharType="begin"/>
        </w:r>
        <w:r w:rsidRPr="003C4050">
          <w:rPr>
            <w:noProof/>
            <w:webHidden/>
            <w:sz w:val="21"/>
          </w:rPr>
          <w:instrText xml:space="preserve"> PAGEREF _Toc243829232 \h </w:instrText>
        </w:r>
        <w:r w:rsidRPr="003C4050">
          <w:rPr>
            <w:noProof/>
            <w:webHidden/>
            <w:sz w:val="21"/>
          </w:rPr>
        </w:r>
        <w:r w:rsidRPr="003C4050">
          <w:rPr>
            <w:noProof/>
            <w:webHidden/>
            <w:sz w:val="21"/>
          </w:rPr>
          <w:fldChar w:fldCharType="separate"/>
        </w:r>
        <w:r>
          <w:rPr>
            <w:noProof/>
            <w:webHidden/>
            <w:sz w:val="21"/>
          </w:rPr>
          <w:t>43</w:t>
        </w:r>
        <w:r w:rsidRPr="003C4050">
          <w:rPr>
            <w:noProof/>
            <w:webHidden/>
            <w:sz w:val="21"/>
          </w:rPr>
          <w:fldChar w:fldCharType="end"/>
        </w:r>
      </w:hyperlink>
    </w:p>
    <w:p w14:paraId="463B0149" w14:textId="325C18F0" w:rsidR="003C4050" w:rsidRPr="003C4050" w:rsidRDefault="003C4050" w:rsidP="003C4050">
      <w:pPr>
        <w:pStyle w:val="TOC1"/>
        <w:spacing w:after="20" w:line="240" w:lineRule="auto"/>
        <w:rPr>
          <w:rFonts w:eastAsiaTheme="minorEastAsia"/>
          <w:b w:val="0"/>
          <w:bCs w:val="0"/>
          <w:noProof/>
          <w:color w:val="auto"/>
          <w:sz w:val="21"/>
          <w:szCs w:val="22"/>
          <w:lang w:bidi="ar-SA"/>
        </w:rPr>
      </w:pPr>
      <w:hyperlink w:anchor="_Toc243829233" w:history="1">
        <w:r w:rsidRPr="003C4050">
          <w:rPr>
            <w:rStyle w:val="Hyperlink"/>
            <w:noProof/>
            <w:sz w:val="21"/>
          </w:rPr>
          <w:t>CHAPTER 6 DISCUSSION</w:t>
        </w:r>
        <w:r w:rsidRPr="003C4050">
          <w:rPr>
            <w:noProof/>
            <w:webHidden/>
            <w:sz w:val="21"/>
          </w:rPr>
          <w:tab/>
        </w:r>
        <w:r w:rsidRPr="003C4050">
          <w:rPr>
            <w:noProof/>
            <w:webHidden/>
            <w:sz w:val="21"/>
          </w:rPr>
          <w:fldChar w:fldCharType="begin"/>
        </w:r>
        <w:r w:rsidRPr="003C4050">
          <w:rPr>
            <w:noProof/>
            <w:webHidden/>
            <w:sz w:val="21"/>
          </w:rPr>
          <w:instrText xml:space="preserve"> PAGEREF _Toc243829233 \h </w:instrText>
        </w:r>
        <w:r w:rsidRPr="003C4050">
          <w:rPr>
            <w:noProof/>
            <w:webHidden/>
            <w:sz w:val="21"/>
          </w:rPr>
        </w:r>
        <w:r w:rsidRPr="003C4050">
          <w:rPr>
            <w:noProof/>
            <w:webHidden/>
            <w:sz w:val="21"/>
          </w:rPr>
          <w:fldChar w:fldCharType="separate"/>
        </w:r>
        <w:r>
          <w:rPr>
            <w:noProof/>
            <w:webHidden/>
            <w:sz w:val="21"/>
          </w:rPr>
          <w:t>47</w:t>
        </w:r>
        <w:r w:rsidRPr="003C4050">
          <w:rPr>
            <w:noProof/>
            <w:webHidden/>
            <w:sz w:val="21"/>
          </w:rPr>
          <w:fldChar w:fldCharType="end"/>
        </w:r>
      </w:hyperlink>
    </w:p>
    <w:p w14:paraId="60AD209D" w14:textId="298EF1F6" w:rsidR="003C4050" w:rsidRPr="003C4050" w:rsidRDefault="003C4050" w:rsidP="003C4050">
      <w:pPr>
        <w:pStyle w:val="TOC2"/>
        <w:spacing w:after="20" w:line="240" w:lineRule="auto"/>
        <w:rPr>
          <w:rFonts w:eastAsiaTheme="minorEastAsia"/>
          <w:noProof/>
          <w:color w:val="auto"/>
          <w:sz w:val="21"/>
          <w:szCs w:val="22"/>
          <w:lang w:bidi="ar-SA"/>
        </w:rPr>
      </w:pPr>
      <w:hyperlink w:anchor="_Toc243829234" w:history="1">
        <w:r w:rsidRPr="003C4050">
          <w:rPr>
            <w:rStyle w:val="Hyperlink"/>
            <w:noProof/>
            <w:sz w:val="21"/>
          </w:rPr>
          <w:t>Why strong climate reconstruction does not validate human depletion</w:t>
        </w:r>
        <w:r w:rsidRPr="003C4050">
          <w:rPr>
            <w:noProof/>
            <w:webHidden/>
            <w:sz w:val="21"/>
          </w:rPr>
          <w:tab/>
        </w:r>
        <w:r w:rsidRPr="003C4050">
          <w:rPr>
            <w:noProof/>
            <w:webHidden/>
            <w:sz w:val="21"/>
          </w:rPr>
          <w:fldChar w:fldCharType="begin"/>
        </w:r>
        <w:r w:rsidRPr="003C4050">
          <w:rPr>
            <w:noProof/>
            <w:webHidden/>
            <w:sz w:val="21"/>
          </w:rPr>
          <w:instrText xml:space="preserve"> PAGEREF _Toc243829234 \h </w:instrText>
        </w:r>
        <w:r w:rsidRPr="003C4050">
          <w:rPr>
            <w:noProof/>
            <w:webHidden/>
            <w:sz w:val="21"/>
          </w:rPr>
        </w:r>
        <w:r w:rsidRPr="003C4050">
          <w:rPr>
            <w:noProof/>
            <w:webHidden/>
            <w:sz w:val="21"/>
          </w:rPr>
          <w:fldChar w:fldCharType="separate"/>
        </w:r>
        <w:r>
          <w:rPr>
            <w:noProof/>
            <w:webHidden/>
            <w:sz w:val="21"/>
          </w:rPr>
          <w:t>48</w:t>
        </w:r>
        <w:r w:rsidRPr="003C4050">
          <w:rPr>
            <w:noProof/>
            <w:webHidden/>
            <w:sz w:val="21"/>
          </w:rPr>
          <w:fldChar w:fldCharType="end"/>
        </w:r>
      </w:hyperlink>
    </w:p>
    <w:p w14:paraId="6CC911BB" w14:textId="510FA99F" w:rsidR="003C4050" w:rsidRPr="003C4050" w:rsidRDefault="003C4050" w:rsidP="003C4050">
      <w:pPr>
        <w:pStyle w:val="TOC2"/>
        <w:spacing w:after="20" w:line="240" w:lineRule="auto"/>
        <w:rPr>
          <w:rFonts w:eastAsiaTheme="minorEastAsia"/>
          <w:noProof/>
          <w:color w:val="auto"/>
          <w:sz w:val="21"/>
          <w:szCs w:val="22"/>
          <w:lang w:bidi="ar-SA"/>
        </w:rPr>
      </w:pPr>
      <w:hyperlink w:anchor="_Toc243829235" w:history="1">
        <w:r w:rsidRPr="003C4050">
          <w:rPr>
            <w:rStyle w:val="Hyperlink"/>
            <w:noProof/>
            <w:sz w:val="21"/>
          </w:rPr>
          <w:t>Monitoring priorities and the proposed novelty</w:t>
        </w:r>
        <w:r w:rsidRPr="003C4050">
          <w:rPr>
            <w:noProof/>
            <w:webHidden/>
            <w:sz w:val="21"/>
          </w:rPr>
          <w:tab/>
        </w:r>
        <w:r w:rsidRPr="003C4050">
          <w:rPr>
            <w:noProof/>
            <w:webHidden/>
            <w:sz w:val="21"/>
          </w:rPr>
          <w:fldChar w:fldCharType="begin"/>
        </w:r>
        <w:r w:rsidRPr="003C4050">
          <w:rPr>
            <w:noProof/>
            <w:webHidden/>
            <w:sz w:val="21"/>
          </w:rPr>
          <w:instrText xml:space="preserve"> PAGEREF _Toc243829235 \h </w:instrText>
        </w:r>
        <w:r w:rsidRPr="003C4050">
          <w:rPr>
            <w:noProof/>
            <w:webHidden/>
            <w:sz w:val="21"/>
          </w:rPr>
        </w:r>
        <w:r w:rsidRPr="003C4050">
          <w:rPr>
            <w:noProof/>
            <w:webHidden/>
            <w:sz w:val="21"/>
          </w:rPr>
          <w:fldChar w:fldCharType="separate"/>
        </w:r>
        <w:r>
          <w:rPr>
            <w:noProof/>
            <w:webHidden/>
            <w:sz w:val="21"/>
          </w:rPr>
          <w:t>49</w:t>
        </w:r>
        <w:r w:rsidRPr="003C4050">
          <w:rPr>
            <w:noProof/>
            <w:webHidden/>
            <w:sz w:val="21"/>
          </w:rPr>
          <w:fldChar w:fldCharType="end"/>
        </w:r>
      </w:hyperlink>
    </w:p>
    <w:p w14:paraId="78BA25F2" w14:textId="35CAE8E5" w:rsidR="003C4050" w:rsidRPr="003C4050" w:rsidRDefault="003C4050" w:rsidP="003C4050">
      <w:pPr>
        <w:pStyle w:val="TOC1"/>
        <w:spacing w:after="20" w:line="240" w:lineRule="auto"/>
        <w:rPr>
          <w:rFonts w:eastAsiaTheme="minorEastAsia"/>
          <w:b w:val="0"/>
          <w:bCs w:val="0"/>
          <w:noProof/>
          <w:color w:val="auto"/>
          <w:sz w:val="21"/>
          <w:szCs w:val="22"/>
          <w:lang w:bidi="ar-SA"/>
        </w:rPr>
      </w:pPr>
      <w:hyperlink w:anchor="_Toc243829236" w:history="1">
        <w:r w:rsidRPr="003C4050">
          <w:rPr>
            <w:rStyle w:val="Hyperlink"/>
            <w:noProof/>
            <w:sz w:val="21"/>
          </w:rPr>
          <w:t>CHAPTER 7 CONCLUSIONS AND RECOMMENDATIONS</w:t>
        </w:r>
        <w:r w:rsidRPr="003C4050">
          <w:rPr>
            <w:noProof/>
            <w:webHidden/>
            <w:sz w:val="21"/>
          </w:rPr>
          <w:tab/>
        </w:r>
        <w:r w:rsidRPr="003C4050">
          <w:rPr>
            <w:noProof/>
            <w:webHidden/>
            <w:sz w:val="21"/>
          </w:rPr>
          <w:fldChar w:fldCharType="begin"/>
        </w:r>
        <w:r w:rsidRPr="003C4050">
          <w:rPr>
            <w:noProof/>
            <w:webHidden/>
            <w:sz w:val="21"/>
          </w:rPr>
          <w:instrText xml:space="preserve"> PAGEREF _Toc243829236 \h </w:instrText>
        </w:r>
        <w:r w:rsidRPr="003C4050">
          <w:rPr>
            <w:noProof/>
            <w:webHidden/>
            <w:sz w:val="21"/>
          </w:rPr>
        </w:r>
        <w:r w:rsidRPr="003C4050">
          <w:rPr>
            <w:noProof/>
            <w:webHidden/>
            <w:sz w:val="21"/>
          </w:rPr>
          <w:fldChar w:fldCharType="separate"/>
        </w:r>
        <w:r>
          <w:rPr>
            <w:noProof/>
            <w:webHidden/>
            <w:sz w:val="21"/>
          </w:rPr>
          <w:t>50</w:t>
        </w:r>
        <w:r w:rsidRPr="003C4050">
          <w:rPr>
            <w:noProof/>
            <w:webHidden/>
            <w:sz w:val="21"/>
          </w:rPr>
          <w:fldChar w:fldCharType="end"/>
        </w:r>
      </w:hyperlink>
    </w:p>
    <w:p w14:paraId="184EAE3A" w14:textId="19BB3328" w:rsidR="003C4050" w:rsidRPr="003C4050" w:rsidRDefault="003C4050" w:rsidP="003C4050">
      <w:pPr>
        <w:pStyle w:val="TOC2"/>
        <w:spacing w:after="20" w:line="240" w:lineRule="auto"/>
        <w:rPr>
          <w:rFonts w:eastAsiaTheme="minorEastAsia"/>
          <w:noProof/>
          <w:color w:val="auto"/>
          <w:sz w:val="21"/>
          <w:szCs w:val="22"/>
          <w:lang w:bidi="ar-SA"/>
        </w:rPr>
      </w:pPr>
      <w:hyperlink w:anchor="_Toc243829237" w:history="1">
        <w:r w:rsidRPr="003C4050">
          <w:rPr>
            <w:rStyle w:val="Hyperlink"/>
            <w:noProof/>
            <w:sz w:val="21"/>
          </w:rPr>
          <w:t>REFERENCES</w:t>
        </w:r>
        <w:r w:rsidRPr="003C4050">
          <w:rPr>
            <w:noProof/>
            <w:webHidden/>
            <w:sz w:val="21"/>
          </w:rPr>
          <w:tab/>
        </w:r>
        <w:r w:rsidRPr="003C4050">
          <w:rPr>
            <w:noProof/>
            <w:webHidden/>
            <w:sz w:val="21"/>
          </w:rPr>
          <w:fldChar w:fldCharType="begin"/>
        </w:r>
        <w:r w:rsidRPr="003C4050">
          <w:rPr>
            <w:noProof/>
            <w:webHidden/>
            <w:sz w:val="21"/>
          </w:rPr>
          <w:instrText xml:space="preserve"> PAGEREF _Toc243829237 \h </w:instrText>
        </w:r>
        <w:r w:rsidRPr="003C4050">
          <w:rPr>
            <w:noProof/>
            <w:webHidden/>
            <w:sz w:val="21"/>
          </w:rPr>
        </w:r>
        <w:r w:rsidRPr="003C4050">
          <w:rPr>
            <w:noProof/>
            <w:webHidden/>
            <w:sz w:val="21"/>
          </w:rPr>
          <w:fldChar w:fldCharType="separate"/>
        </w:r>
        <w:r>
          <w:rPr>
            <w:noProof/>
            <w:webHidden/>
            <w:sz w:val="21"/>
          </w:rPr>
          <w:t>51</w:t>
        </w:r>
        <w:r w:rsidRPr="003C4050">
          <w:rPr>
            <w:noProof/>
            <w:webHidden/>
            <w:sz w:val="21"/>
          </w:rPr>
          <w:fldChar w:fldCharType="end"/>
        </w:r>
      </w:hyperlink>
    </w:p>
    <w:p w14:paraId="1D7E9D8C" w14:textId="2C16DCB6" w:rsidR="003C4050" w:rsidRPr="003C4050" w:rsidRDefault="003C4050" w:rsidP="003C4050">
      <w:pPr>
        <w:pStyle w:val="TOC2"/>
        <w:spacing w:after="20" w:line="240" w:lineRule="auto"/>
        <w:rPr>
          <w:rFonts w:eastAsiaTheme="minorEastAsia"/>
          <w:noProof/>
          <w:color w:val="auto"/>
          <w:sz w:val="21"/>
          <w:szCs w:val="22"/>
          <w:lang w:bidi="ar-SA"/>
        </w:rPr>
      </w:pPr>
      <w:hyperlink w:anchor="_Toc243829238" w:history="1">
        <w:r w:rsidRPr="003C4050">
          <w:rPr>
            <w:rStyle w:val="Hyperlink"/>
            <w:noProof/>
            <w:sz w:val="21"/>
          </w:rPr>
          <w:t>APPENDIX A ALL BASIN RESULTS</w:t>
        </w:r>
        <w:r w:rsidRPr="003C4050">
          <w:rPr>
            <w:noProof/>
            <w:webHidden/>
            <w:sz w:val="21"/>
          </w:rPr>
          <w:tab/>
        </w:r>
        <w:r w:rsidRPr="003C4050">
          <w:rPr>
            <w:noProof/>
            <w:webHidden/>
            <w:sz w:val="21"/>
          </w:rPr>
          <w:fldChar w:fldCharType="begin"/>
        </w:r>
        <w:r w:rsidRPr="003C4050">
          <w:rPr>
            <w:noProof/>
            <w:webHidden/>
            <w:sz w:val="21"/>
          </w:rPr>
          <w:instrText xml:space="preserve"> PAGEREF _Toc243829238 \h </w:instrText>
        </w:r>
        <w:r w:rsidRPr="003C4050">
          <w:rPr>
            <w:noProof/>
            <w:webHidden/>
            <w:sz w:val="21"/>
          </w:rPr>
        </w:r>
        <w:r w:rsidRPr="003C4050">
          <w:rPr>
            <w:noProof/>
            <w:webHidden/>
            <w:sz w:val="21"/>
          </w:rPr>
          <w:fldChar w:fldCharType="separate"/>
        </w:r>
        <w:r>
          <w:rPr>
            <w:noProof/>
            <w:webHidden/>
            <w:sz w:val="21"/>
          </w:rPr>
          <w:t>53</w:t>
        </w:r>
        <w:r w:rsidRPr="003C4050">
          <w:rPr>
            <w:noProof/>
            <w:webHidden/>
            <w:sz w:val="21"/>
          </w:rPr>
          <w:fldChar w:fldCharType="end"/>
        </w:r>
      </w:hyperlink>
    </w:p>
    <w:p w14:paraId="1D6EB95C" w14:textId="0E255A0B" w:rsidR="003C4050" w:rsidRPr="003C4050" w:rsidRDefault="003C4050" w:rsidP="003C4050">
      <w:pPr>
        <w:pStyle w:val="TOC2"/>
        <w:spacing w:after="20" w:line="240" w:lineRule="auto"/>
        <w:rPr>
          <w:rFonts w:eastAsiaTheme="minorEastAsia"/>
          <w:noProof/>
          <w:color w:val="auto"/>
          <w:sz w:val="21"/>
          <w:szCs w:val="22"/>
          <w:lang w:bidi="ar-SA"/>
        </w:rPr>
      </w:pPr>
      <w:hyperlink w:anchor="_Toc243829239" w:history="1">
        <w:r w:rsidRPr="003C4050">
          <w:rPr>
            <w:rStyle w:val="Hyperlink"/>
            <w:noProof/>
            <w:sz w:val="21"/>
          </w:rPr>
          <w:t>APPENDIX B REPRODUCIBILITY AND INTERPRETATION CONTRACT</w:t>
        </w:r>
        <w:r w:rsidRPr="003C4050">
          <w:rPr>
            <w:noProof/>
            <w:webHidden/>
            <w:sz w:val="21"/>
          </w:rPr>
          <w:tab/>
        </w:r>
        <w:r w:rsidRPr="003C4050">
          <w:rPr>
            <w:noProof/>
            <w:webHidden/>
            <w:sz w:val="21"/>
          </w:rPr>
          <w:fldChar w:fldCharType="begin"/>
        </w:r>
        <w:r w:rsidRPr="003C4050">
          <w:rPr>
            <w:noProof/>
            <w:webHidden/>
            <w:sz w:val="21"/>
          </w:rPr>
          <w:instrText xml:space="preserve"> PAGEREF _Toc243829239 \h </w:instrText>
        </w:r>
        <w:r w:rsidRPr="003C4050">
          <w:rPr>
            <w:noProof/>
            <w:webHidden/>
            <w:sz w:val="21"/>
          </w:rPr>
        </w:r>
        <w:r w:rsidRPr="003C4050">
          <w:rPr>
            <w:noProof/>
            <w:webHidden/>
            <w:sz w:val="21"/>
          </w:rPr>
          <w:fldChar w:fldCharType="separate"/>
        </w:r>
        <w:r>
          <w:rPr>
            <w:noProof/>
            <w:webHidden/>
            <w:sz w:val="21"/>
          </w:rPr>
          <w:t>54</w:t>
        </w:r>
        <w:r w:rsidRPr="003C4050">
          <w:rPr>
            <w:noProof/>
            <w:webHidden/>
            <w:sz w:val="21"/>
          </w:rPr>
          <w:fldChar w:fldCharType="end"/>
        </w:r>
      </w:hyperlink>
    </w:p>
    <w:p w14:paraId="0BE01378" w14:textId="3BC9CC6C" w:rsidR="00355E5A" w:rsidRDefault="003C4050" w:rsidP="003C4050">
      <w:pPr>
        <w:spacing w:after="20"/>
        <w:jc w:val="both"/>
      </w:pPr>
      <w:r w:rsidRPr="003C4050">
        <w:rPr>
          <w:rFonts w:cs="Times New Roman"/>
          <w:sz w:val="21"/>
        </w:rPr>
        <w:fldChar w:fldCharType="end"/>
      </w:r>
    </w:p>
    <w:p w14:paraId="2E579685" w14:textId="77777777" w:rsidR="00355E5A" w:rsidRDefault="003C4050">
      <w:pPr>
        <w:keepNext/>
        <w:pageBreakBefore/>
        <w:spacing w:after="160"/>
      </w:pPr>
      <w:r>
        <w:rPr>
          <w:b/>
        </w:rPr>
        <w:lastRenderedPageBreak/>
        <w:t>LIST OF FIGURES</w:t>
      </w:r>
    </w:p>
    <w:p w14:paraId="7136416F" w14:textId="66B56297" w:rsidR="00355E5A" w:rsidRDefault="003C4050">
      <w:pPr>
        <w:tabs>
          <w:tab w:val="right" w:pos="8784"/>
        </w:tabs>
        <w:spacing w:after="80"/>
      </w:pPr>
      <w:r>
        <w:rPr>
          <w:sz w:val="21"/>
        </w:rPr>
        <w:t>Figure 3.1 Official principal basins and analysis codes; full names appear in Appendix A.</w:t>
      </w:r>
      <w:r>
        <w:rPr>
          <w:sz w:val="21"/>
        </w:rPr>
        <w:tab/>
      </w:r>
      <w:r>
        <w:fldChar w:fldCharType="begin"/>
      </w:r>
      <w:r>
        <w:instrText>PAGEREF Figure3_1 \h</w:instrText>
      </w:r>
      <w:r>
        <w:fldChar w:fldCharType="separate"/>
      </w:r>
      <w:r>
        <w:rPr>
          <w:noProof/>
        </w:rPr>
        <w:t>12</w:t>
      </w:r>
      <w:r>
        <w:fldChar w:fldCharType="end"/>
      </w:r>
    </w:p>
    <w:p w14:paraId="4979265A" w14:textId="6AC1D61B" w:rsidR="00355E5A" w:rsidRDefault="003C4050">
      <w:pPr>
        <w:tabs>
          <w:tab w:val="right" w:pos="8784"/>
        </w:tabs>
        <w:spacing w:after="80"/>
      </w:pPr>
      <w:r>
        <w:rPr>
          <w:sz w:val="21"/>
        </w:rPr>
        <w:t xml:space="preserve">Figure 3.2 National calendar-month climatologies from the retained </w:t>
      </w:r>
      <w:r>
        <w:rPr>
          <w:sz w:val="21"/>
        </w:rPr>
        <w:t>multisource cube; the products have different physical meanings.</w:t>
      </w:r>
      <w:r>
        <w:rPr>
          <w:sz w:val="21"/>
        </w:rPr>
        <w:tab/>
      </w:r>
      <w:r>
        <w:fldChar w:fldCharType="begin"/>
      </w:r>
      <w:r>
        <w:instrText>PAGEREF Figure3_2 \h</w:instrText>
      </w:r>
      <w:r>
        <w:fldChar w:fldCharType="separate"/>
      </w:r>
      <w:r>
        <w:rPr>
          <w:noProof/>
        </w:rPr>
        <w:t>16</w:t>
      </w:r>
      <w:r>
        <w:fldChar w:fldCharType="end"/>
      </w:r>
    </w:p>
    <w:p w14:paraId="47C11B3E" w14:textId="0AE5D86D" w:rsidR="00355E5A" w:rsidRDefault="003C4050">
      <w:pPr>
        <w:tabs>
          <w:tab w:val="right" w:pos="8784"/>
        </w:tabs>
        <w:spacing w:after="80"/>
      </w:pPr>
      <w:r>
        <w:rPr>
          <w:sz w:val="21"/>
        </w:rPr>
        <w:t>Figure 5.1 CSR TWSA and derived GWSA seasonal Sen slopes and seasonal Mann–Kendall FDR maps.</w:t>
      </w:r>
      <w:r>
        <w:rPr>
          <w:sz w:val="21"/>
        </w:rPr>
        <w:tab/>
      </w:r>
      <w:r>
        <w:fldChar w:fldCharType="begin"/>
      </w:r>
      <w:r>
        <w:instrText>PAGEREF Figure</w:instrText>
      </w:r>
      <w:r>
        <w:instrText>5_1 \h</w:instrText>
      </w:r>
      <w:r>
        <w:fldChar w:fldCharType="separate"/>
      </w:r>
      <w:r>
        <w:rPr>
          <w:noProof/>
        </w:rPr>
        <w:t>28</w:t>
      </w:r>
      <w:r>
        <w:fldChar w:fldCharType="end"/>
      </w:r>
    </w:p>
    <w:p w14:paraId="563EFD7A" w14:textId="2C3F37CC" w:rsidR="00355E5A" w:rsidRDefault="003C4050">
      <w:pPr>
        <w:tabs>
          <w:tab w:val="right" w:pos="8784"/>
        </w:tabs>
        <w:spacing w:after="80"/>
      </w:pPr>
      <w:r>
        <w:rPr>
          <w:sz w:val="21"/>
        </w:rPr>
        <w:t>Figure 5.2 Monthly TWSA and GWSA for all 22 basins; observation gaps are retained.</w:t>
      </w:r>
      <w:r>
        <w:rPr>
          <w:sz w:val="21"/>
        </w:rPr>
        <w:tab/>
      </w:r>
      <w:r>
        <w:fldChar w:fldCharType="begin"/>
      </w:r>
      <w:r>
        <w:instrText>PAGEREF Figure5_2 \h</w:instrText>
      </w:r>
      <w:r>
        <w:fldChar w:fldCharType="separate"/>
      </w:r>
      <w:r>
        <w:rPr>
          <w:noProof/>
        </w:rPr>
        <w:t>29</w:t>
      </w:r>
      <w:r>
        <w:fldChar w:fldCharType="end"/>
      </w:r>
    </w:p>
    <w:p w14:paraId="498F16FF" w14:textId="5D69D1B5" w:rsidR="00355E5A" w:rsidRDefault="003C4050">
      <w:pPr>
        <w:tabs>
          <w:tab w:val="right" w:pos="8784"/>
        </w:tabs>
        <w:spacing w:after="80"/>
      </w:pPr>
      <w:r>
        <w:rPr>
          <w:sz w:val="21"/>
        </w:rPr>
        <w:t>Figure 5.3 Common-sup</w:t>
      </w:r>
      <w:r>
        <w:rPr>
          <w:sz w:val="21"/>
        </w:rPr>
        <w:t>port CSR and COST-G/G3P trend comparisons; compartment processing also differs.</w:t>
      </w:r>
      <w:r>
        <w:rPr>
          <w:sz w:val="21"/>
        </w:rPr>
        <w:tab/>
      </w:r>
      <w:r>
        <w:fldChar w:fldCharType="begin"/>
      </w:r>
      <w:r>
        <w:instrText>PAGEREF Figure5_3 \h</w:instrText>
      </w:r>
      <w:r>
        <w:fldChar w:fldCharType="separate"/>
      </w:r>
      <w:r>
        <w:rPr>
          <w:noProof/>
        </w:rPr>
        <w:t>30</w:t>
      </w:r>
      <w:r>
        <w:fldChar w:fldCharType="end"/>
      </w:r>
    </w:p>
    <w:p w14:paraId="11722123" w14:textId="507F4A2E" w:rsidR="00355E5A" w:rsidRDefault="003C4050">
      <w:pPr>
        <w:tabs>
          <w:tab w:val="right" w:pos="8784"/>
        </w:tabs>
        <w:spacing w:after="80"/>
      </w:pPr>
      <w:r>
        <w:rPr>
          <w:sz w:val="21"/>
        </w:rPr>
        <w:t>Figure 5.4 Spatial naturalized climate baseline and meteorological emulator trends for TWSA a</w:t>
      </w:r>
      <w:r>
        <w:rPr>
          <w:sz w:val="21"/>
        </w:rPr>
        <w:t>nd GWSA.</w:t>
      </w:r>
      <w:r>
        <w:rPr>
          <w:sz w:val="21"/>
        </w:rPr>
        <w:tab/>
      </w:r>
      <w:r>
        <w:fldChar w:fldCharType="begin"/>
      </w:r>
      <w:r>
        <w:instrText>PAGEREF Figure5_4 \h</w:instrText>
      </w:r>
      <w:r>
        <w:fldChar w:fldCharType="separate"/>
      </w:r>
      <w:r>
        <w:rPr>
          <w:noProof/>
        </w:rPr>
        <w:t>31</w:t>
      </w:r>
      <w:r>
        <w:fldChar w:fldCharType="end"/>
      </w:r>
    </w:p>
    <w:p w14:paraId="626DEFCA" w14:textId="43E40995" w:rsidR="00355E5A" w:rsidRDefault="003C4050">
      <w:pPr>
        <w:tabs>
          <w:tab w:val="right" w:pos="8784"/>
        </w:tabs>
        <w:spacing w:after="80"/>
      </w:pPr>
      <w:r>
        <w:rPr>
          <w:sz w:val="21"/>
        </w:rPr>
        <w:t>Figure 5.5 TWSA climate reconstruction for all 22 basins; shading marks held-out years.</w:t>
      </w:r>
      <w:r>
        <w:rPr>
          <w:sz w:val="21"/>
        </w:rPr>
        <w:tab/>
      </w:r>
      <w:r>
        <w:fldChar w:fldCharType="begin"/>
      </w:r>
      <w:r>
        <w:instrText>PAGEREF Figure5_5 \h</w:instrText>
      </w:r>
      <w:r>
        <w:fldChar w:fldCharType="separate"/>
      </w:r>
      <w:r>
        <w:rPr>
          <w:noProof/>
        </w:rPr>
        <w:t>32</w:t>
      </w:r>
      <w:r>
        <w:fldChar w:fldCharType="end"/>
      </w:r>
    </w:p>
    <w:p w14:paraId="2E94FB70" w14:textId="10CD14F5" w:rsidR="00355E5A" w:rsidRDefault="003C4050">
      <w:pPr>
        <w:tabs>
          <w:tab w:val="right" w:pos="8784"/>
        </w:tabs>
        <w:spacing w:after="80"/>
      </w:pPr>
      <w:r>
        <w:rPr>
          <w:sz w:val="21"/>
        </w:rPr>
        <w:t>Figure 5.6 GWSA climate reconstruction for all 22 basins; shading marks held-out years.</w:t>
      </w:r>
      <w:r>
        <w:rPr>
          <w:sz w:val="21"/>
        </w:rPr>
        <w:tab/>
      </w:r>
      <w:r>
        <w:fldChar w:fldCharType="begin"/>
      </w:r>
      <w:r>
        <w:instrText>PAGEREF Figure5_6 \h</w:instrText>
      </w:r>
      <w:r>
        <w:fldChar w:fldCharType="separate"/>
      </w:r>
      <w:r>
        <w:rPr>
          <w:noProof/>
        </w:rPr>
        <w:t>33</w:t>
      </w:r>
      <w:r>
        <w:fldChar w:fldCharType="end"/>
      </w:r>
    </w:p>
    <w:p w14:paraId="247ED679" w14:textId="56B9F4CD" w:rsidR="00355E5A" w:rsidRDefault="003C4050">
      <w:pPr>
        <w:tabs>
          <w:tab w:val="right" w:pos="8784"/>
        </w:tabs>
        <w:spacing w:after="80"/>
      </w:pPr>
      <w:r>
        <w:rPr>
          <w:sz w:val="21"/>
        </w:rPr>
        <w:t>Figure 5.7 Spatial held</w:t>
      </w:r>
      <w:r>
        <w:rPr>
          <w:sz w:val="21"/>
        </w:rPr>
        <w:t>-out climate-model raw NSE, anomaly NSE and RMSE.</w:t>
      </w:r>
      <w:r>
        <w:rPr>
          <w:sz w:val="21"/>
        </w:rPr>
        <w:tab/>
      </w:r>
      <w:r>
        <w:fldChar w:fldCharType="begin"/>
      </w:r>
      <w:r>
        <w:instrText>PAGEREF Figure5_7 \h</w:instrText>
      </w:r>
      <w:r>
        <w:fldChar w:fldCharType="separate"/>
      </w:r>
      <w:r>
        <w:rPr>
          <w:noProof/>
        </w:rPr>
        <w:t>34</w:t>
      </w:r>
      <w:r>
        <w:fldChar w:fldCharType="end"/>
      </w:r>
    </w:p>
    <w:p w14:paraId="30F6B12E" w14:textId="62C27E6F" w:rsidR="00355E5A" w:rsidRDefault="003C4050">
      <w:pPr>
        <w:tabs>
          <w:tab w:val="right" w:pos="8784"/>
        </w:tabs>
        <w:spacing w:after="80"/>
      </w:pPr>
      <w:r>
        <w:rPr>
          <w:sz w:val="21"/>
        </w:rPr>
        <w:t>Figure 5.8 Climate-model anomaly NSE and RMSE by held-out year, with spatial interquartile variation.</w:t>
      </w:r>
      <w:r>
        <w:rPr>
          <w:sz w:val="21"/>
        </w:rPr>
        <w:tab/>
      </w:r>
      <w:r>
        <w:fldChar w:fldCharType="begin"/>
      </w:r>
      <w:r>
        <w:instrText>PAGEREF Figure5_8 \h</w:instrText>
      </w:r>
      <w:r>
        <w:fldChar w:fldCharType="separate"/>
      </w:r>
      <w:r>
        <w:rPr>
          <w:noProof/>
        </w:rPr>
        <w:t>35</w:t>
      </w:r>
      <w:r>
        <w:fldChar w:fldCharType="end"/>
      </w:r>
    </w:p>
    <w:p w14:paraId="02F807A8" w14:textId="7BF9F3C0" w:rsidR="00355E5A" w:rsidRDefault="003C4050">
      <w:pPr>
        <w:tabs>
          <w:tab w:val="right" w:pos="8784"/>
        </w:tabs>
        <w:spacing w:after="80"/>
      </w:pPr>
      <w:r>
        <w:rPr>
          <w:sz w:val="21"/>
        </w:rPr>
        <w:t>Figure 5.9 Spatial TWSA and GWSA residual trends and paired modeled direct-human perturbations.</w:t>
      </w:r>
      <w:r>
        <w:rPr>
          <w:sz w:val="21"/>
        </w:rPr>
        <w:tab/>
      </w:r>
      <w:r>
        <w:fldChar w:fldCharType="begin"/>
      </w:r>
      <w:r>
        <w:instrText>PAGEREF Figure5_9 \h</w:instrText>
      </w:r>
      <w:r>
        <w:fldChar w:fldCharType="separate"/>
      </w:r>
      <w:r>
        <w:rPr>
          <w:noProof/>
        </w:rPr>
        <w:t>36</w:t>
      </w:r>
      <w:r>
        <w:fldChar w:fldCharType="end"/>
      </w:r>
    </w:p>
    <w:p w14:paraId="004A78A0" w14:textId="57EF8DA6" w:rsidR="00355E5A" w:rsidRDefault="003C4050">
      <w:pPr>
        <w:tabs>
          <w:tab w:val="right" w:pos="8784"/>
        </w:tabs>
        <w:spacing w:after="80"/>
      </w:pPr>
      <w:r>
        <w:rPr>
          <w:sz w:val="21"/>
        </w:rPr>
        <w:t>Figure 5.10 TWSA residual and modeled human time series for all 22 basins.</w:t>
      </w:r>
      <w:r>
        <w:rPr>
          <w:sz w:val="21"/>
        </w:rPr>
        <w:tab/>
      </w:r>
      <w:r>
        <w:fldChar w:fldCharType="begin"/>
      </w:r>
      <w:r>
        <w:instrText>PAGEREF Figure5_10 \h</w:instrText>
      </w:r>
      <w:r>
        <w:fldChar w:fldCharType="separate"/>
      </w:r>
      <w:r>
        <w:rPr>
          <w:noProof/>
        </w:rPr>
        <w:t>37</w:t>
      </w:r>
      <w:r>
        <w:fldChar w:fldCharType="end"/>
      </w:r>
    </w:p>
    <w:p w14:paraId="44023545" w14:textId="29AE8E55" w:rsidR="00355E5A" w:rsidRDefault="003C4050">
      <w:pPr>
        <w:tabs>
          <w:tab w:val="right" w:pos="8784"/>
        </w:tabs>
        <w:spacing w:after="80"/>
      </w:pPr>
      <w:r>
        <w:rPr>
          <w:sz w:val="21"/>
        </w:rPr>
        <w:t>Figure 5.11 GWSA residual and modeled human time series for all 22 basins.</w:t>
      </w:r>
      <w:r>
        <w:rPr>
          <w:sz w:val="21"/>
        </w:rPr>
        <w:tab/>
      </w:r>
      <w:r>
        <w:fldChar w:fldCharType="begin"/>
      </w:r>
      <w:r>
        <w:instrText>PAGEREF Figur</w:instrText>
      </w:r>
      <w:r>
        <w:instrText>e5_11 \h</w:instrText>
      </w:r>
      <w:r>
        <w:fldChar w:fldCharType="separate"/>
      </w:r>
      <w:r>
        <w:rPr>
          <w:noProof/>
        </w:rPr>
        <w:t>38</w:t>
      </w:r>
      <w:r>
        <w:fldChar w:fldCharType="end"/>
      </w:r>
    </w:p>
    <w:p w14:paraId="23C269CF" w14:textId="4796234E" w:rsidR="00355E5A" w:rsidRDefault="003C4050">
      <w:pPr>
        <w:tabs>
          <w:tab w:val="right" w:pos="8784"/>
        </w:tabs>
        <w:spacing w:after="80"/>
      </w:pPr>
      <w:r>
        <w:rPr>
          <w:sz w:val="21"/>
        </w:rPr>
        <w:t>Figure 5.12 Spatial GLDAS and naturalized-model land-storage trends on matched compartment support.</w:t>
      </w:r>
      <w:r>
        <w:rPr>
          <w:sz w:val="21"/>
        </w:rPr>
        <w:tab/>
      </w:r>
      <w:r>
        <w:fldChar w:fldCharType="begin"/>
      </w:r>
      <w:r>
        <w:instrText>PAGEREF Figure5_12 \h</w:instrText>
      </w:r>
      <w:r>
        <w:fldChar w:fldCharType="separate"/>
      </w:r>
      <w:r>
        <w:rPr>
          <w:noProof/>
        </w:rPr>
        <w:t>39</w:t>
      </w:r>
      <w:r>
        <w:fldChar w:fldCharType="end"/>
      </w:r>
    </w:p>
    <w:p w14:paraId="7461FA4B" w14:textId="408894A6" w:rsidR="00355E5A" w:rsidRDefault="003C4050">
      <w:pPr>
        <w:tabs>
          <w:tab w:val="right" w:pos="8784"/>
        </w:tabs>
        <w:spacing w:after="80"/>
      </w:pPr>
      <w:r>
        <w:rPr>
          <w:sz w:val="21"/>
        </w:rPr>
        <w:t>Figure 5.13 GLDAS and naturalized land-storage time series for all 22 basins.</w:t>
      </w:r>
      <w:r>
        <w:rPr>
          <w:sz w:val="21"/>
        </w:rPr>
        <w:tab/>
      </w:r>
      <w:r>
        <w:fldChar w:fldCharType="begin"/>
      </w:r>
      <w:r>
        <w:instrText>PAGEREF Figure5_13 \h</w:instrText>
      </w:r>
      <w:r>
        <w:fldChar w:fldCharType="separate"/>
      </w:r>
      <w:r>
        <w:rPr>
          <w:noProof/>
        </w:rPr>
        <w:t>40</w:t>
      </w:r>
      <w:r>
        <w:fldChar w:fldCharType="end"/>
      </w:r>
    </w:p>
    <w:p w14:paraId="6DCC161D" w14:textId="7FC32D83" w:rsidR="00355E5A" w:rsidRDefault="003C4050">
      <w:pPr>
        <w:tabs>
          <w:tab w:val="right" w:pos="8784"/>
        </w:tabs>
        <w:spacing w:after="80"/>
      </w:pPr>
      <w:r>
        <w:rPr>
          <w:sz w:val="21"/>
        </w:rPr>
        <w:t>Figure 5.14 Spatial standardized trends and dependence between GLDAS land storage and resi</w:t>
      </w:r>
      <w:r>
        <w:rPr>
          <w:sz w:val="21"/>
        </w:rPr>
        <w:t>duals.</w:t>
      </w:r>
      <w:r>
        <w:rPr>
          <w:sz w:val="21"/>
        </w:rPr>
        <w:tab/>
      </w:r>
      <w:r>
        <w:fldChar w:fldCharType="begin"/>
      </w:r>
      <w:r>
        <w:instrText>PAGEREF Figure5_14 \h</w:instrText>
      </w:r>
      <w:r>
        <w:fldChar w:fldCharType="separate"/>
      </w:r>
      <w:r>
        <w:rPr>
          <w:noProof/>
        </w:rPr>
        <w:t>41</w:t>
      </w:r>
      <w:r>
        <w:fldChar w:fldCharType="end"/>
      </w:r>
    </w:p>
    <w:p w14:paraId="497954F0" w14:textId="49AAEC2F" w:rsidR="00355E5A" w:rsidRDefault="003C4050">
      <w:pPr>
        <w:tabs>
          <w:tab w:val="right" w:pos="8784"/>
        </w:tabs>
        <w:spacing w:after="80"/>
      </w:pPr>
      <w:r>
        <w:rPr>
          <w:sz w:val="21"/>
        </w:rPr>
        <w:t>Figure 5.15 GLDAS land storage and both residual histories for all 22 basins, standardized on common months.</w:t>
      </w:r>
      <w:r>
        <w:rPr>
          <w:sz w:val="21"/>
        </w:rPr>
        <w:tab/>
      </w:r>
      <w:r>
        <w:fldChar w:fldCharType="begin"/>
      </w:r>
      <w:r>
        <w:instrText>PAGEREF Figure5_15 \h</w:instrText>
      </w:r>
      <w:r>
        <w:fldChar w:fldCharType="separate"/>
      </w:r>
      <w:r>
        <w:rPr>
          <w:noProof/>
        </w:rPr>
        <w:t>42</w:t>
      </w:r>
      <w:r>
        <w:fldChar w:fldCharType="end"/>
      </w:r>
    </w:p>
    <w:p w14:paraId="4EBC6583" w14:textId="02716E82" w:rsidR="00355E5A" w:rsidRDefault="003C4050">
      <w:pPr>
        <w:tabs>
          <w:tab w:val="right" w:pos="8784"/>
        </w:tabs>
        <w:spacing w:after="80"/>
      </w:pPr>
      <w:r>
        <w:rPr>
          <w:sz w:val="21"/>
        </w:rPr>
        <w:t>Figure 5.16 Spatial raw and detrended residual–head correlations and observed annual support.</w:t>
      </w:r>
      <w:r>
        <w:rPr>
          <w:sz w:val="21"/>
        </w:rPr>
        <w:tab/>
      </w:r>
      <w:r>
        <w:fldChar w:fldCharType="begin"/>
      </w:r>
      <w:r>
        <w:instrText>PAGEREF Figure5_16 \h</w:instrText>
      </w:r>
      <w:r>
        <w:fldChar w:fldCharType="separate"/>
      </w:r>
      <w:r>
        <w:rPr>
          <w:noProof/>
        </w:rPr>
        <w:t>43</w:t>
      </w:r>
      <w:r>
        <w:fldChar w:fldCharType="end"/>
      </w:r>
    </w:p>
    <w:p w14:paraId="2C8F22C4" w14:textId="79450FCD" w:rsidR="00355E5A" w:rsidRDefault="003C4050">
      <w:pPr>
        <w:tabs>
          <w:tab w:val="right" w:pos="8784"/>
        </w:tabs>
        <w:spacing w:after="80"/>
      </w:pPr>
      <w:r>
        <w:rPr>
          <w:sz w:val="21"/>
        </w:rPr>
        <w:t>Figure 5.17 Annual groundwater and residual histories for all 22 basins on joint support.</w:t>
      </w:r>
      <w:r>
        <w:rPr>
          <w:sz w:val="21"/>
        </w:rPr>
        <w:tab/>
      </w:r>
      <w:r>
        <w:fldChar w:fldCharType="begin"/>
      </w:r>
      <w:r>
        <w:instrText>PAGEREF Figure5_17 \h</w:instrText>
      </w:r>
      <w:r>
        <w:fldChar w:fldCharType="separate"/>
      </w:r>
      <w:r>
        <w:rPr>
          <w:noProof/>
        </w:rPr>
        <w:t>44</w:t>
      </w:r>
      <w:r>
        <w:fldChar w:fldCharType="end"/>
      </w:r>
    </w:p>
    <w:p w14:paraId="0A357A52" w14:textId="5B23037D" w:rsidR="00355E5A" w:rsidRDefault="003C4050">
      <w:pPr>
        <w:tabs>
          <w:tab w:val="right" w:pos="8784"/>
        </w:tabs>
        <w:spacing w:after="80"/>
      </w:pPr>
      <w:r>
        <w:rPr>
          <w:sz w:val="21"/>
        </w:rPr>
        <w:t>Figure 5.18 Spatia</w:t>
      </w:r>
      <w:r>
        <w:rPr>
          <w:sz w:val="21"/>
        </w:rPr>
        <w:t>l reservoir–residual agreement and fixed reservoir populations; hatching denotes missing evidence.</w:t>
      </w:r>
      <w:r>
        <w:rPr>
          <w:sz w:val="21"/>
        </w:rPr>
        <w:tab/>
      </w:r>
      <w:r>
        <w:fldChar w:fldCharType="begin"/>
      </w:r>
      <w:r>
        <w:instrText>PAGEREF Figure5_18 \h</w:instrText>
      </w:r>
      <w:r>
        <w:fldChar w:fldCharType="separate"/>
      </w:r>
      <w:r>
        <w:rPr>
          <w:noProof/>
        </w:rPr>
        <w:t>45</w:t>
      </w:r>
      <w:r>
        <w:fldChar w:fldCharType="end"/>
      </w:r>
    </w:p>
    <w:p w14:paraId="40A24959" w14:textId="4B72F8A3" w:rsidR="00355E5A" w:rsidRDefault="003C4050">
      <w:pPr>
        <w:tabs>
          <w:tab w:val="right" w:pos="8784"/>
        </w:tabs>
        <w:spacing w:after="80"/>
      </w:pPr>
      <w:r>
        <w:rPr>
          <w:sz w:val="21"/>
        </w:rPr>
        <w:t>Figure 5.19 Residual–head evaluation and represented observation-network</w:t>
      </w:r>
      <w:r>
        <w:rPr>
          <w:sz w:val="21"/>
        </w:rPr>
        <w:t xml:space="preserve"> support through time.</w:t>
      </w:r>
      <w:r>
        <w:rPr>
          <w:sz w:val="21"/>
        </w:rPr>
        <w:tab/>
      </w:r>
      <w:r>
        <w:fldChar w:fldCharType="begin"/>
      </w:r>
      <w:r>
        <w:instrText>PAGEREF Figure5_19 \h</w:instrText>
      </w:r>
      <w:r>
        <w:fldChar w:fldCharType="separate"/>
      </w:r>
      <w:r>
        <w:rPr>
          <w:noProof/>
        </w:rPr>
        <w:t>46</w:t>
      </w:r>
      <w:r>
        <w:fldChar w:fldCharType="end"/>
      </w:r>
    </w:p>
    <w:p w14:paraId="2CE49F98" w14:textId="77777777" w:rsidR="00355E5A" w:rsidRDefault="003C4050">
      <w:pPr>
        <w:keepNext/>
        <w:pageBreakBefore/>
        <w:spacing w:after="160"/>
      </w:pPr>
      <w:r>
        <w:rPr>
          <w:b/>
        </w:rPr>
        <w:lastRenderedPageBreak/>
        <w:t>LIST OF TABLES</w:t>
      </w:r>
    </w:p>
    <w:p w14:paraId="59CB4FE7" w14:textId="25415C1D" w:rsidR="00355E5A" w:rsidRDefault="003C4050">
      <w:pPr>
        <w:tabs>
          <w:tab w:val="right" w:pos="8784"/>
        </w:tabs>
        <w:spacing w:after="180" w:line="288" w:lineRule="auto"/>
      </w:pPr>
      <w:r>
        <w:t>Table 3.1 Input records and scientific roles</w:t>
      </w:r>
      <w:r>
        <w:tab/>
      </w:r>
      <w:r>
        <w:fldChar w:fldCharType="begin"/>
      </w:r>
      <w:r>
        <w:instrText>PAGEREF Table3_1 \h</w:instrText>
      </w:r>
      <w:r>
        <w:fldChar w:fldCharType="separate"/>
      </w:r>
      <w:r>
        <w:rPr>
          <w:noProof/>
        </w:rPr>
        <w:t>13</w:t>
      </w:r>
      <w:r>
        <w:fldChar w:fldCharType="end"/>
      </w:r>
    </w:p>
    <w:p w14:paraId="67C527E8" w14:textId="2282405E" w:rsidR="00355E5A" w:rsidRDefault="003C4050">
      <w:pPr>
        <w:tabs>
          <w:tab w:val="right" w:pos="8784"/>
        </w:tabs>
        <w:spacing w:after="180" w:line="288" w:lineRule="auto"/>
      </w:pPr>
      <w:r>
        <w:t xml:space="preserve">Table </w:t>
      </w:r>
      <w:r>
        <w:t>3.2 Storage-compartment definitions</w:t>
      </w:r>
      <w:r>
        <w:tab/>
      </w:r>
      <w:r>
        <w:fldChar w:fldCharType="begin"/>
      </w:r>
      <w:r>
        <w:instrText>PAGEREF Table3_2 \h</w:instrText>
      </w:r>
      <w:r>
        <w:fldChar w:fldCharType="separate"/>
      </w:r>
      <w:r>
        <w:rPr>
          <w:noProof/>
        </w:rPr>
        <w:t>15</w:t>
      </w:r>
      <w:r>
        <w:fldChar w:fldCharType="end"/>
      </w:r>
    </w:p>
    <w:p w14:paraId="1198EB11" w14:textId="73F43A59" w:rsidR="00355E5A" w:rsidRDefault="003C4050">
      <w:pPr>
        <w:tabs>
          <w:tab w:val="right" w:pos="8784"/>
        </w:tabs>
        <w:spacing w:after="180" w:line="288" w:lineRule="auto"/>
      </w:pPr>
      <w:r>
        <w:t>Table 4.1 Evaluation chronology</w:t>
      </w:r>
      <w:r>
        <w:tab/>
      </w:r>
      <w:r>
        <w:fldChar w:fldCharType="begin"/>
      </w:r>
      <w:r>
        <w:instrText>PAGEREF Table4_1 \h</w:instrText>
      </w:r>
      <w:r>
        <w:fldChar w:fldCharType="separate"/>
      </w:r>
      <w:r>
        <w:rPr>
          <w:noProof/>
        </w:rPr>
        <w:t>22</w:t>
      </w:r>
      <w:r>
        <w:fldChar w:fldCharType="end"/>
      </w:r>
    </w:p>
    <w:p w14:paraId="327EA15A" w14:textId="7AB13108" w:rsidR="00355E5A" w:rsidRDefault="003C4050">
      <w:pPr>
        <w:tabs>
          <w:tab w:val="right" w:pos="8784"/>
        </w:tabs>
        <w:spacing w:after="180" w:line="288" w:lineRule="auto"/>
      </w:pPr>
      <w:r>
        <w:t>Table 5.1 National sourc</w:t>
      </w:r>
      <w:r>
        <w:t>e and structure comparisons</w:t>
      </w:r>
      <w:r>
        <w:tab/>
      </w:r>
      <w:r>
        <w:fldChar w:fldCharType="begin"/>
      </w:r>
      <w:r>
        <w:instrText>PAGEREF Table5_1 \h</w:instrText>
      </w:r>
      <w:r>
        <w:fldChar w:fldCharType="separate"/>
      </w:r>
      <w:r>
        <w:rPr>
          <w:noProof/>
        </w:rPr>
        <w:t>30</w:t>
      </w:r>
      <w:r>
        <w:fldChar w:fldCharType="end"/>
      </w:r>
    </w:p>
    <w:p w14:paraId="3F00B9AF" w14:textId="4073FFC8" w:rsidR="00355E5A" w:rsidRDefault="003C4050">
      <w:pPr>
        <w:tabs>
          <w:tab w:val="right" w:pos="8784"/>
        </w:tabs>
        <w:spacing w:after="180" w:line="288" w:lineRule="auto"/>
      </w:pPr>
      <w:r>
        <w:t>Table 5.2 National groundwater-panel comparisons</w:t>
      </w:r>
      <w:r>
        <w:tab/>
      </w:r>
      <w:r>
        <w:fldChar w:fldCharType="begin"/>
      </w:r>
      <w:r>
        <w:instrText>PAGEREF Table5_2 \h</w:instrText>
      </w:r>
      <w:r>
        <w:fldChar w:fldCharType="separate"/>
      </w:r>
      <w:r>
        <w:rPr>
          <w:noProof/>
        </w:rPr>
        <w:t>43</w:t>
      </w:r>
      <w:r>
        <w:fldChar w:fldCharType="end"/>
      </w:r>
    </w:p>
    <w:p w14:paraId="19E04D10" w14:textId="52A96C65" w:rsidR="00355E5A" w:rsidRDefault="003C4050">
      <w:pPr>
        <w:tabs>
          <w:tab w:val="right" w:pos="8784"/>
        </w:tabs>
        <w:spacing w:after="180" w:line="288" w:lineRule="auto"/>
      </w:pPr>
      <w:r>
        <w:t>Table A.1 All-ba</w:t>
      </w:r>
      <w:r>
        <w:t>sin storage, native support and head evidence</w:t>
      </w:r>
      <w:r>
        <w:tab/>
      </w:r>
      <w:r>
        <w:fldChar w:fldCharType="begin"/>
      </w:r>
      <w:r>
        <w:instrText>PAGEREF TableA_1 \h</w:instrText>
      </w:r>
      <w:r>
        <w:fldChar w:fldCharType="separate"/>
      </w:r>
      <w:r>
        <w:rPr>
          <w:noProof/>
        </w:rPr>
        <w:t>53</w:t>
      </w:r>
      <w:r>
        <w:fldChar w:fldCharType="end"/>
      </w:r>
    </w:p>
    <w:p w14:paraId="4CF91429" w14:textId="77777777" w:rsidR="00355E5A" w:rsidRDefault="003C4050">
      <w:pPr>
        <w:keepNext/>
        <w:pageBreakBefore/>
        <w:spacing w:after="160"/>
      </w:pPr>
      <w:r>
        <w:rPr>
          <w:b/>
        </w:rPr>
        <w:lastRenderedPageBreak/>
        <w:t>ABBREVIATIONS AND SYMBOLS</w:t>
      </w:r>
    </w:p>
    <w:p w14:paraId="0A874F53" w14:textId="77777777" w:rsidR="00355E5A" w:rsidRDefault="003C4050">
      <w:pPr>
        <w:spacing w:after="140" w:line="312" w:lineRule="auto"/>
      </w:pPr>
      <w:r>
        <w:t>AIT — Asian Institute of Technology</w:t>
      </w:r>
    </w:p>
    <w:p w14:paraId="03FAE23F" w14:textId="77777777" w:rsidR="00355E5A" w:rsidRDefault="003C4050">
      <w:pPr>
        <w:spacing w:after="140" w:line="312" w:lineRule="auto"/>
      </w:pPr>
      <w:r>
        <w:t>CSR — Center for Space Research</w:t>
      </w:r>
    </w:p>
    <w:p w14:paraId="4AC63C1D" w14:textId="77777777" w:rsidR="00355E5A" w:rsidRDefault="003C4050">
      <w:pPr>
        <w:spacing w:after="140" w:line="312" w:lineRule="auto"/>
      </w:pPr>
      <w:r>
        <w:t>TWSA — Terrestrial water storage anomaly</w:t>
      </w:r>
    </w:p>
    <w:p w14:paraId="31FD0B57" w14:textId="77777777" w:rsidR="00355E5A" w:rsidRDefault="003C4050">
      <w:pPr>
        <w:spacing w:after="140" w:line="312" w:lineRule="auto"/>
      </w:pPr>
      <w:r>
        <w:t>GWSA — Groundwater storage anomaly</w:t>
      </w:r>
    </w:p>
    <w:p w14:paraId="53A8C42C" w14:textId="77777777" w:rsidR="00355E5A" w:rsidRDefault="003C4050">
      <w:pPr>
        <w:spacing w:after="140" w:line="312" w:lineRule="auto"/>
      </w:pPr>
      <w:r>
        <w:t>GLDAS — Global Land Data A</w:t>
      </w:r>
      <w:r>
        <w:t>ssimilation System</w:t>
      </w:r>
    </w:p>
    <w:p w14:paraId="0C7AB556" w14:textId="77777777" w:rsidR="00355E5A" w:rsidRDefault="003C4050">
      <w:pPr>
        <w:spacing w:after="140" w:line="312" w:lineRule="auto"/>
      </w:pPr>
      <w:r>
        <w:t>G3P — Global Gravity-based Groundwater Product</w:t>
      </w:r>
    </w:p>
    <w:p w14:paraId="5A8B668D" w14:textId="77777777" w:rsidR="00355E5A" w:rsidRDefault="003C4050">
      <w:pPr>
        <w:spacing w:after="140" w:line="312" w:lineRule="auto"/>
      </w:pPr>
      <w:r>
        <w:t>NSE — Nash–Sutcliffe efficiency</w:t>
      </w:r>
    </w:p>
    <w:p w14:paraId="30EA25E9" w14:textId="77777777" w:rsidR="00355E5A" w:rsidRDefault="003C4050">
      <w:pPr>
        <w:spacing w:after="140" w:line="312" w:lineRule="auto"/>
      </w:pPr>
      <w:r>
        <w:t>FDR — False discovery rate</w:t>
      </w:r>
    </w:p>
    <w:p w14:paraId="21BD2AB2" w14:textId="77777777" w:rsidR="00355E5A" w:rsidRDefault="003C4050">
      <w:pPr>
        <w:spacing w:after="140" w:line="312" w:lineRule="auto"/>
      </w:pPr>
      <w:r>
        <w:t>OLS — Ordinary least squares</w:t>
      </w:r>
    </w:p>
    <w:p w14:paraId="711BBA57" w14:textId="77777777" w:rsidR="00355E5A" w:rsidRDefault="003C4050">
      <w:pPr>
        <w:spacing w:after="140" w:line="312" w:lineRule="auto"/>
      </w:pPr>
      <w:r>
        <w:t>P and PET — Precipitation and potential evapotranspiration</w:t>
      </w:r>
    </w:p>
    <w:p w14:paraId="4FC886FA" w14:textId="77777777" w:rsidR="00355E5A" w:rsidRDefault="003C4050">
      <w:pPr>
        <w:spacing w:after="140" w:line="312" w:lineRule="auto"/>
      </w:pPr>
      <w:r>
        <w:t xml:space="preserve">O, C and A — Observed, </w:t>
      </w:r>
      <w:r>
        <w:t>naturalized and historical-human storage</w:t>
      </w:r>
    </w:p>
    <w:p w14:paraId="5AEF09E6" w14:textId="77777777" w:rsidR="00355E5A" w:rsidRDefault="003C4050">
      <w:pPr>
        <w:spacing w:after="140" w:line="312" w:lineRule="auto"/>
      </w:pPr>
      <w:r>
        <w:t>R, H and E — Residual, modeled direct-human perturbation and discrepancy</w:t>
      </w:r>
    </w:p>
    <w:p w14:paraId="1F5B97AB" w14:textId="77777777" w:rsidR="00355E5A" w:rsidRDefault="003C4050">
      <w:pPr>
        <w:spacing w:after="140" w:line="312" w:lineRule="auto"/>
      </w:pPr>
      <w:r>
        <w:t>D — Descriptive discrepancy-magnitude index</w:t>
      </w:r>
    </w:p>
    <w:p w14:paraId="17D6502B" w14:textId="77777777" w:rsidR="00355E5A" w:rsidRDefault="003C4050">
      <w:pPr>
        <w:spacing w:after="140" w:line="312" w:lineRule="auto"/>
      </w:pPr>
      <w:r>
        <w:t>Head — Signed negative depth to water; not water-storage volume</w:t>
      </w:r>
    </w:p>
    <w:p w14:paraId="13CE3B52" w14:textId="77777777" w:rsidR="00355E5A" w:rsidRDefault="00355E5A">
      <w:pPr>
        <w:sectPr w:rsidR="00355E5A">
          <w:footerReference w:type="even" r:id="rId11"/>
          <w:footerReference w:type="default" r:id="rId12"/>
          <w:footerReference w:type="first" r:id="rId13"/>
          <w:pgSz w:w="11909" w:h="16834"/>
          <w:pgMar w:top="1440" w:right="1440" w:bottom="1440" w:left="1440" w:header="706" w:footer="706" w:gutter="0"/>
          <w:pgNumType w:fmt="lowerRoman" w:start="1"/>
          <w:cols w:space="720"/>
          <w:titlePg/>
          <w:docGrid w:linePitch="381"/>
        </w:sectPr>
      </w:pPr>
    </w:p>
    <w:p w14:paraId="69C66705" w14:textId="77777777" w:rsidR="00355E5A" w:rsidRDefault="003C4050">
      <w:pPr>
        <w:pStyle w:val="Heading1"/>
        <w:numPr>
          <w:ilvl w:val="0"/>
          <w:numId w:val="0"/>
        </w:numPr>
        <w:spacing w:after="480" w:line="240" w:lineRule="auto"/>
      </w:pPr>
      <w:bookmarkStart w:id="1" w:name="_Toc243829204"/>
      <w:r>
        <w:lastRenderedPageBreak/>
        <w:t>CHAPTER 1</w:t>
      </w:r>
      <w:r>
        <w:br/>
        <w:t>INTRODUCTION</w:t>
      </w:r>
      <w:bookmarkEnd w:id="1"/>
    </w:p>
    <w:p w14:paraId="7B6B076D" w14:textId="77777777" w:rsidR="00355E5A" w:rsidRDefault="003C4050">
      <w:pPr>
        <w:keepNext/>
        <w:spacing w:after="160"/>
      </w:pPr>
      <w:r>
        <w:rPr>
          <w:b/>
        </w:rPr>
        <w:t>1.1 Water storage and the research problem</w:t>
      </w:r>
    </w:p>
    <w:p w14:paraId="5408CDEB" w14:textId="77777777" w:rsidR="00355E5A" w:rsidRDefault="003C4050">
      <w:pPr>
        <w:spacing w:after="80" w:line="360" w:lineRule="auto"/>
        <w:jc w:val="both"/>
      </w:pPr>
      <w:r>
        <w:t xml:space="preserve">Water-storage change integrates processes that are observed separately by rain gauges, land-surface sensors, reservoir records and groundwater </w:t>
      </w:r>
      <w:r>
        <w:t>wells. Precipitation supplies water, evapotranspiration returns part of it to the atmosphere, and routing and subsurface storage determine when the remainder becomes available. A persistent storage decline can therefore matter even where rainfall remains s</w:t>
      </w:r>
      <w:r>
        <w:t>trongly seasonal. The practical question is whether the available observations identify a regional change, its location and the processes that explain it.</w:t>
      </w:r>
    </w:p>
    <w:p w14:paraId="70D08ACF" w14:textId="77777777" w:rsidR="00355E5A" w:rsidRDefault="003C4050">
      <w:pPr>
        <w:spacing w:after="80" w:line="360" w:lineRule="auto"/>
        <w:jc w:val="both"/>
      </w:pPr>
      <w:r>
        <w:t>Satellite gravimetry provides a broad view of terrestrial water storage anomaly, or TWSA. It responds</w:t>
      </w:r>
      <w:r>
        <w:t xml:space="preserve"> to changes in total water mass rather than to groundwater alone. Groundwater storage anomaly, GWSA, must be estimated by removing the other storage compartments. This subtraction introduces information from hydrological models, so the resulting groundwate</w:t>
      </w:r>
      <w:r>
        <w:t>r series inherits their structural assumptions as well as the limitations of the gravity observations. Spatially detailed output grids do not remove that dependence.</w:t>
      </w:r>
    </w:p>
    <w:p w14:paraId="0B6A0A42" w14:textId="77777777" w:rsidR="00355E5A" w:rsidRDefault="003C4050">
      <w:pPr>
        <w:spacing w:after="80" w:line="360" w:lineRule="auto"/>
        <w:jc w:val="both"/>
      </w:pPr>
      <w:r>
        <w:t>Thailand offers an important setting for this distinction. Its principal river basins prov</w:t>
      </w:r>
      <w:r>
        <w:t>ide a useful administrative framework for comparing storage conditions, while the satellite observations integrate information across areas that can exceed individual basin boundaries. The study uses all 22 official principal basins and national context. I</w:t>
      </w:r>
      <w:r>
        <w:t>t retains the basin definitions supplied with the project rather than redrawing boundaries to obtain stronger statistical associations or more favourable trends.</w:t>
      </w:r>
    </w:p>
    <w:p w14:paraId="7E183E8B" w14:textId="77777777" w:rsidR="00355E5A" w:rsidRDefault="003C4050">
      <w:pPr>
        <w:spacing w:after="80" w:line="360" w:lineRule="auto"/>
        <w:jc w:val="both"/>
      </w:pPr>
      <w:r>
        <w:t>The research connects three tasks: describing storage change, evaluating a climate-related bas</w:t>
      </w:r>
      <w:r>
        <w:t>eline and delivering results through an interactive decision-support system. These tasks require different evidence. A trend estimate describes a record; an emulator score describes a model comparison; and well agreement describes a relationship between sp</w:t>
      </w:r>
      <w:r>
        <w:t>atially mismatched observations. Keeping these meanings distinct makes the analysis useful even where an attribution hypothesis is not confirmed.</w:t>
      </w:r>
    </w:p>
    <w:p w14:paraId="03246006" w14:textId="77777777" w:rsidR="00355E5A" w:rsidRDefault="003C4050">
      <w:pPr>
        <w:spacing w:after="80" w:line="360" w:lineRule="auto"/>
        <w:jc w:val="both"/>
      </w:pPr>
      <w:r>
        <w:t>The central proposition of this thesis is that attribution should be assessed through its sensitivity and obse</w:t>
      </w:r>
      <w:r>
        <w:t>rvational support, rather than through a single high correlation. The analysis therefore evaluates product dependence, climate-memory skill, paired model discrepancy and groundwater-network uncertainty together. Its conclusions concern both the observed wa</w:t>
      </w:r>
      <w:r>
        <w:t>ter-storage changes and the strength of the evidence available to interpret them.</w:t>
      </w:r>
    </w:p>
    <w:p w14:paraId="25846DAB" w14:textId="77777777" w:rsidR="00355E5A" w:rsidRDefault="003C4050">
      <w:pPr>
        <w:pStyle w:val="Heading2"/>
        <w:pageBreakBefore/>
        <w:numPr>
          <w:ilvl w:val="1"/>
          <w:numId w:val="0"/>
        </w:numPr>
        <w:spacing w:after="160" w:line="240" w:lineRule="auto"/>
      </w:pPr>
      <w:bookmarkStart w:id="2" w:name="_Toc243829205"/>
      <w:r>
        <w:lastRenderedPageBreak/>
        <w:t>Why climate and human effects are difficult to separate</w:t>
      </w:r>
      <w:bookmarkEnd w:id="2"/>
    </w:p>
    <w:p w14:paraId="64700865" w14:textId="77777777" w:rsidR="00355E5A" w:rsidRDefault="003C4050">
      <w:pPr>
        <w:spacing w:after="80" w:line="360" w:lineRule="auto"/>
        <w:jc w:val="both"/>
      </w:pPr>
      <w:r>
        <w:t>A common attribution procedure predicts storage from meteorological variables and labels observed minus predicted stor</w:t>
      </w:r>
      <w:r>
        <w:t>age as a human component. That interpretation is demanding. If a statistical model is trained directly on GRACE observations, its target already contains any effects of abstraction, irrigation and reservoir operation present during the training period. The</w:t>
      </w:r>
      <w:r>
        <w:t xml:space="preserve"> fitted relationship is not automatically an estimate of a world without those activities. Adding more predictors does not resolve this identification problem.</w:t>
      </w:r>
    </w:p>
    <w:p w14:paraId="38FF0247" w14:textId="77777777" w:rsidR="00355E5A" w:rsidRDefault="003C4050">
      <w:pPr>
        <w:spacing w:after="80" w:line="360" w:lineRule="auto"/>
        <w:jc w:val="both"/>
      </w:pPr>
      <w:r>
        <w:t>Some predictors also respond to management. Actual evapotranspiration can increase where irrigat</w:t>
      </w:r>
      <w:r>
        <w:t>ion supplies water, and observed soil moisture can reflect both rainfall and irrigation. Such variables are useful for prediction and for describing the hydroclimatic system, but they cannot be assumed to represent an external climatic cause. This thesis c</w:t>
      </w:r>
      <w:r>
        <w:t>onsequently uses meteorological precipitation and potential evapotranspiration for the principal naturalized-model emulators and treats actual-ET and moisture products as supporting context.</w:t>
      </w:r>
    </w:p>
    <w:p w14:paraId="2A0733BD" w14:textId="77777777" w:rsidR="00355E5A" w:rsidRDefault="003C4050">
      <w:pPr>
        <w:spacing w:after="80" w:line="360" w:lineRule="auto"/>
        <w:jc w:val="both"/>
      </w:pPr>
      <w:r>
        <w:t>A naturalized hydrological simulation supplies a more explicit co</w:t>
      </w:r>
      <w:r>
        <w:t>unterfactual experiment. In the WaterGAP pairing used here, direct water use and artificial reservoirs are removed in one run and represented in the historical-human run. The simulations share a model and meteorological forcing. Their difference identifies</w:t>
      </w:r>
      <w:r>
        <w:t xml:space="preserve"> the direct human perturbation represented by that model, conditional on its processes and parameters. It remains an experiment, not an independently measured pumping history.</w:t>
      </w:r>
    </w:p>
    <w:p w14:paraId="71589A3F" w14:textId="77777777" w:rsidR="00355E5A" w:rsidRDefault="003C4050">
      <w:pPr>
        <w:spacing w:after="80" w:line="360" w:lineRule="auto"/>
        <w:jc w:val="both"/>
      </w:pPr>
      <w:r>
        <w:t>The observation-based residual also contains whatever the historical-human run f</w:t>
      </w:r>
      <w:r>
        <w:t>ails to reproduce. This discrepancy can include unrepresented management, climate-forcing error, groundwater-model error, compartment mismatch and gravity-processing effects. The thesis retains it explicitly. The analytical goal is to determine how much in</w:t>
      </w:r>
      <w:r>
        <w:t>terpretive confidence remains when these alternatives are visible, rather than to force every unexplained millimetre into a human-use category.</w:t>
      </w:r>
    </w:p>
    <w:p w14:paraId="6F2252C1" w14:textId="77777777" w:rsidR="00355E5A" w:rsidRDefault="003C4050">
      <w:pPr>
        <w:spacing w:after="80" w:line="360" w:lineRule="auto"/>
        <w:jc w:val="both"/>
      </w:pPr>
      <w:r>
        <w:t>The groundwater comparison creates a further challenge. Wells record local hydraulic head, whereas storage anoma</w:t>
      </w:r>
      <w:r>
        <w:t>lies describe water mass over a region. Heads respond to climate, pumping and aquifer properties, and the monitored network changes over time. The study therefore asks whether apparent agreement survives detrending, climate control and changes in station c</w:t>
      </w:r>
      <w:r>
        <w:t>omposition before treating it as supporting evidence.</w:t>
      </w:r>
    </w:p>
    <w:p w14:paraId="12CD974C" w14:textId="77777777" w:rsidR="00355E5A" w:rsidRDefault="003C4050">
      <w:pPr>
        <w:pStyle w:val="Heading2"/>
        <w:pageBreakBefore/>
        <w:numPr>
          <w:ilvl w:val="1"/>
          <w:numId w:val="0"/>
        </w:numPr>
        <w:spacing w:after="160" w:line="240" w:lineRule="auto"/>
      </w:pPr>
      <w:bookmarkStart w:id="3" w:name="_Toc243829206"/>
      <w:r>
        <w:lastRenderedPageBreak/>
        <w:t>Objectives and proposed contribution</w:t>
      </w:r>
      <w:bookmarkEnd w:id="3"/>
    </w:p>
    <w:p w14:paraId="743208B6" w14:textId="77777777" w:rsidR="00355E5A" w:rsidRDefault="003C4050">
      <w:pPr>
        <w:spacing w:after="80" w:line="360" w:lineRule="auto"/>
        <w:jc w:val="both"/>
      </w:pPr>
      <w:r>
        <w:t>Objective 1 is to quantify temporal and spatial patterns of TWSA and GWSA for every principal basin in Thailand. It includes seasonal Sen slopes, original and season</w:t>
      </w:r>
      <w:r>
        <w:t>al Mann–Kendall tests, false-discovery-rate adjustment, uncertainty intervals and coverage information. The principal gravity record is the identified CSR RL06.3 product. The original project export and the documented COST-G/G3P chain provide sensitivity c</w:t>
      </w:r>
      <w:r>
        <w:t>omparisons on common observational support.</w:t>
      </w:r>
    </w:p>
    <w:p w14:paraId="3E85209C" w14:textId="77777777" w:rsidR="00355E5A" w:rsidRDefault="003C4050">
      <w:pPr>
        <w:spacing w:after="80" w:line="360" w:lineRule="auto"/>
        <w:jc w:val="both"/>
      </w:pPr>
      <w:r>
        <w:t>Objective 2 is to develop and assess a climate-storage reconstruction framework, compare appropriate components with GLDAS, and examine the climate–human decomposition using groundwater observations. The study di</w:t>
      </w:r>
      <w:r>
        <w:t>stinguishes naturalized-parent emulation, agreement with observed storage and agreement with groundwater heads. It adds controlled feature ablations, a change-of-precipitation-source experiment, held-out rainfall–storage associations and observation-networ</w:t>
      </w:r>
      <w:r>
        <w:t>k resampling to the paired hydrological experiment.</w:t>
      </w:r>
    </w:p>
    <w:p w14:paraId="1440C921" w14:textId="77777777" w:rsidR="00355E5A" w:rsidRDefault="003C4050">
      <w:pPr>
        <w:spacing w:after="80" w:line="360" w:lineRule="auto"/>
        <w:jc w:val="both"/>
      </w:pPr>
      <w:r>
        <w:t>Objective 3 is to deliver an interactive decision-support system and a reproducible research package. The interface should expose basin results, missing dates, model-verification scores, observation cover</w:t>
      </w:r>
      <w:r>
        <w:t>age and limitations. Reproducibility includes the input subsets, executable code, dependency versions and comparison records, so that an advisor can rerun the numerical analysis without access to the original workstation.</w:t>
      </w:r>
    </w:p>
    <w:p w14:paraId="1470C345" w14:textId="77777777" w:rsidR="00355E5A" w:rsidRDefault="003C4050">
      <w:pPr>
        <w:spacing w:after="80" w:line="360" w:lineRule="auto"/>
        <w:jc w:val="both"/>
      </w:pPr>
      <w:r>
        <w:t>The proposed contribution is an in</w:t>
      </w:r>
      <w:r>
        <w:t>tegrated assessment of attribution credibility across an entire national basin framework. It tests whether national decline, basin rankings, climate-memory reconstruction and groundwater agreement tell a consistent story. The mathematical decomposition its</w:t>
      </w:r>
      <w:r>
        <w:t>elf is an accounting identity, and the statistical algorithms are established methods. The contribution lies in their controlled combination, the product and network tests, and the resulting evidence about what can be inferred in this setting.</w:t>
      </w:r>
    </w:p>
    <w:p w14:paraId="44FFDE18" w14:textId="77777777" w:rsidR="00355E5A" w:rsidRDefault="003C4050">
      <w:pPr>
        <w:spacing w:after="80" w:line="360" w:lineRule="auto"/>
        <w:jc w:val="both"/>
      </w:pPr>
      <w:r>
        <w:t>Novelty is t</w:t>
      </w:r>
      <w:r>
        <w:t>herefore framed as a defensible research proposition, not a claim that this is the first use of GRACE, machine learning or groundwater wells in Thailand. The literature review identifies related work and explains the differences in domain, comparison targe</w:t>
      </w:r>
      <w:r>
        <w:t>t and uncertainty treatment. Publication quality ultimately depends on the evidence, clarity and review of those differences, not on the number of methods listed.</w:t>
      </w:r>
    </w:p>
    <w:p w14:paraId="26F8291E" w14:textId="77777777" w:rsidR="00355E5A" w:rsidRDefault="003C4050">
      <w:pPr>
        <w:keepNext/>
        <w:pageBreakBefore/>
        <w:spacing w:after="160"/>
      </w:pPr>
      <w:r>
        <w:rPr>
          <w:b/>
        </w:rPr>
        <w:lastRenderedPageBreak/>
        <w:t>Research questions and scope</w:t>
      </w:r>
    </w:p>
    <w:p w14:paraId="194E3B0B" w14:textId="77777777" w:rsidR="00355E5A" w:rsidRDefault="003C4050">
      <w:pPr>
        <w:spacing w:after="80" w:line="360" w:lineRule="auto"/>
        <w:jc w:val="both"/>
      </w:pPr>
      <w:r>
        <w:t xml:space="preserve">The first research question concerns robustness: does the </w:t>
      </w:r>
      <w:r>
        <w:t>direction of storage change persist across documented gravity and groundwater-estimation chains, and do basin rankings remain stable? A consistent national sign would support a broad storage-change conclusion. Instability in rankings would limit local prio</w:t>
      </w:r>
      <w:r>
        <w:t>ritization even if every individual map appeared statistically significant. These are separate questions and are evaluated on identical months and common valid cells wherever products are compared.</w:t>
      </w:r>
    </w:p>
    <w:p w14:paraId="693BD1FC" w14:textId="77777777" w:rsidR="00355E5A" w:rsidRDefault="003C4050">
      <w:pPr>
        <w:spacing w:after="80" w:line="360" w:lineRule="auto"/>
        <w:jc w:val="both"/>
      </w:pPr>
      <w:r>
        <w:t>The second question concerns climatic information. Can pre</w:t>
      </w:r>
      <w:r>
        <w:t>cipitation, potential evapotranspiration and antecedent memory reproduce the naturalized parent model beyond a seasonal baseline? The associated expectation is that delayed hydrological response should add information about interannual anomalies. A high ra</w:t>
      </w:r>
      <w:r>
        <w:t>w monthly score alone would not establish this, because monsoonal seasonality can produce a strong relationship with limited ability to explain unusual wet or dry conditions.</w:t>
      </w:r>
    </w:p>
    <w:p w14:paraId="36F3AB35" w14:textId="77777777" w:rsidR="00355E5A" w:rsidRDefault="003C4050">
      <w:pPr>
        <w:spacing w:after="80" w:line="360" w:lineRule="auto"/>
        <w:jc w:val="both"/>
      </w:pPr>
      <w:r>
        <w:t xml:space="preserve">The third question concerns transfer across data sources. Does a frozen emulator </w:t>
      </w:r>
      <w:r>
        <w:t>remain useful when native-model precipitation is replaced with CHIRPS? This is a forcing-sensitivity experiment, not independent validation of the unobserved naturalized target. It nevertheless tests whether the reported skill depends strongly on using the</w:t>
      </w:r>
      <w:r>
        <w:t xml:space="preserve"> same meteorological information that drove the parent simulation. Any deterioration is reported rather than repaired using the test period.</w:t>
      </w:r>
    </w:p>
    <w:p w14:paraId="3CFBD0FE" w14:textId="77777777" w:rsidR="00355E5A" w:rsidRDefault="003C4050">
      <w:pPr>
        <w:spacing w:after="80" w:line="360" w:lineRule="auto"/>
        <w:jc w:val="both"/>
      </w:pPr>
      <w:r>
        <w:t>The fourth question concerns groundwater evidence. Does residual–head agreement persist when station groups are res</w:t>
      </w:r>
      <w:r>
        <w:t>ampled and when a strictly balanced network is compared on a common period? A fixed eligibility rule alone does not guarantee a stable annual station composition. The common-period and strict-panel tests were added as an explicitly exploratory extension af</w:t>
      </w:r>
      <w:r>
        <w:t>ter this distinction became apparent in the initial network assessment.</w:t>
      </w:r>
    </w:p>
    <w:p w14:paraId="238D77B8" w14:textId="77777777" w:rsidR="00355E5A" w:rsidRDefault="003C4050">
      <w:pPr>
        <w:spacing w:after="80" w:line="360" w:lineRule="auto"/>
        <w:jc w:val="both"/>
      </w:pPr>
      <w:r>
        <w:t>The study is retrospective. It does not predict future climate, estimate time to aquifer exhaustion or provide measured pumping volumes. TWSA extends to September 2024, full-balance GW</w:t>
      </w:r>
      <w:r>
        <w:t>SA to September 2023 and paired hydrological attribution to the available 2023 model record. This scope keeps the observed and simulated periods explicit and avoids extending the counterfactual merely to fill the final observed year.</w:t>
      </w:r>
    </w:p>
    <w:p w14:paraId="05368059" w14:textId="77777777" w:rsidR="00355E5A" w:rsidRDefault="003C4050">
      <w:pPr>
        <w:pStyle w:val="Heading1"/>
        <w:pageBreakBefore/>
        <w:numPr>
          <w:ilvl w:val="0"/>
          <w:numId w:val="0"/>
        </w:numPr>
        <w:spacing w:after="480" w:line="240" w:lineRule="auto"/>
      </w:pPr>
      <w:bookmarkStart w:id="4" w:name="_Toc243829207"/>
      <w:r>
        <w:lastRenderedPageBreak/>
        <w:t>CHAPTER 2</w:t>
      </w:r>
      <w:r>
        <w:br/>
        <w:t>LITERATURE R</w:t>
      </w:r>
      <w:r>
        <w:t>EVIEW</w:t>
      </w:r>
      <w:bookmarkEnd w:id="4"/>
    </w:p>
    <w:p w14:paraId="16E69A25" w14:textId="77777777" w:rsidR="00355E5A" w:rsidRDefault="003C4050">
      <w:pPr>
        <w:keepNext/>
        <w:spacing w:after="160"/>
      </w:pPr>
      <w:r>
        <w:rPr>
          <w:b/>
        </w:rPr>
        <w:t>Satellite gravimetry and spatial interpretation</w:t>
      </w:r>
    </w:p>
    <w:p w14:paraId="27B43FAE" w14:textId="77777777" w:rsidR="00355E5A" w:rsidRDefault="003C4050">
      <w:pPr>
        <w:spacing w:after="80" w:line="360" w:lineRule="auto"/>
        <w:jc w:val="both"/>
      </w:pPr>
      <w:r>
        <w:t>GRACE and GRACE-FO infer mass redistribution from changes in the Earth's gravity field. Their hydrological value comes from observing broad storage changes that are difficult to measure through sparse c</w:t>
      </w:r>
      <w:r>
        <w:t xml:space="preserve">ompartment-specific networks. Their limitation is that the gravity inversion is regularized and spatially coarse. The estimates should therefore be interpreted through the support of the observing system rather than through the density of coordinates in a </w:t>
      </w:r>
      <w:r>
        <w:t>delivered raster.</w:t>
      </w:r>
    </w:p>
    <w:p w14:paraId="48FBBF91" w14:textId="77777777" w:rsidR="00355E5A" w:rsidRDefault="003C4050">
      <w:pPr>
        <w:spacing w:after="80" w:line="360" w:lineRule="auto"/>
        <w:jc w:val="both"/>
      </w:pPr>
      <w:r>
        <w:t xml:space="preserve">CSR supplies a native geodesic mascon representation resampled to a quarter-degree grid. The provider documents corrections, a land mask and a mapping between native mascons and the convenience grid. It cautions against single-grid-point </w:t>
      </w:r>
      <w:r>
        <w:t>interpretation and against assuming that small basins are independently resolved. The present study follows that advice by using basin averages and by describing shared native support rather than presenting pointwise CSR significance maps (Save et al., 201</w:t>
      </w:r>
      <w:r>
        <w:t>6; CSR, 2026).</w:t>
      </w:r>
    </w:p>
    <w:p w14:paraId="7CF0F0D8" w14:textId="77777777" w:rsidR="00355E5A" w:rsidRDefault="003C4050">
      <w:pPr>
        <w:spacing w:after="80" w:line="360" w:lineRule="auto"/>
        <w:jc w:val="both"/>
      </w:pPr>
      <w:r>
        <w:t>Product comparison remains necessary because processing choices can change amplitudes, leakage and trends. The COST-G/G3P record offers a documented contrasting chain. Both products still derive from the same satellite observing missions, so</w:t>
      </w:r>
      <w:r>
        <w:t xml:space="preserve"> agreement is not replication by an independent physical instrument. The unidentified project export is retained as a legacy sensitivity; its close numerical relationship with CSR cannot establish its processing provenance.</w:t>
      </w:r>
    </w:p>
    <w:p w14:paraId="42548023" w14:textId="77777777" w:rsidR="00355E5A" w:rsidRDefault="003C4050">
      <w:pPr>
        <w:spacing w:after="80" w:line="360" w:lineRule="auto"/>
        <w:jc w:val="both"/>
      </w:pPr>
      <w:r>
        <w:t>Earlier work demonstrated the se</w:t>
      </w:r>
      <w:r>
        <w:t>nsitivity of small-region estimates to processing and leakage treatment (Longuevergne et al., 2010). That literature motivates a scale-aware presentation, but it does not supply an automatic correction for the basins studied here. No gain factor is inferre</w:t>
      </w:r>
      <w:r>
        <w:t>d by forcing agreement with wells or with a hydrological model. Such a calibration would introduce additional assumptions and could make a subsequent comparison circular.</w:t>
      </w:r>
    </w:p>
    <w:p w14:paraId="3EC48752" w14:textId="77777777" w:rsidR="00355E5A" w:rsidRDefault="003C4050">
      <w:pPr>
        <w:spacing w:after="80" w:line="360" w:lineRule="auto"/>
        <w:jc w:val="both"/>
      </w:pPr>
      <w:r>
        <w:t>The spatial analysis consequently has two outputs: basin-level estimates useful for s</w:t>
      </w:r>
      <w:r>
        <w:t>creening, and explicit support diagnostics that limit their interpretation. A basin with a precise conditional slope interval can still have uncertain spatial attribution. Statistical precision within one processed record should not be confused with eviden</w:t>
      </w:r>
      <w:r>
        <w:t>ce that its boundaries isolate a physically independent gravity signal.</w:t>
      </w:r>
    </w:p>
    <w:p w14:paraId="14882F01" w14:textId="77777777" w:rsidR="00355E5A" w:rsidRDefault="003C4050">
      <w:pPr>
        <w:pStyle w:val="Heading2"/>
        <w:pageBreakBefore/>
        <w:numPr>
          <w:ilvl w:val="1"/>
          <w:numId w:val="0"/>
        </w:numPr>
        <w:spacing w:after="160" w:line="240" w:lineRule="auto"/>
      </w:pPr>
      <w:bookmarkStart w:id="5" w:name="_Toc243829208"/>
      <w:r>
        <w:lastRenderedPageBreak/>
        <w:t>Groundwater isolation and compartment compatibility</w:t>
      </w:r>
      <w:bookmarkEnd w:id="5"/>
    </w:p>
    <w:p w14:paraId="47800783" w14:textId="77777777" w:rsidR="00355E5A" w:rsidRDefault="003C4050">
      <w:pPr>
        <w:spacing w:after="80" w:line="360" w:lineRule="auto"/>
        <w:jc w:val="both"/>
      </w:pPr>
      <w:r>
        <w:t>Terrestrial storage combines groundwater, soil moisture, surface water, canopy water and snow or ice where present. The standard gro</w:t>
      </w:r>
      <w:r>
        <w:t xml:space="preserve">undwater balance subtracts the non-groundwater anomalies from TWSA. In Thailand, snow is generally a minor contribution, but retaining the supplied snow and canopy terms avoids making an undocumented zero assumption. Surface water is particularly relevant </w:t>
      </w:r>
      <w:r>
        <w:t>because lakes, rivers and reservoirs can contribute to both seasonal variability and long-term change.</w:t>
      </w:r>
    </w:p>
    <w:p w14:paraId="15AD17BD" w14:textId="77777777" w:rsidR="00355E5A" w:rsidRDefault="003C4050">
      <w:pPr>
        <w:spacing w:after="80" w:line="360" w:lineRule="auto"/>
        <w:jc w:val="both"/>
      </w:pPr>
      <w:r>
        <w:t>The subtraction is valid as an accounting operation only when terms share units, a reference period and spatial support. Rebaselining each component to t</w:t>
      </w:r>
      <w:r>
        <w:t>he same valid 2004–2009 months removes offsets that would otherwise contaminate a regional balance. Applying the same valid-cell mask makes the basin means additive. The study verifies the resulting identities numerically rather than assuming that independ</w:t>
      </w:r>
      <w:r>
        <w:t>ently aggregated component means will cancel exactly.</w:t>
      </w:r>
    </w:p>
    <w:p w14:paraId="2C747DC3" w14:textId="77777777" w:rsidR="00355E5A" w:rsidRDefault="003C4050">
      <w:pPr>
        <w:spacing w:after="80" w:line="360" w:lineRule="auto"/>
        <w:jc w:val="both"/>
      </w:pPr>
      <w:r>
        <w:t>Compatibility extends beyond regridding. A finer land-surface field can contain variability that GRACE cannot resolve. Sharifi et al. (2025) examine this problem for storage-compartment filtering and mo</w:t>
      </w:r>
      <w:r>
        <w:t>tivate matching spatial characteristics before subtraction. Their approach does not imply that every published GRACE product should receive an additional Gaussian filter. CSR explicitly advises against further empirical smoothing or scaling of its delivere</w:t>
      </w:r>
      <w:r>
        <w:t>d mascons, which this study respects.</w:t>
      </w:r>
    </w:p>
    <w:p w14:paraId="0C095BFD" w14:textId="77777777" w:rsidR="00355E5A" w:rsidRDefault="003C4050">
      <w:pPr>
        <w:spacing w:after="80" w:line="360" w:lineRule="auto"/>
        <w:jc w:val="both"/>
      </w:pPr>
      <w:r>
        <w:t xml:space="preserve">The primary GWSA estimate therefore retains a documented structural limitation: Noah soil storage and filtered G3P surface water have different representations. A filtered root-zone soil alternative and the native G3P </w:t>
      </w:r>
      <w:r>
        <w:t>groundwater product are used to assess sensitivity. The latter differs in its gravity and compartment chain, so differences cannot be assigned solely to a soil model or solely to gravity processing.</w:t>
      </w:r>
    </w:p>
    <w:p w14:paraId="5E1AAA96" w14:textId="77777777" w:rsidR="00355E5A" w:rsidRDefault="003C4050">
      <w:pPr>
        <w:spacing w:after="80" w:line="360" w:lineRule="auto"/>
        <w:jc w:val="both"/>
      </w:pPr>
      <w:r>
        <w:t xml:space="preserve">This distinction affects management </w:t>
      </w:r>
      <w:r>
        <w:t>interpretation. A decline that appears across alternatives is stronger evidence for direction than for magnitude. A basin whose relative position changes across alternatives should not be ranked as a uniquely severe pumping hotspot from one subtraction pro</w:t>
      </w:r>
      <w:r>
        <w:t>duct. The analysis reports both the common features and the disagreements, preserving the information needed to identify where better compartment observations would be valuable.</w:t>
      </w:r>
    </w:p>
    <w:p w14:paraId="400F26BE" w14:textId="77777777" w:rsidR="00355E5A" w:rsidRDefault="003C4050">
      <w:pPr>
        <w:pStyle w:val="Heading2"/>
        <w:pageBreakBefore/>
        <w:numPr>
          <w:ilvl w:val="1"/>
          <w:numId w:val="0"/>
        </w:numPr>
        <w:spacing w:after="160" w:line="240" w:lineRule="auto"/>
      </w:pPr>
      <w:bookmarkStart w:id="6" w:name="_Toc243829209"/>
      <w:r>
        <w:lastRenderedPageBreak/>
        <w:t>Naturalized models and the meaning of attribution</w:t>
      </w:r>
      <w:bookmarkEnd w:id="6"/>
    </w:p>
    <w:p w14:paraId="204E103B" w14:textId="77777777" w:rsidR="00355E5A" w:rsidRDefault="003C4050">
      <w:pPr>
        <w:spacing w:after="80" w:line="360" w:lineRule="auto"/>
        <w:jc w:val="both"/>
      </w:pPr>
      <w:r>
        <w:t>Hydrological models represen</w:t>
      </w:r>
      <w:r>
        <w:t xml:space="preserve">t storage through simplified processes and parameters. A naturalized simulation changes specified human interventions while retaining the model's remaining structure. WaterGAP provides a documented framework for this comparison, including historical-human </w:t>
      </w:r>
      <w:r>
        <w:t>and naturalized runs driven by the same forcing. The model description and dataset metadata establish the experiment; they do not guarantee that regional groundwater dynamics are reproduced accurately (Müller Schmied et al., 2024).</w:t>
      </w:r>
    </w:p>
    <w:p w14:paraId="6DD16CAA" w14:textId="77777777" w:rsidR="00355E5A" w:rsidRDefault="003C4050">
      <w:pPr>
        <w:spacing w:after="80" w:line="360" w:lineRule="auto"/>
        <w:jc w:val="both"/>
      </w:pPr>
      <w:r>
        <w:t xml:space="preserve">Let observed storage be </w:t>
      </w:r>
      <w:r>
        <w:t>O, naturalized storage C and historical-human storage A. The paired model difference H equals A minus C. The observational residual R equals O minus C. These quantities are equal only when A reproduces O. Defining discrepancy E as O minus A gives the exact</w:t>
      </w:r>
      <w:r>
        <w:t xml:space="preserve"> identity R equals H plus E. The identity is useful because it prevents the part unexplained by the historical-human model from disappearing into a human-use label.</w:t>
      </w:r>
    </w:p>
    <w:p w14:paraId="1642AFAB" w14:textId="77777777" w:rsidR="00355E5A" w:rsidRDefault="003C4050">
      <w:pPr>
        <w:spacing w:after="80" w:line="360" w:lineRule="auto"/>
        <w:jc w:val="both"/>
      </w:pPr>
      <w:r>
        <w:t>Even H has a specific interpretation. Because all series are anomalies, it describes change</w:t>
      </w:r>
      <w:r>
        <w:t>s in the modeled human perturbation relative to the common reference period. It does not estimate the total amount of groundwater depletion that occurred before the GRACE record or the absolute water stored in an aquifer. A small anomaly trend in H is comp</w:t>
      </w:r>
      <w:r>
        <w:t>atible with a persistent modeled abstraction level whose influence was already present in the reference period.</w:t>
      </w:r>
    </w:p>
    <w:p w14:paraId="1759FAFB" w14:textId="77777777" w:rsidR="00355E5A" w:rsidRDefault="003C4050">
      <w:pPr>
        <w:spacing w:after="80" w:line="360" w:lineRule="auto"/>
        <w:jc w:val="both"/>
      </w:pPr>
      <w:r>
        <w:t>Causal interpretation requires assumptions that an accounting identity cannot verify. The naturalized run must approximate the relevant counterf</w:t>
      </w:r>
      <w:r>
        <w:t>actual, the forcing and process representation must be adequate, and the observed and modeled storage definitions must be comparable. Errors can correlate across compartments and models. The study consequently treats the paired experiment as structured evi</w:t>
      </w:r>
      <w:r>
        <w:t>dence and the remaining discrepancy as unresolved, rather than as an identified measurement-error term.</w:t>
      </w:r>
    </w:p>
    <w:p w14:paraId="71FE2A13" w14:textId="77777777" w:rsidR="00355E5A" w:rsidRDefault="003C4050">
      <w:pPr>
        <w:spacing w:after="80" w:line="360" w:lineRule="auto"/>
        <w:jc w:val="both"/>
      </w:pPr>
      <w:r>
        <w:t xml:space="preserve">A useful attribution assessment should ask whether an interpretation survives a change of product, model feature set and observational network. This </w:t>
      </w:r>
      <w:r>
        <w:t>thesis adopts that approach. It does not assume that a larger residual proves stronger human influence, and it avoids reporting a human percentage obtained by dividing one robust slope by another. Such a percentage would mix non-additive statistics and unv</w:t>
      </w:r>
      <w:r>
        <w:t>erified causal assumptions.</w:t>
      </w:r>
    </w:p>
    <w:p w14:paraId="3EA11243" w14:textId="77777777" w:rsidR="00355E5A" w:rsidRDefault="003C4050">
      <w:pPr>
        <w:pStyle w:val="Heading2"/>
        <w:pageBreakBefore/>
        <w:numPr>
          <w:ilvl w:val="1"/>
          <w:numId w:val="0"/>
        </w:numPr>
        <w:spacing w:after="160" w:line="240" w:lineRule="auto"/>
      </w:pPr>
      <w:bookmarkStart w:id="7" w:name="_Toc243829210"/>
      <w:r>
        <w:lastRenderedPageBreak/>
        <w:t>Model skill beyond a seasonal cycle</w:t>
      </w:r>
      <w:bookmarkEnd w:id="7"/>
    </w:p>
    <w:p w14:paraId="44467BD1" w14:textId="77777777" w:rsidR="00355E5A" w:rsidRDefault="003C4050">
      <w:pPr>
        <w:spacing w:after="80" w:line="360" w:lineRule="auto"/>
        <w:jc w:val="both"/>
      </w:pPr>
      <w:r>
        <w:t>Monsoonal storage series have a strong annual cycle. A model can reproduce that cycle and achieve high correlation while missing the interannual anomalies most relevant to drought and long-ter</w:t>
      </w:r>
      <w:r>
        <w:t>m storage stress. The principal evaluation therefore reports both monthly performance and performance after removing a training-derived calendar-month climatology. The reference climatology is fitted without using the later test period.</w:t>
      </w:r>
    </w:p>
    <w:p w14:paraId="5F08D4D8" w14:textId="77777777" w:rsidR="00355E5A" w:rsidRDefault="003C4050">
      <w:pPr>
        <w:spacing w:after="80" w:line="360" w:lineRule="auto"/>
        <w:jc w:val="both"/>
      </w:pPr>
      <w:r>
        <w:t>Nash–Sutcliffe effi</w:t>
      </w:r>
      <w:r>
        <w:t xml:space="preserve">ciency compares squared prediction error with the variance of the evaluation target. Its value depends on the benchmark and on the variability present in the chosen period. Gupta et al. (2009) and Knoben et al. (2019) show why a single efficiency score is </w:t>
      </w:r>
      <w:r>
        <w:t>an incomplete description of hydrological performance. This thesis pairs NSE with correlation, bias, RMSE and anomaly skill, while stating the physical meaning of each target.</w:t>
      </w:r>
    </w:p>
    <w:p w14:paraId="70DA4D17" w14:textId="77777777" w:rsidR="00355E5A" w:rsidRDefault="003C4050">
      <w:pPr>
        <w:spacing w:after="80" w:line="360" w:lineRule="auto"/>
        <w:jc w:val="both"/>
      </w:pPr>
      <w:r>
        <w:t>Chronological separation addresses another source of optimistic assessment. Trai</w:t>
      </w:r>
      <w:r>
        <w:t>ning, validation and testing occupy distinct periods, and tuning occurs within training folds. The validation period fixes ensemble membership and weights before the test is evaluated. These practices reduce temporal leakage, although they do not make an u</w:t>
      </w:r>
      <w:r>
        <w:t>nobserved naturalized target observational truth. Structured-data validation must match the intended use of the model (Roberts et al., 2017).</w:t>
      </w:r>
    </w:p>
    <w:p w14:paraId="01CC5768" w14:textId="77777777" w:rsidR="00355E5A" w:rsidRDefault="003C4050">
      <w:pPr>
        <w:spacing w:after="80" w:line="360" w:lineRule="auto"/>
        <w:jc w:val="both"/>
      </w:pPr>
      <w:r>
        <w:t>Ridge regression, ElasticNet, additive splines and Random Forest provide contrasting statistical approximations to</w:t>
      </w:r>
      <w:r>
        <w:t xml:space="preserve"> the parent model. Their role is to examine reconstructability from meteorological information. The controlled Ridge ablations hold the model family and tuning protocol constant while adding lagged and memory features. This makes it possible to identify th</w:t>
      </w:r>
      <w:r>
        <w:t>e value of antecedent information without attributing every performance difference to algorithm complexity.</w:t>
      </w:r>
    </w:p>
    <w:p w14:paraId="1741E190" w14:textId="77777777" w:rsidR="00355E5A" w:rsidRDefault="003C4050">
      <w:pPr>
        <w:spacing w:after="80" w:line="360" w:lineRule="auto"/>
        <w:jc w:val="both"/>
      </w:pPr>
      <w:r>
        <w:t>The models use weather available up to and including the reconstructed month. They are consequently hindcast or contemporaneous emulators, not opera</w:t>
      </w:r>
      <w:r>
        <w:t>tional forecasts of future storage. Independent precipitation replacement is a sensitivity experiment within that interpretation. A test score against a naturalized hydrological model, a matched-compartment GLDAS benchmark and a comparison with wells answe</w:t>
      </w:r>
      <w:r>
        <w:t>r different questions and remain separately labelled throughout the results.</w:t>
      </w:r>
    </w:p>
    <w:p w14:paraId="55770E4E" w14:textId="77777777" w:rsidR="00355E5A" w:rsidRDefault="003C4050">
      <w:pPr>
        <w:pStyle w:val="Heading2"/>
        <w:pageBreakBefore/>
        <w:numPr>
          <w:ilvl w:val="1"/>
          <w:numId w:val="0"/>
        </w:numPr>
        <w:spacing w:after="160" w:line="240" w:lineRule="auto"/>
      </w:pPr>
      <w:bookmarkStart w:id="8" w:name="_Toc243829211"/>
      <w:r>
        <w:lastRenderedPageBreak/>
        <w:t>Groundwater observations and network effects</w:t>
      </w:r>
      <w:bookmarkEnd w:id="8"/>
    </w:p>
    <w:p w14:paraId="536CB1A2" w14:textId="77777777" w:rsidR="00355E5A" w:rsidRDefault="003C4050">
      <w:pPr>
        <w:spacing w:after="80" w:line="360" w:lineRule="auto"/>
        <w:jc w:val="both"/>
      </w:pPr>
      <w:r>
        <w:t xml:space="preserve">A groundwater well measures hydraulic head or depth to water at a location and within a screened interval. It can provide independent </w:t>
      </w:r>
      <w:r>
        <w:t xml:space="preserve">information about aquifer response, but it does not directly observe the integrated water mass represented by GWSA. Converting head change to storage requires defensible aquifer storage coefficients and information about confinement. These are unavailable </w:t>
      </w:r>
      <w:r>
        <w:t>for the present Thai well records, so the study compares signed head patterns and trends without inventing a conversion factor.</w:t>
      </w:r>
    </w:p>
    <w:p w14:paraId="0BE771E4" w14:textId="77777777" w:rsidR="00355E5A" w:rsidRDefault="003C4050">
      <w:pPr>
        <w:spacing w:after="80" w:line="360" w:lineRule="auto"/>
        <w:jc w:val="both"/>
      </w:pPr>
      <w:r>
        <w:t>A regional head index also depends on the monitoring network. Several wells may occupy the same coordinate group, and their reco</w:t>
      </w:r>
      <w:r>
        <w:t>rds may begin in different years. Simply averaging all available wells can change the represented population over time. The study first combines colocated wells and gives equal weight to coordinate station groups. It then reports how many groups actually c</w:t>
      </w:r>
      <w:r>
        <w:t>ontribute to each annual index.</w:t>
      </w:r>
    </w:p>
    <w:p w14:paraId="4908E9BB" w14:textId="77777777" w:rsidR="00355E5A" w:rsidRDefault="003C4050">
      <w:pPr>
        <w:spacing w:after="80" w:line="360" w:lineRule="auto"/>
        <w:jc w:val="both"/>
      </w:pPr>
      <w:r>
        <w:t>Annual observations cannot be treated as monthly measurements merely because the satellite record is monthly. Most retained Thai observations are provider aggregates for annual intervals, often based on few measurements. The</w:t>
      </w:r>
      <w:r>
        <w:t xml:space="preserve"> comparison therefore uses annual storage means with a minimum observed-month requirement and excludes incomplete endpoint years. Missing GRACE months and mission-gap years are not filled to obtain a more convenient sample.</w:t>
      </w:r>
    </w:p>
    <w:p w14:paraId="75FB83B8" w14:textId="77777777" w:rsidR="00355E5A" w:rsidRDefault="003C4050">
      <w:pPr>
        <w:spacing w:after="80" w:line="360" w:lineRule="auto"/>
        <w:jc w:val="both"/>
      </w:pPr>
      <w:r>
        <w:t xml:space="preserve">Correlation is informative only </w:t>
      </w:r>
      <w:r>
        <w:t>with its conditioning choices visible. Shared seasonality, climate variability and broad trends can create positive relationships between heads and a storage residual. Raw correlations are supplemented by climate-controlled, detrended and contiguous-year-c</w:t>
      </w:r>
      <w:r>
        <w:t>hange comparisons. Partial correlation is still descriptive, because the naturalized model is not a direct observation of the true climatic head component.</w:t>
      </w:r>
    </w:p>
    <w:p w14:paraId="4CF93369" w14:textId="77777777" w:rsidR="00355E5A" w:rsidRDefault="003C4050">
      <w:pPr>
        <w:spacing w:after="80" w:line="360" w:lineRule="auto"/>
        <w:jc w:val="both"/>
      </w:pPr>
      <w:r>
        <w:t>Network uncertainty is examined by resampling coordinate groups and by comparing observation panels.</w:t>
      </w:r>
      <w:r>
        <w:t xml:space="preserve"> A fixed eligibility rule permits some annual missingness; a strict balanced panel requires all ten annual observations in 2013–2022. The all-well common-period comparison separates a change in time window from a change in monitored population. These tests</w:t>
      </w:r>
      <w:r>
        <w:t xml:space="preserve"> make the groundwater evidence more transparent, including cases where an apparently stronger correlation does not survive a fair comparison.</w:t>
      </w:r>
    </w:p>
    <w:p w14:paraId="0F362FDE" w14:textId="77777777" w:rsidR="00355E5A" w:rsidRDefault="003C4050">
      <w:pPr>
        <w:pStyle w:val="Heading2"/>
        <w:pageBreakBefore/>
        <w:numPr>
          <w:ilvl w:val="1"/>
          <w:numId w:val="0"/>
        </w:numPr>
        <w:spacing w:after="160" w:line="240" w:lineRule="auto"/>
      </w:pPr>
      <w:bookmarkStart w:id="9" w:name="_Toc243829212"/>
      <w:r>
        <w:lastRenderedPageBreak/>
        <w:t>Thai studies and the remaining research gap</w:t>
      </w:r>
      <w:bookmarkEnd w:id="9"/>
    </w:p>
    <w:p w14:paraId="2CD720A1" w14:textId="77777777" w:rsidR="00355E5A" w:rsidRDefault="003C4050">
      <w:pPr>
        <w:spacing w:after="80" w:line="360" w:lineRule="auto"/>
        <w:jc w:val="both"/>
      </w:pPr>
      <w:r>
        <w:t>Previous research has already combined GRACE, land-surface modeling an</w:t>
      </w:r>
      <w:r>
        <w:t>d groundwater observations in the Chao Phraya system. Abhishek et al. (2021) examined storage dynamics and hydroclimatic extremes, while Abhishek et al. (2022) investigated a multisource water budget in the upper basin. These studies establish relevant reg</w:t>
      </w:r>
      <w:r>
        <w:t>ional context. The present work does not claim that storage separation or hydroclimatic analysis is new to Thailand.</w:t>
      </w:r>
    </w:p>
    <w:p w14:paraId="540B972E" w14:textId="77777777" w:rsidR="00355E5A" w:rsidRDefault="003C4050">
      <w:pPr>
        <w:spacing w:after="80" w:line="360" w:lineRule="auto"/>
        <w:jc w:val="both"/>
      </w:pPr>
      <w:r>
        <w:t>Sharma et al. (2025) developed a GRACE-based aquifer reliability and resilience framework and reported strong in situ agreement in their Ch</w:t>
      </w:r>
      <w:r>
        <w:t>ao Phraya sub-basin application. Their result does not imply that the different well population, basin system and comparison periods used here must show the same correlations. Validation statistics should be interpreted with the exact head records, storage</w:t>
      </w:r>
      <w:r>
        <w:t xml:space="preserve"> definitions and sampling support that produced them.</w:t>
      </w:r>
    </w:p>
    <w:p w14:paraId="5BB39F9E" w14:textId="77777777" w:rsidR="00355E5A" w:rsidRDefault="003C4050">
      <w:pPr>
        <w:spacing w:after="80" w:line="360" w:lineRule="auto"/>
        <w:jc w:val="both"/>
      </w:pPr>
      <w:r>
        <w:t>Basin terminology requires particular care. The official 22-basin framework separates Ping, Wang, Yom, Nan and other principal basins from the basin labelled Chao Phraya. A study of the greater Chao Phr</w:t>
      </w:r>
      <w:r>
        <w:t>aya drainage system can therefore cover a larger area than the official Chao Phraya polygon used in this analysis. Directly comparing slope magnitudes without checking those boundaries would confound domain definition with hydrological change.</w:t>
      </w:r>
    </w:p>
    <w:p w14:paraId="14FF5D6C" w14:textId="77777777" w:rsidR="00355E5A" w:rsidRDefault="003C4050">
      <w:pPr>
        <w:spacing w:after="80" w:line="360" w:lineRule="auto"/>
        <w:jc w:val="both"/>
      </w:pPr>
      <w:r>
        <w:t>The remainin</w:t>
      </w:r>
      <w:r>
        <w:t>g gap addressed here is the joint assessment of several inferential links across every principal basin. The study tests gravity-product dependence and shared native support, checks climate memory beyond seasonality, retains observation–model discrepancy an</w:t>
      </w:r>
      <w:r>
        <w:t>d examines the observation network used for groundwater agreement. Its public interface and portable code expose those tests alongside the basin estimates.</w:t>
      </w:r>
    </w:p>
    <w:p w14:paraId="23AFB6BA" w14:textId="77777777" w:rsidR="00355E5A" w:rsidRDefault="003C4050">
      <w:pPr>
        <w:spacing w:after="80" w:line="360" w:lineRule="auto"/>
        <w:jc w:val="both"/>
      </w:pPr>
      <w:r>
        <w:t>The resulting novelty claim is intentionally specific: the research offers an auditable national att</w:t>
      </w:r>
      <w:r>
        <w:t xml:space="preserve">ribution-credibility assessment with controlled product, forcing and network sensitivities. A claim of priority would require a broader systematic literature search than the focused review used here. The defensible contribution is the completed experiment </w:t>
      </w:r>
      <w:r>
        <w:t>and its findings, including negative validation evidence that would be hidden by reporting only the most favourable model or panel.</w:t>
      </w:r>
    </w:p>
    <w:p w14:paraId="2701C3C8" w14:textId="77777777" w:rsidR="00355E5A" w:rsidRDefault="003C4050">
      <w:pPr>
        <w:keepNext/>
        <w:pageBreakBefore/>
        <w:spacing w:after="160"/>
      </w:pPr>
      <w:r>
        <w:rPr>
          <w:b/>
        </w:rPr>
        <w:lastRenderedPageBreak/>
        <w:t>Synthesis of the analytical framework</w:t>
      </w:r>
    </w:p>
    <w:p w14:paraId="09C08AB4" w14:textId="77777777" w:rsidR="00355E5A" w:rsidRDefault="003C4050">
      <w:pPr>
        <w:spacing w:after="80" w:line="360" w:lineRule="auto"/>
        <w:jc w:val="both"/>
      </w:pPr>
      <w:r>
        <w:t>The literature points to three distinct levels of evidence. The first is measurement a</w:t>
      </w:r>
      <w:r>
        <w:t>nd accounting: identify the gravity product, preserve its time support, harmonize units and references, and verify the compartment balance. The second is model evaluation: determine whether meteorological information reconstructs a documented naturalized s</w:t>
      </w:r>
      <w:r>
        <w:t>imulation and whether that simulation agrees with observed storage. The third is independent consistency: examine groundwater observations with their spatial and temporal support retained.</w:t>
      </w:r>
    </w:p>
    <w:p w14:paraId="3A95D3F6" w14:textId="77777777" w:rsidR="00355E5A" w:rsidRDefault="003C4050">
      <w:pPr>
        <w:spacing w:after="80" w:line="360" w:lineRule="auto"/>
        <w:jc w:val="both"/>
      </w:pPr>
      <w:r>
        <w:t xml:space="preserve">None of these levels replaces the others. A strong model-emulation </w:t>
      </w:r>
      <w:r>
        <w:t>result does not repair an inaccurate parent model. A significant basin trend does not establish an independent spatial signal. A positive head correlation does not convert a total-storage residual into a human pumping volume. The research design makes thes</w:t>
      </w:r>
      <w:r>
        <w:t>e distinctions explicit in both the computational workflow and the final decision-support interface.</w:t>
      </w:r>
    </w:p>
    <w:p w14:paraId="20F16387" w14:textId="77777777" w:rsidR="00355E5A" w:rsidRDefault="003C4050">
      <w:pPr>
        <w:spacing w:after="80" w:line="360" w:lineRule="auto"/>
        <w:jc w:val="both"/>
      </w:pPr>
      <w:r>
        <w:t>The controlled tests are arranged to identify where interpretations are sensitive. The product audit holds observational support constant while changing th</w:t>
      </w:r>
      <w:r>
        <w:t>e processed storage chain. The feature ablation holds the statistical family and data split constant while changing antecedent information. The forcing stress test freezes the fitted model while changing precipitation source. The common-period head compari</w:t>
      </w:r>
      <w:r>
        <w:t>son holds time support constant while changing the station panel.</w:t>
      </w:r>
    </w:p>
    <w:p w14:paraId="6783FFBE" w14:textId="77777777" w:rsidR="00355E5A" w:rsidRDefault="003C4050">
      <w:pPr>
        <w:spacing w:after="80" w:line="360" w:lineRule="auto"/>
        <w:jc w:val="both"/>
      </w:pPr>
      <w:r>
        <w:t>The paired hydrological experiment supplies the central decomposition. It is evaluated with a common-date, monthly-fixed-effect linear trend partition and shared-multiplier uncertainty analy</w:t>
      </w:r>
      <w:r>
        <w:t>sis. That linear partition is kept separate from the robust Sen summaries. This separation preserves exact additivity where it is mathematically justified and avoids creating spurious fractions from statistics that do not add.</w:t>
      </w:r>
    </w:p>
    <w:p w14:paraId="4DF703B9" w14:textId="77777777" w:rsidR="00355E5A" w:rsidRDefault="003C4050">
      <w:pPr>
        <w:spacing w:after="80" w:line="360" w:lineRule="auto"/>
        <w:jc w:val="both"/>
      </w:pPr>
      <w:r>
        <w:t>The practical output is a set</w:t>
      </w:r>
      <w:r>
        <w:t xml:space="preserve"> of evidence-qualified basin assessments. A user can identify a declining record, inspect the dependence of its magnitude and ranking on the product, examine climate reconstruction and see whether groundwater observations provide consistent support. The fr</w:t>
      </w:r>
      <w:r>
        <w:t>amework can guide further monitoring and model improvement without claiming that the currently available data resolve every component of human influence.</w:t>
      </w:r>
    </w:p>
    <w:p w14:paraId="1856B909" w14:textId="77777777" w:rsidR="00355E5A" w:rsidRDefault="003C4050">
      <w:pPr>
        <w:pStyle w:val="Heading1"/>
        <w:pageBreakBefore/>
        <w:numPr>
          <w:ilvl w:val="0"/>
          <w:numId w:val="0"/>
        </w:numPr>
        <w:spacing w:after="480" w:line="240" w:lineRule="auto"/>
      </w:pPr>
      <w:bookmarkStart w:id="10" w:name="_Toc243829213"/>
      <w:r>
        <w:lastRenderedPageBreak/>
        <w:t>CHAPTER 3</w:t>
      </w:r>
      <w:r>
        <w:br/>
        <w:t>STUDY AREA AND DATA</w:t>
      </w:r>
      <w:bookmarkEnd w:id="10"/>
    </w:p>
    <w:p w14:paraId="5205462A" w14:textId="77777777" w:rsidR="00355E5A" w:rsidRDefault="003C4050">
      <w:pPr>
        <w:keepNext/>
        <w:spacing w:after="160"/>
      </w:pPr>
      <w:r>
        <w:rPr>
          <w:b/>
        </w:rPr>
        <w:t>Study area and official basin framework</w:t>
      </w:r>
    </w:p>
    <w:p w14:paraId="2F61A66E" w14:textId="77777777" w:rsidR="00355E5A" w:rsidRDefault="003C4050">
      <w:pPr>
        <w:keepNext/>
        <w:spacing w:after="60"/>
        <w:jc w:val="center"/>
      </w:pPr>
      <w:r>
        <w:rPr>
          <w:noProof/>
        </w:rPr>
        <w:drawing>
          <wp:inline distT="0" distB="0" distL="0" distR="0" wp14:anchorId="2E48616A" wp14:editId="29CDEBC9">
            <wp:extent cx="3019697" cy="45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tudy_basins.png"/>
                    <pic:cNvPicPr/>
                  </pic:nvPicPr>
                  <pic:blipFill>
                    <a:blip r:embed="rId14"/>
                    <a:stretch>
                      <a:fillRect/>
                    </a:stretch>
                  </pic:blipFill>
                  <pic:spPr>
                    <a:xfrm>
                      <a:off x="0" y="0"/>
                      <a:ext cx="3019697" cy="4572000"/>
                    </a:xfrm>
                    <a:prstGeom prst="rect">
                      <a:avLst/>
                    </a:prstGeom>
                  </pic:spPr>
                </pic:pic>
              </a:graphicData>
            </a:graphic>
          </wp:inline>
        </w:drawing>
      </w:r>
    </w:p>
    <w:p w14:paraId="503A9663" w14:textId="77777777" w:rsidR="00355E5A" w:rsidRDefault="003C4050">
      <w:pPr>
        <w:pStyle w:val="Caption"/>
        <w:spacing w:after="140" w:line="276" w:lineRule="auto"/>
        <w:jc w:val="center"/>
      </w:pPr>
      <w:bookmarkStart w:id="11" w:name="Figure3_1"/>
      <w:r>
        <w:rPr>
          <w:rFonts w:ascii="Times New Roman" w:hAnsi="Times New Roman"/>
          <w:b/>
          <w:sz w:val="22"/>
        </w:rPr>
        <w:t xml:space="preserve">Figure 3.1 Official </w:t>
      </w:r>
      <w:r>
        <w:rPr>
          <w:rFonts w:ascii="Times New Roman" w:hAnsi="Times New Roman"/>
          <w:b/>
          <w:sz w:val="22"/>
        </w:rPr>
        <w:t>principal basins and analysis codes; full names appear in Appendix A.</w:t>
      </w:r>
      <w:bookmarkEnd w:id="11"/>
    </w:p>
    <w:p w14:paraId="72A8384B" w14:textId="77777777" w:rsidR="00355E5A" w:rsidRDefault="003C4050">
      <w:pPr>
        <w:spacing w:after="80" w:line="360" w:lineRule="auto"/>
        <w:jc w:val="both"/>
      </w:pPr>
      <w:r>
        <w:t>The spatial framework contains 22 principal basins and separately coded island features assigned to their parent basin for the revised analysis. The retained polygon–grid intersection ar</w:t>
      </w:r>
      <w:r>
        <w:t>ea totals approximately 515,230 km² for national context. This is the analytical intersection-area total, not a replacement estimate of Thailand's official national area.</w:t>
      </w:r>
    </w:p>
    <w:p w14:paraId="3A847767" w14:textId="77777777" w:rsidR="00355E5A" w:rsidRDefault="003C4050">
      <w:pPr>
        <w:spacing w:after="80" w:line="360" w:lineRule="auto"/>
        <w:jc w:val="both"/>
      </w:pPr>
      <w:r>
        <w:t>The official Chao Phraya principal basin is not synonymous with the entire greater Ch</w:t>
      </w:r>
      <w:r>
        <w:t xml:space="preserve">ao Phraya drainage system used in some earlier studies. The distinction is retained when interpreting local literature or comparing basin slopes. No basin boundaries are selected to maximize a trend or correlation. National context provides a larger-scale </w:t>
      </w:r>
      <w:r>
        <w:t>comparison, while all individual principal basins retain the CSR provider's small-basin caution.</w:t>
      </w:r>
    </w:p>
    <w:p w14:paraId="06E58276" w14:textId="77777777" w:rsidR="00355E5A" w:rsidRDefault="003C4050">
      <w:pPr>
        <w:pStyle w:val="Heading2"/>
        <w:pageBreakBefore/>
        <w:numPr>
          <w:ilvl w:val="1"/>
          <w:numId w:val="0"/>
        </w:numPr>
        <w:spacing w:after="160" w:line="240" w:lineRule="auto"/>
      </w:pPr>
      <w:bookmarkStart w:id="12" w:name="_Toc243829214"/>
      <w:r>
        <w:lastRenderedPageBreak/>
        <w:t>Input records and analysis periods</w:t>
      </w:r>
      <w:bookmarkEnd w:id="12"/>
    </w:p>
    <w:p w14:paraId="2DCAACC1" w14:textId="77777777" w:rsidR="00355E5A" w:rsidRDefault="003C4050">
      <w:pPr>
        <w:pStyle w:val="Caption"/>
        <w:keepNext/>
        <w:spacing w:after="140" w:line="276" w:lineRule="auto"/>
        <w:jc w:val="center"/>
      </w:pPr>
      <w:bookmarkStart w:id="13" w:name="Table3_1"/>
      <w:r>
        <w:rPr>
          <w:rFonts w:ascii="Times New Roman" w:hAnsi="Times New Roman"/>
          <w:b/>
          <w:sz w:val="22"/>
        </w:rPr>
        <w:t>Table 3.1 Input records and scientific roles</w:t>
      </w:r>
      <w:bookmarkEnd w:id="13"/>
    </w:p>
    <w:tbl>
      <w:tblPr>
        <w:tblW w:w="0" w:type="auto"/>
        <w:tblLayout w:type="fixed"/>
        <w:tblLook w:val="04A0" w:firstRow="1" w:lastRow="0" w:firstColumn="1" w:lastColumn="0" w:noHBand="0" w:noVBand="1"/>
      </w:tblPr>
      <w:tblGrid>
        <w:gridCol w:w="2376"/>
        <w:gridCol w:w="2664"/>
        <w:gridCol w:w="3816"/>
      </w:tblGrid>
      <w:tr w:rsidR="00355E5A" w14:paraId="2A3D985A" w14:textId="77777777">
        <w:trPr>
          <w:tblHeader/>
        </w:trPr>
        <w:tc>
          <w:tcPr>
            <w:tcW w:w="2376" w:type="dxa"/>
            <w:tcBorders>
              <w:top w:val="single" w:sz="4" w:space="0" w:color="B7B7B7"/>
              <w:left w:val="single" w:sz="4" w:space="0" w:color="B7B7B7"/>
              <w:bottom w:val="single" w:sz="4" w:space="0" w:color="B7B7B7"/>
              <w:right w:val="single" w:sz="4" w:space="0" w:color="B7B7B7"/>
            </w:tcBorders>
          </w:tcPr>
          <w:p w14:paraId="53523151" w14:textId="77777777" w:rsidR="00355E5A" w:rsidRDefault="003C4050">
            <w:pPr>
              <w:spacing w:before="60" w:after="60" w:line="252" w:lineRule="auto"/>
            </w:pPr>
            <w:r>
              <w:rPr>
                <w:b/>
                <w:sz w:val="21"/>
              </w:rPr>
              <w:t>Record</w:t>
            </w:r>
          </w:p>
        </w:tc>
        <w:tc>
          <w:tcPr>
            <w:tcW w:w="2664" w:type="dxa"/>
            <w:tcBorders>
              <w:top w:val="single" w:sz="4" w:space="0" w:color="B7B7B7"/>
              <w:left w:val="single" w:sz="4" w:space="0" w:color="B7B7B7"/>
              <w:bottom w:val="single" w:sz="4" w:space="0" w:color="B7B7B7"/>
              <w:right w:val="single" w:sz="4" w:space="0" w:color="B7B7B7"/>
            </w:tcBorders>
          </w:tcPr>
          <w:p w14:paraId="133ADC07" w14:textId="77777777" w:rsidR="00355E5A" w:rsidRDefault="003C4050">
            <w:pPr>
              <w:spacing w:before="60" w:after="60" w:line="252" w:lineRule="auto"/>
              <w:jc w:val="center"/>
            </w:pPr>
            <w:r>
              <w:rPr>
                <w:b/>
                <w:sz w:val="21"/>
              </w:rPr>
              <w:t>Period used</w:t>
            </w:r>
          </w:p>
        </w:tc>
        <w:tc>
          <w:tcPr>
            <w:tcW w:w="3816" w:type="dxa"/>
            <w:tcBorders>
              <w:top w:val="single" w:sz="4" w:space="0" w:color="B7B7B7"/>
              <w:left w:val="single" w:sz="4" w:space="0" w:color="B7B7B7"/>
              <w:bottom w:val="single" w:sz="4" w:space="0" w:color="B7B7B7"/>
              <w:right w:val="single" w:sz="4" w:space="0" w:color="B7B7B7"/>
            </w:tcBorders>
          </w:tcPr>
          <w:p w14:paraId="5417A5B9" w14:textId="77777777" w:rsidR="00355E5A" w:rsidRDefault="003C4050">
            <w:pPr>
              <w:spacing w:before="60" w:after="60" w:line="252" w:lineRule="auto"/>
              <w:jc w:val="center"/>
            </w:pPr>
            <w:r>
              <w:rPr>
                <w:b/>
                <w:sz w:val="21"/>
              </w:rPr>
              <w:t>Role</w:t>
            </w:r>
          </w:p>
        </w:tc>
      </w:tr>
      <w:tr w:rsidR="00355E5A" w14:paraId="0871ED7F" w14:textId="77777777">
        <w:tc>
          <w:tcPr>
            <w:tcW w:w="2376" w:type="dxa"/>
            <w:tcBorders>
              <w:top w:val="single" w:sz="4" w:space="0" w:color="B7B7B7"/>
              <w:left w:val="single" w:sz="4" w:space="0" w:color="B7B7B7"/>
              <w:bottom w:val="single" w:sz="4" w:space="0" w:color="B7B7B7"/>
              <w:right w:val="single" w:sz="4" w:space="0" w:color="B7B7B7"/>
            </w:tcBorders>
          </w:tcPr>
          <w:p w14:paraId="180A8EFD" w14:textId="77777777" w:rsidR="00355E5A" w:rsidRDefault="003C4050">
            <w:pPr>
              <w:spacing w:before="60" w:after="60" w:line="252" w:lineRule="auto"/>
            </w:pPr>
            <w:r>
              <w:rPr>
                <w:sz w:val="21"/>
              </w:rPr>
              <w:t>CSR RL06.3</w:t>
            </w:r>
          </w:p>
        </w:tc>
        <w:tc>
          <w:tcPr>
            <w:tcW w:w="2664" w:type="dxa"/>
            <w:tcBorders>
              <w:top w:val="single" w:sz="4" w:space="0" w:color="B7B7B7"/>
              <w:left w:val="single" w:sz="4" w:space="0" w:color="B7B7B7"/>
              <w:bottom w:val="single" w:sz="4" w:space="0" w:color="B7B7B7"/>
              <w:right w:val="single" w:sz="4" w:space="0" w:color="B7B7B7"/>
            </w:tcBorders>
          </w:tcPr>
          <w:p w14:paraId="681C2EAA" w14:textId="77777777" w:rsidR="00355E5A" w:rsidRDefault="003C4050">
            <w:pPr>
              <w:spacing w:before="60" w:after="60" w:line="252" w:lineRule="auto"/>
              <w:jc w:val="center"/>
            </w:pPr>
            <w:r>
              <w:rPr>
                <w:sz w:val="21"/>
              </w:rPr>
              <w:t>Apr 2002–Sep 2024</w:t>
            </w:r>
          </w:p>
        </w:tc>
        <w:tc>
          <w:tcPr>
            <w:tcW w:w="3816" w:type="dxa"/>
            <w:tcBorders>
              <w:top w:val="single" w:sz="4" w:space="0" w:color="B7B7B7"/>
              <w:left w:val="single" w:sz="4" w:space="0" w:color="B7B7B7"/>
              <w:bottom w:val="single" w:sz="4" w:space="0" w:color="B7B7B7"/>
              <w:right w:val="single" w:sz="4" w:space="0" w:color="B7B7B7"/>
            </w:tcBorders>
          </w:tcPr>
          <w:p w14:paraId="1C3716C9" w14:textId="77777777" w:rsidR="00355E5A" w:rsidRDefault="003C4050">
            <w:pPr>
              <w:spacing w:before="60" w:after="60" w:line="252" w:lineRule="auto"/>
              <w:jc w:val="center"/>
            </w:pPr>
            <w:r>
              <w:rPr>
                <w:sz w:val="21"/>
              </w:rPr>
              <w:t xml:space="preserve">Primary gravity </w:t>
            </w:r>
            <w:r>
              <w:rPr>
                <w:sz w:val="21"/>
              </w:rPr>
              <w:t>storage</w:t>
            </w:r>
          </w:p>
        </w:tc>
      </w:tr>
      <w:tr w:rsidR="00355E5A" w14:paraId="0CA83330" w14:textId="77777777">
        <w:tc>
          <w:tcPr>
            <w:tcW w:w="2376" w:type="dxa"/>
            <w:tcBorders>
              <w:top w:val="single" w:sz="4" w:space="0" w:color="B7B7B7"/>
              <w:left w:val="single" w:sz="4" w:space="0" w:color="B7B7B7"/>
              <w:bottom w:val="single" w:sz="4" w:space="0" w:color="B7B7B7"/>
              <w:right w:val="single" w:sz="4" w:space="0" w:color="B7B7B7"/>
            </w:tcBorders>
          </w:tcPr>
          <w:p w14:paraId="15B0D7C3" w14:textId="77777777" w:rsidR="00355E5A" w:rsidRDefault="003C4050">
            <w:pPr>
              <w:spacing w:before="60" w:after="60" w:line="252" w:lineRule="auto"/>
            </w:pPr>
            <w:r>
              <w:rPr>
                <w:sz w:val="21"/>
              </w:rPr>
              <w:t>GLDAS Noah</w:t>
            </w:r>
          </w:p>
        </w:tc>
        <w:tc>
          <w:tcPr>
            <w:tcW w:w="2664" w:type="dxa"/>
            <w:tcBorders>
              <w:top w:val="single" w:sz="4" w:space="0" w:color="B7B7B7"/>
              <w:left w:val="single" w:sz="4" w:space="0" w:color="B7B7B7"/>
              <w:bottom w:val="single" w:sz="4" w:space="0" w:color="B7B7B7"/>
              <w:right w:val="single" w:sz="4" w:space="0" w:color="B7B7B7"/>
            </w:tcBorders>
          </w:tcPr>
          <w:p w14:paraId="3C521747" w14:textId="77777777" w:rsidR="00355E5A" w:rsidRDefault="003C4050">
            <w:pPr>
              <w:spacing w:before="60" w:after="60" w:line="252" w:lineRule="auto"/>
              <w:jc w:val="center"/>
            </w:pPr>
            <w:r>
              <w:rPr>
                <w:sz w:val="21"/>
              </w:rPr>
              <w:t>Apr 2002–Sep 2024</w:t>
            </w:r>
          </w:p>
        </w:tc>
        <w:tc>
          <w:tcPr>
            <w:tcW w:w="3816" w:type="dxa"/>
            <w:tcBorders>
              <w:top w:val="single" w:sz="4" w:space="0" w:color="B7B7B7"/>
              <w:left w:val="single" w:sz="4" w:space="0" w:color="B7B7B7"/>
              <w:bottom w:val="single" w:sz="4" w:space="0" w:color="B7B7B7"/>
              <w:right w:val="single" w:sz="4" w:space="0" w:color="B7B7B7"/>
            </w:tcBorders>
          </w:tcPr>
          <w:p w14:paraId="3453C48D" w14:textId="77777777" w:rsidR="00355E5A" w:rsidRDefault="003C4050">
            <w:pPr>
              <w:spacing w:before="60" w:after="60" w:line="252" w:lineRule="auto"/>
              <w:jc w:val="center"/>
            </w:pPr>
            <w:r>
              <w:rPr>
                <w:sz w:val="21"/>
              </w:rPr>
              <w:t>Soil, canopy, snow</w:t>
            </w:r>
          </w:p>
        </w:tc>
      </w:tr>
      <w:tr w:rsidR="00355E5A" w14:paraId="7720700D" w14:textId="77777777">
        <w:tc>
          <w:tcPr>
            <w:tcW w:w="2376" w:type="dxa"/>
            <w:tcBorders>
              <w:top w:val="single" w:sz="4" w:space="0" w:color="B7B7B7"/>
              <w:left w:val="single" w:sz="4" w:space="0" w:color="B7B7B7"/>
              <w:bottom w:val="single" w:sz="4" w:space="0" w:color="B7B7B7"/>
              <w:right w:val="single" w:sz="4" w:space="0" w:color="B7B7B7"/>
            </w:tcBorders>
          </w:tcPr>
          <w:p w14:paraId="2BC0635F" w14:textId="77777777" w:rsidR="00355E5A" w:rsidRDefault="003C4050">
            <w:pPr>
              <w:spacing w:before="60" w:after="60" w:line="252" w:lineRule="auto"/>
            </w:pPr>
            <w:r>
              <w:rPr>
                <w:sz w:val="21"/>
              </w:rPr>
              <w:t>G3P v1.12</w:t>
            </w:r>
          </w:p>
        </w:tc>
        <w:tc>
          <w:tcPr>
            <w:tcW w:w="2664" w:type="dxa"/>
            <w:tcBorders>
              <w:top w:val="single" w:sz="4" w:space="0" w:color="B7B7B7"/>
              <w:left w:val="single" w:sz="4" w:space="0" w:color="B7B7B7"/>
              <w:bottom w:val="single" w:sz="4" w:space="0" w:color="B7B7B7"/>
              <w:right w:val="single" w:sz="4" w:space="0" w:color="B7B7B7"/>
            </w:tcBorders>
          </w:tcPr>
          <w:p w14:paraId="0EB1106D" w14:textId="77777777" w:rsidR="00355E5A" w:rsidRDefault="003C4050">
            <w:pPr>
              <w:spacing w:before="60" w:after="60" w:line="252" w:lineRule="auto"/>
              <w:jc w:val="center"/>
            </w:pPr>
            <w:r>
              <w:rPr>
                <w:sz w:val="21"/>
              </w:rPr>
              <w:t>Apr 2002–Sep 2023</w:t>
            </w:r>
          </w:p>
        </w:tc>
        <w:tc>
          <w:tcPr>
            <w:tcW w:w="3816" w:type="dxa"/>
            <w:tcBorders>
              <w:top w:val="single" w:sz="4" w:space="0" w:color="B7B7B7"/>
              <w:left w:val="single" w:sz="4" w:space="0" w:color="B7B7B7"/>
              <w:bottom w:val="single" w:sz="4" w:space="0" w:color="B7B7B7"/>
              <w:right w:val="single" w:sz="4" w:space="0" w:color="B7B7B7"/>
            </w:tcBorders>
          </w:tcPr>
          <w:p w14:paraId="39CFE211" w14:textId="77777777" w:rsidR="00355E5A" w:rsidRDefault="003C4050">
            <w:pPr>
              <w:spacing w:before="60" w:after="60" w:line="252" w:lineRule="auto"/>
              <w:jc w:val="center"/>
            </w:pPr>
            <w:r>
              <w:rPr>
                <w:sz w:val="21"/>
              </w:rPr>
              <w:t>Surface water and alternatives</w:t>
            </w:r>
          </w:p>
        </w:tc>
      </w:tr>
      <w:tr w:rsidR="00355E5A" w14:paraId="4251A642" w14:textId="77777777">
        <w:tc>
          <w:tcPr>
            <w:tcW w:w="2376" w:type="dxa"/>
            <w:tcBorders>
              <w:top w:val="single" w:sz="4" w:space="0" w:color="B7B7B7"/>
              <w:left w:val="single" w:sz="4" w:space="0" w:color="B7B7B7"/>
              <w:bottom w:val="single" w:sz="4" w:space="0" w:color="B7B7B7"/>
              <w:right w:val="single" w:sz="4" w:space="0" w:color="B7B7B7"/>
            </w:tcBorders>
          </w:tcPr>
          <w:p w14:paraId="3277A6AC" w14:textId="77777777" w:rsidR="00355E5A" w:rsidRDefault="003C4050">
            <w:pPr>
              <w:spacing w:before="60" w:after="60" w:line="252" w:lineRule="auto"/>
            </w:pPr>
            <w:r>
              <w:rPr>
                <w:sz w:val="21"/>
              </w:rPr>
              <w:t>WaterGAP 2.2e</w:t>
            </w:r>
          </w:p>
        </w:tc>
        <w:tc>
          <w:tcPr>
            <w:tcW w:w="2664" w:type="dxa"/>
            <w:tcBorders>
              <w:top w:val="single" w:sz="4" w:space="0" w:color="B7B7B7"/>
              <w:left w:val="single" w:sz="4" w:space="0" w:color="B7B7B7"/>
              <w:bottom w:val="single" w:sz="4" w:space="0" w:color="B7B7B7"/>
              <w:right w:val="single" w:sz="4" w:space="0" w:color="B7B7B7"/>
            </w:tcBorders>
          </w:tcPr>
          <w:p w14:paraId="3341E961" w14:textId="77777777" w:rsidR="00355E5A" w:rsidRDefault="003C4050">
            <w:pPr>
              <w:spacing w:before="60" w:after="60" w:line="252" w:lineRule="auto"/>
              <w:jc w:val="center"/>
            </w:pPr>
            <w:r>
              <w:rPr>
                <w:sz w:val="21"/>
              </w:rPr>
              <w:t>1981–2023</w:t>
            </w:r>
          </w:p>
        </w:tc>
        <w:tc>
          <w:tcPr>
            <w:tcW w:w="3816" w:type="dxa"/>
            <w:tcBorders>
              <w:top w:val="single" w:sz="4" w:space="0" w:color="B7B7B7"/>
              <w:left w:val="single" w:sz="4" w:space="0" w:color="B7B7B7"/>
              <w:bottom w:val="single" w:sz="4" w:space="0" w:color="B7B7B7"/>
              <w:right w:val="single" w:sz="4" w:space="0" w:color="B7B7B7"/>
            </w:tcBorders>
          </w:tcPr>
          <w:p w14:paraId="02A3005D" w14:textId="77777777" w:rsidR="00355E5A" w:rsidRDefault="003C4050">
            <w:pPr>
              <w:spacing w:before="60" w:after="60" w:line="252" w:lineRule="auto"/>
              <w:jc w:val="center"/>
            </w:pPr>
            <w:r>
              <w:rPr>
                <w:sz w:val="21"/>
              </w:rPr>
              <w:t>Naturalized/historical pairing</w:t>
            </w:r>
          </w:p>
        </w:tc>
      </w:tr>
      <w:tr w:rsidR="00355E5A" w14:paraId="371D3097" w14:textId="77777777">
        <w:tc>
          <w:tcPr>
            <w:tcW w:w="2376" w:type="dxa"/>
            <w:tcBorders>
              <w:top w:val="single" w:sz="4" w:space="0" w:color="B7B7B7"/>
              <w:left w:val="single" w:sz="4" w:space="0" w:color="B7B7B7"/>
              <w:bottom w:val="single" w:sz="4" w:space="0" w:color="B7B7B7"/>
              <w:right w:val="single" w:sz="4" w:space="0" w:color="B7B7B7"/>
            </w:tcBorders>
          </w:tcPr>
          <w:p w14:paraId="51640DD7" w14:textId="77777777" w:rsidR="00355E5A" w:rsidRDefault="003C4050">
            <w:pPr>
              <w:spacing w:before="60" w:after="60" w:line="252" w:lineRule="auto"/>
            </w:pPr>
            <w:r>
              <w:rPr>
                <w:sz w:val="21"/>
              </w:rPr>
              <w:t>Multisource cube</w:t>
            </w:r>
          </w:p>
        </w:tc>
        <w:tc>
          <w:tcPr>
            <w:tcW w:w="2664" w:type="dxa"/>
            <w:tcBorders>
              <w:top w:val="single" w:sz="4" w:space="0" w:color="B7B7B7"/>
              <w:left w:val="single" w:sz="4" w:space="0" w:color="B7B7B7"/>
              <w:bottom w:val="single" w:sz="4" w:space="0" w:color="B7B7B7"/>
              <w:right w:val="single" w:sz="4" w:space="0" w:color="B7B7B7"/>
            </w:tcBorders>
          </w:tcPr>
          <w:p w14:paraId="0673D61D" w14:textId="77777777" w:rsidR="00355E5A" w:rsidRDefault="003C4050">
            <w:pPr>
              <w:spacing w:before="60" w:after="60" w:line="252" w:lineRule="auto"/>
              <w:jc w:val="center"/>
            </w:pPr>
            <w:r>
              <w:rPr>
                <w:sz w:val="21"/>
              </w:rPr>
              <w:t>2003–2024</w:t>
            </w:r>
          </w:p>
        </w:tc>
        <w:tc>
          <w:tcPr>
            <w:tcW w:w="3816" w:type="dxa"/>
            <w:tcBorders>
              <w:top w:val="single" w:sz="4" w:space="0" w:color="B7B7B7"/>
              <w:left w:val="single" w:sz="4" w:space="0" w:color="B7B7B7"/>
              <w:bottom w:val="single" w:sz="4" w:space="0" w:color="B7B7B7"/>
              <w:right w:val="single" w:sz="4" w:space="0" w:color="B7B7B7"/>
            </w:tcBorders>
          </w:tcPr>
          <w:p w14:paraId="24E9C451" w14:textId="77777777" w:rsidR="00355E5A" w:rsidRDefault="003C4050">
            <w:pPr>
              <w:spacing w:before="60" w:after="60" w:line="252" w:lineRule="auto"/>
              <w:jc w:val="center"/>
            </w:pPr>
            <w:r>
              <w:rPr>
                <w:sz w:val="21"/>
              </w:rPr>
              <w:t>CHIRPS and ancillary context</w:t>
            </w:r>
          </w:p>
        </w:tc>
      </w:tr>
      <w:tr w:rsidR="00355E5A" w14:paraId="4CD450E4" w14:textId="77777777">
        <w:tc>
          <w:tcPr>
            <w:tcW w:w="2376" w:type="dxa"/>
            <w:tcBorders>
              <w:top w:val="single" w:sz="4" w:space="0" w:color="B7B7B7"/>
              <w:left w:val="single" w:sz="4" w:space="0" w:color="B7B7B7"/>
              <w:bottom w:val="single" w:sz="4" w:space="0" w:color="B7B7B7"/>
              <w:right w:val="single" w:sz="4" w:space="0" w:color="B7B7B7"/>
            </w:tcBorders>
          </w:tcPr>
          <w:p w14:paraId="75DDF089" w14:textId="77777777" w:rsidR="00355E5A" w:rsidRDefault="003C4050">
            <w:pPr>
              <w:spacing w:before="60" w:after="60" w:line="252" w:lineRule="auto"/>
            </w:pPr>
            <w:r>
              <w:rPr>
                <w:sz w:val="21"/>
              </w:rPr>
              <w:t xml:space="preserve">Thai GROW </w:t>
            </w:r>
            <w:r>
              <w:rPr>
                <w:sz w:val="21"/>
              </w:rPr>
              <w:t>observations</w:t>
            </w:r>
          </w:p>
        </w:tc>
        <w:tc>
          <w:tcPr>
            <w:tcW w:w="2664" w:type="dxa"/>
            <w:tcBorders>
              <w:top w:val="single" w:sz="4" w:space="0" w:color="B7B7B7"/>
              <w:left w:val="single" w:sz="4" w:space="0" w:color="B7B7B7"/>
              <w:bottom w:val="single" w:sz="4" w:space="0" w:color="B7B7B7"/>
              <w:right w:val="single" w:sz="4" w:space="0" w:color="B7B7B7"/>
            </w:tcBorders>
          </w:tcPr>
          <w:p w14:paraId="5E61B63F" w14:textId="77777777" w:rsidR="00355E5A" w:rsidRDefault="003C4050">
            <w:pPr>
              <w:spacing w:before="60" w:after="60" w:line="252" w:lineRule="auto"/>
              <w:jc w:val="center"/>
            </w:pPr>
            <w:r>
              <w:rPr>
                <w:sz w:val="21"/>
              </w:rPr>
              <w:t>2004–2024 annual; 2018–2023 monthly</w:t>
            </w:r>
          </w:p>
        </w:tc>
        <w:tc>
          <w:tcPr>
            <w:tcW w:w="3816" w:type="dxa"/>
            <w:tcBorders>
              <w:top w:val="single" w:sz="4" w:space="0" w:color="B7B7B7"/>
              <w:left w:val="single" w:sz="4" w:space="0" w:color="B7B7B7"/>
              <w:bottom w:val="single" w:sz="4" w:space="0" w:color="B7B7B7"/>
              <w:right w:val="single" w:sz="4" w:space="0" w:color="B7B7B7"/>
            </w:tcBorders>
          </w:tcPr>
          <w:p w14:paraId="6599801A" w14:textId="77777777" w:rsidR="00355E5A" w:rsidRDefault="003C4050">
            <w:pPr>
              <w:spacing w:before="60" w:after="60" w:line="252" w:lineRule="auto"/>
              <w:jc w:val="center"/>
            </w:pPr>
            <w:r>
              <w:rPr>
                <w:sz w:val="21"/>
              </w:rPr>
              <w:t>Groundwater consistency</w:t>
            </w:r>
          </w:p>
        </w:tc>
      </w:tr>
    </w:tbl>
    <w:p w14:paraId="083026CE" w14:textId="77777777" w:rsidR="00355E5A" w:rsidRDefault="003C4050">
      <w:pPr>
        <w:spacing w:after="80" w:line="360" w:lineRule="auto"/>
        <w:jc w:val="both"/>
      </w:pPr>
      <w:r>
        <w:t>The study combines an identified satellite-gravity baseline, land-surface storage components, naturalized and historical-human hydrological simulations, multisource hydroclimate fiel</w:t>
      </w:r>
      <w:r>
        <w:t>ds and actual groundwater observations. The roles are deliberately different. CSR supplies the principal observed mass-anomaly record. GLDAS Noah and G3P supply non-groundwater compartments or structural sensitivities. WaterGAP supplies the paired counterf</w:t>
      </w:r>
      <w:r>
        <w:t>actual experiment and the target for climate emulation.</w:t>
      </w:r>
    </w:p>
    <w:p w14:paraId="3A4D567F" w14:textId="77777777" w:rsidR="00355E5A" w:rsidRDefault="003C4050">
      <w:pPr>
        <w:spacing w:after="80" w:line="360" w:lineRule="auto"/>
        <w:jc w:val="both"/>
      </w:pPr>
      <w:r>
        <w:t>The main calendar spans April 2002 to September 2024, but availability differs by product. The documented CSR subset contains 237 observed monthly solutions over that interval. Surface-water availabil</w:t>
      </w:r>
      <w:r>
        <w:t>ity limits primary GWSA to September 2023, producing 225 observed GWS months. No interpolation is introduced between the GRACE and GRACE-FO missions. The common-support source audit uses fewer months where the legacy and G3P records require it.</w:t>
      </w:r>
    </w:p>
    <w:p w14:paraId="43FC1FAD" w14:textId="77777777" w:rsidR="00355E5A" w:rsidRDefault="003C4050">
      <w:pPr>
        <w:spacing w:after="80" w:line="360" w:lineRule="auto"/>
        <w:jc w:val="both"/>
      </w:pPr>
      <w:r>
        <w:t>Each suppli</w:t>
      </w:r>
      <w:r>
        <w:t xml:space="preserve">ed or downloaded input is accompanied by a source inventory or provenance record. The extended package adds CSR release information, download checksums, nominal-month assignments and native mapping. This improves the baseline provenance while preserving a </w:t>
      </w:r>
      <w:r>
        <w:t>clear distinction between the new primary analysis and the earlier unidentified export.</w:t>
      </w:r>
    </w:p>
    <w:p w14:paraId="3A580C03" w14:textId="77777777" w:rsidR="00355E5A" w:rsidRDefault="003C4050">
      <w:pPr>
        <w:pStyle w:val="Heading2"/>
        <w:pageBreakBefore/>
        <w:numPr>
          <w:ilvl w:val="1"/>
          <w:numId w:val="0"/>
        </w:numPr>
        <w:spacing w:after="160" w:line="240" w:lineRule="auto"/>
      </w:pPr>
      <w:bookmarkStart w:id="14" w:name="_Toc243829215"/>
      <w:r>
        <w:lastRenderedPageBreak/>
        <w:t>CSR processing and calendar audit</w:t>
      </w:r>
      <w:bookmarkEnd w:id="14"/>
    </w:p>
    <w:p w14:paraId="5ED19299" w14:textId="77777777" w:rsidR="00355E5A" w:rsidRDefault="003C4050">
      <w:pPr>
        <w:spacing w:after="80" w:line="360" w:lineRule="auto"/>
        <w:jc w:val="both"/>
      </w:pPr>
      <w:r>
        <w:t>The CSR RL06.3 all-corrections NetCDF is downloaded from the provider together with its land mask and native-mascon mapping. A compact</w:t>
      </w:r>
      <w:r>
        <w:t xml:space="preserve"> Thai-buffer subset is retained, and the original source checksum is recorded. The primary analysis uses the delivered corrected mass field in centimetres, converted to millimetres. It does not undo provider corrections or add an empirical gain factor.</w:t>
      </w:r>
    </w:p>
    <w:p w14:paraId="28F1EAAC" w14:textId="77777777" w:rsidR="00355E5A" w:rsidRDefault="003C4050">
      <w:pPr>
        <w:spacing w:after="80" w:line="360" w:lineRule="auto"/>
        <w:jc w:val="both"/>
      </w:pPr>
      <w:r>
        <w:t>The</w:t>
      </w:r>
      <w:r>
        <w:t xml:space="preserve"> source uses an uppercase Units attribute for time and thickness. The acquisition code explicitly interprets the declared time epoch rather than assuming that a generic CF decoder has converted the floating-point time coordinate. This check is important be</w:t>
      </w:r>
      <w:r>
        <w:t>cause a time-selection operation can otherwise return a numerically plausible but incorrect subset. The complete monthly assignment audit is saved with the input data.</w:t>
      </w:r>
    </w:p>
    <w:p w14:paraId="63C4A252" w14:textId="77777777" w:rsidR="00355E5A" w:rsidRDefault="003C4050">
      <w:pPr>
        <w:spacing w:after="80" w:line="360" w:lineRule="auto"/>
        <w:jc w:val="both"/>
      </w:pPr>
      <w:r>
        <w:t xml:space="preserve">Two source midpoints fall in the preceding calendar month of their nominal GRACE </w:t>
      </w:r>
      <w:r>
        <w:t>solution: the second October 2011 entry is assigned to November 2011, and the late-April 2015 entry to May 2015. They are retained as distinct observations. The audit records the original midpoint and the assigned month, while the source averaging bounds r</w:t>
      </w:r>
      <w:r>
        <w:t>emain available. These assignments follow the established special-month issue described in GRACE time-processing guidance.</w:t>
      </w:r>
    </w:p>
    <w:p w14:paraId="09941BD4" w14:textId="77777777" w:rsidR="00355E5A" w:rsidRDefault="003C4050">
      <w:pPr>
        <w:spacing w:after="80" w:line="360" w:lineRule="auto"/>
        <w:jc w:val="both"/>
      </w:pPr>
      <w:r>
        <w:t xml:space="preserve">The CSR provider land mask is applied before basin aggregation. This reduces the use of ocean-coded cells at coastlines but does not </w:t>
      </w:r>
      <w:r>
        <w:t>constitute a full leakage correction. Missing observations are reindexed onto a complete calendar as missing values. The resulting time series therefore distinguishes absence of a satellite solution from a measured anomaly close to zero.</w:t>
      </w:r>
    </w:p>
    <w:p w14:paraId="11FC470C" w14:textId="77777777" w:rsidR="00355E5A" w:rsidRDefault="003C4050">
      <w:pPr>
        <w:spacing w:after="80" w:line="360" w:lineRule="auto"/>
        <w:jc w:val="both"/>
      </w:pPr>
      <w:r>
        <w:t xml:space="preserve">The data audit is </w:t>
      </w:r>
      <w:r>
        <w:t xml:space="preserve">part of the scientific method rather than an incidental software step. Misread units, merged special months or silently filled mission gaps can influence an apparent trend, lag or validation sample. Explicit checks and retained metadata make those choices </w:t>
      </w:r>
      <w:r>
        <w:t>inspectable and allow a reviewer to separate data-handling decisions from later hydrological interpretation.</w:t>
      </w:r>
    </w:p>
    <w:p w14:paraId="163E3F39" w14:textId="77777777" w:rsidR="00355E5A" w:rsidRDefault="003C4050">
      <w:pPr>
        <w:keepNext/>
        <w:pageBreakBefore/>
        <w:spacing w:after="160"/>
      </w:pPr>
      <w:r>
        <w:rPr>
          <w:b/>
        </w:rPr>
        <w:lastRenderedPageBreak/>
        <w:t>Storage compartments and structural alternatives</w:t>
      </w:r>
    </w:p>
    <w:p w14:paraId="6D0C3975" w14:textId="77777777" w:rsidR="00355E5A" w:rsidRDefault="003C4050">
      <w:pPr>
        <w:pStyle w:val="Caption"/>
        <w:keepNext/>
        <w:spacing w:after="140" w:line="276" w:lineRule="auto"/>
        <w:jc w:val="center"/>
      </w:pPr>
      <w:bookmarkStart w:id="15" w:name="Table3_2"/>
      <w:r>
        <w:rPr>
          <w:rFonts w:ascii="Times New Roman" w:hAnsi="Times New Roman"/>
          <w:b/>
          <w:sz w:val="22"/>
        </w:rPr>
        <w:t>Table 3.2 Storage-compartment definitions</w:t>
      </w:r>
      <w:bookmarkEnd w:id="15"/>
    </w:p>
    <w:tbl>
      <w:tblPr>
        <w:tblW w:w="0" w:type="auto"/>
        <w:tblLayout w:type="fixed"/>
        <w:tblLook w:val="04A0" w:firstRow="1" w:lastRow="0" w:firstColumn="1" w:lastColumn="0" w:noHBand="0" w:noVBand="1"/>
      </w:tblPr>
      <w:tblGrid>
        <w:gridCol w:w="1800"/>
        <w:gridCol w:w="7056"/>
      </w:tblGrid>
      <w:tr w:rsidR="00355E5A" w14:paraId="2BAEDAF5" w14:textId="77777777">
        <w:trPr>
          <w:tblHeader/>
        </w:trPr>
        <w:tc>
          <w:tcPr>
            <w:tcW w:w="1800" w:type="dxa"/>
            <w:tcBorders>
              <w:top w:val="single" w:sz="4" w:space="0" w:color="B7B7B7"/>
              <w:left w:val="single" w:sz="4" w:space="0" w:color="B7B7B7"/>
              <w:bottom w:val="single" w:sz="4" w:space="0" w:color="B7B7B7"/>
              <w:right w:val="single" w:sz="4" w:space="0" w:color="B7B7B7"/>
            </w:tcBorders>
          </w:tcPr>
          <w:p w14:paraId="09052FD9" w14:textId="77777777" w:rsidR="00355E5A" w:rsidRDefault="003C4050">
            <w:pPr>
              <w:spacing w:before="60" w:after="60" w:line="252" w:lineRule="auto"/>
            </w:pPr>
            <w:r>
              <w:rPr>
                <w:b/>
                <w:sz w:val="21"/>
              </w:rPr>
              <w:t>Term</w:t>
            </w:r>
          </w:p>
        </w:tc>
        <w:tc>
          <w:tcPr>
            <w:tcW w:w="7056" w:type="dxa"/>
            <w:tcBorders>
              <w:top w:val="single" w:sz="4" w:space="0" w:color="B7B7B7"/>
              <w:left w:val="single" w:sz="4" w:space="0" w:color="B7B7B7"/>
              <w:bottom w:val="single" w:sz="4" w:space="0" w:color="B7B7B7"/>
              <w:right w:val="single" w:sz="4" w:space="0" w:color="B7B7B7"/>
            </w:tcBorders>
          </w:tcPr>
          <w:p w14:paraId="27095281" w14:textId="77777777" w:rsidR="00355E5A" w:rsidRDefault="003C4050">
            <w:pPr>
              <w:spacing w:before="60" w:after="60" w:line="252" w:lineRule="auto"/>
              <w:jc w:val="center"/>
            </w:pPr>
            <w:r>
              <w:rPr>
                <w:b/>
                <w:sz w:val="21"/>
              </w:rPr>
              <w:t>Primary representation</w:t>
            </w:r>
          </w:p>
        </w:tc>
      </w:tr>
      <w:tr w:rsidR="00355E5A" w14:paraId="31E8569E" w14:textId="77777777">
        <w:tc>
          <w:tcPr>
            <w:tcW w:w="1800" w:type="dxa"/>
            <w:tcBorders>
              <w:top w:val="single" w:sz="4" w:space="0" w:color="B7B7B7"/>
              <w:left w:val="single" w:sz="4" w:space="0" w:color="B7B7B7"/>
              <w:bottom w:val="single" w:sz="4" w:space="0" w:color="B7B7B7"/>
              <w:right w:val="single" w:sz="4" w:space="0" w:color="B7B7B7"/>
            </w:tcBorders>
          </w:tcPr>
          <w:p w14:paraId="6E12B667" w14:textId="77777777" w:rsidR="00355E5A" w:rsidRDefault="003C4050">
            <w:pPr>
              <w:spacing w:before="60" w:after="60" w:line="252" w:lineRule="auto"/>
            </w:pPr>
            <w:r>
              <w:rPr>
                <w:sz w:val="21"/>
              </w:rPr>
              <w:t>TWSA</w:t>
            </w:r>
          </w:p>
        </w:tc>
        <w:tc>
          <w:tcPr>
            <w:tcW w:w="7056" w:type="dxa"/>
            <w:tcBorders>
              <w:top w:val="single" w:sz="4" w:space="0" w:color="B7B7B7"/>
              <w:left w:val="single" w:sz="4" w:space="0" w:color="B7B7B7"/>
              <w:bottom w:val="single" w:sz="4" w:space="0" w:color="B7B7B7"/>
              <w:right w:val="single" w:sz="4" w:space="0" w:color="B7B7B7"/>
            </w:tcBorders>
          </w:tcPr>
          <w:p w14:paraId="5EEC7F9B" w14:textId="77777777" w:rsidR="00355E5A" w:rsidRDefault="003C4050">
            <w:pPr>
              <w:spacing w:before="60" w:after="60" w:line="252" w:lineRule="auto"/>
              <w:jc w:val="center"/>
            </w:pPr>
            <w:r>
              <w:rPr>
                <w:sz w:val="21"/>
              </w:rPr>
              <w:t xml:space="preserve">CSR corrected mass </w:t>
            </w:r>
            <w:r>
              <w:rPr>
                <w:sz w:val="21"/>
              </w:rPr>
              <w:t>anomaly</w:t>
            </w:r>
          </w:p>
        </w:tc>
      </w:tr>
      <w:tr w:rsidR="00355E5A" w14:paraId="60519481" w14:textId="77777777">
        <w:tc>
          <w:tcPr>
            <w:tcW w:w="1800" w:type="dxa"/>
            <w:tcBorders>
              <w:top w:val="single" w:sz="4" w:space="0" w:color="B7B7B7"/>
              <w:left w:val="single" w:sz="4" w:space="0" w:color="B7B7B7"/>
              <w:bottom w:val="single" w:sz="4" w:space="0" w:color="B7B7B7"/>
              <w:right w:val="single" w:sz="4" w:space="0" w:color="B7B7B7"/>
            </w:tcBorders>
          </w:tcPr>
          <w:p w14:paraId="394FC829" w14:textId="77777777" w:rsidR="00355E5A" w:rsidRDefault="003C4050">
            <w:pPr>
              <w:spacing w:before="60" w:after="60" w:line="252" w:lineRule="auto"/>
            </w:pPr>
            <w:r>
              <w:rPr>
                <w:sz w:val="21"/>
              </w:rPr>
              <w:t>SMSA</w:t>
            </w:r>
          </w:p>
        </w:tc>
        <w:tc>
          <w:tcPr>
            <w:tcW w:w="7056" w:type="dxa"/>
            <w:tcBorders>
              <w:top w:val="single" w:sz="4" w:space="0" w:color="B7B7B7"/>
              <w:left w:val="single" w:sz="4" w:space="0" w:color="B7B7B7"/>
              <w:bottom w:val="single" w:sz="4" w:space="0" w:color="B7B7B7"/>
              <w:right w:val="single" w:sz="4" w:space="0" w:color="B7B7B7"/>
            </w:tcBorders>
          </w:tcPr>
          <w:p w14:paraId="44BEA1CA" w14:textId="77777777" w:rsidR="00355E5A" w:rsidRDefault="003C4050">
            <w:pPr>
              <w:spacing w:before="60" w:after="60" w:line="252" w:lineRule="auto"/>
              <w:jc w:val="center"/>
            </w:pPr>
            <w:r>
              <w:rPr>
                <w:sz w:val="21"/>
              </w:rPr>
              <w:t>Four GLDAS Noah soil layers</w:t>
            </w:r>
          </w:p>
        </w:tc>
      </w:tr>
      <w:tr w:rsidR="00355E5A" w14:paraId="15188BD5" w14:textId="77777777">
        <w:tc>
          <w:tcPr>
            <w:tcW w:w="1800" w:type="dxa"/>
            <w:tcBorders>
              <w:top w:val="single" w:sz="4" w:space="0" w:color="B7B7B7"/>
              <w:left w:val="single" w:sz="4" w:space="0" w:color="B7B7B7"/>
              <w:bottom w:val="single" w:sz="4" w:space="0" w:color="B7B7B7"/>
              <w:right w:val="single" w:sz="4" w:space="0" w:color="B7B7B7"/>
            </w:tcBorders>
          </w:tcPr>
          <w:p w14:paraId="34BAF5B3" w14:textId="77777777" w:rsidR="00355E5A" w:rsidRDefault="003C4050">
            <w:pPr>
              <w:spacing w:before="60" w:after="60" w:line="252" w:lineRule="auto"/>
            </w:pPr>
            <w:r>
              <w:rPr>
                <w:sz w:val="21"/>
              </w:rPr>
              <w:t>SWSA</w:t>
            </w:r>
          </w:p>
        </w:tc>
        <w:tc>
          <w:tcPr>
            <w:tcW w:w="7056" w:type="dxa"/>
            <w:tcBorders>
              <w:top w:val="single" w:sz="4" w:space="0" w:color="B7B7B7"/>
              <w:left w:val="single" w:sz="4" w:space="0" w:color="B7B7B7"/>
              <w:bottom w:val="single" w:sz="4" w:space="0" w:color="B7B7B7"/>
              <w:right w:val="single" w:sz="4" w:space="0" w:color="B7B7B7"/>
            </w:tcBorders>
          </w:tcPr>
          <w:p w14:paraId="0370AFE5" w14:textId="77777777" w:rsidR="00355E5A" w:rsidRDefault="003C4050">
            <w:pPr>
              <w:spacing w:before="60" w:after="60" w:line="252" w:lineRule="auto"/>
              <w:jc w:val="center"/>
            </w:pPr>
            <w:r>
              <w:rPr>
                <w:sz w:val="21"/>
              </w:rPr>
              <w:t>G3P modeled surface-water anomaly</w:t>
            </w:r>
          </w:p>
        </w:tc>
      </w:tr>
      <w:tr w:rsidR="00355E5A" w14:paraId="72FD49E6" w14:textId="77777777">
        <w:tc>
          <w:tcPr>
            <w:tcW w:w="1800" w:type="dxa"/>
            <w:tcBorders>
              <w:top w:val="single" w:sz="4" w:space="0" w:color="B7B7B7"/>
              <w:left w:val="single" w:sz="4" w:space="0" w:color="B7B7B7"/>
              <w:bottom w:val="single" w:sz="4" w:space="0" w:color="B7B7B7"/>
              <w:right w:val="single" w:sz="4" w:space="0" w:color="B7B7B7"/>
            </w:tcBorders>
          </w:tcPr>
          <w:p w14:paraId="69B92139" w14:textId="77777777" w:rsidR="00355E5A" w:rsidRDefault="003C4050">
            <w:pPr>
              <w:spacing w:before="60" w:after="60" w:line="252" w:lineRule="auto"/>
            </w:pPr>
            <w:r>
              <w:rPr>
                <w:sz w:val="21"/>
              </w:rPr>
              <w:t>CWSA and SWEA</w:t>
            </w:r>
          </w:p>
        </w:tc>
        <w:tc>
          <w:tcPr>
            <w:tcW w:w="7056" w:type="dxa"/>
            <w:tcBorders>
              <w:top w:val="single" w:sz="4" w:space="0" w:color="B7B7B7"/>
              <w:left w:val="single" w:sz="4" w:space="0" w:color="B7B7B7"/>
              <w:bottom w:val="single" w:sz="4" w:space="0" w:color="B7B7B7"/>
              <w:right w:val="single" w:sz="4" w:space="0" w:color="B7B7B7"/>
            </w:tcBorders>
          </w:tcPr>
          <w:p w14:paraId="7E3C8668" w14:textId="77777777" w:rsidR="00355E5A" w:rsidRDefault="003C4050">
            <w:pPr>
              <w:spacing w:before="60" w:after="60" w:line="252" w:lineRule="auto"/>
              <w:jc w:val="center"/>
            </w:pPr>
            <w:r>
              <w:rPr>
                <w:sz w:val="21"/>
              </w:rPr>
              <w:t>GLDAS canopy and snow</w:t>
            </w:r>
          </w:p>
        </w:tc>
      </w:tr>
      <w:tr w:rsidR="00355E5A" w14:paraId="2C0CE345" w14:textId="77777777">
        <w:tc>
          <w:tcPr>
            <w:tcW w:w="1800" w:type="dxa"/>
            <w:tcBorders>
              <w:top w:val="single" w:sz="4" w:space="0" w:color="B7B7B7"/>
              <w:left w:val="single" w:sz="4" w:space="0" w:color="B7B7B7"/>
              <w:bottom w:val="single" w:sz="4" w:space="0" w:color="B7B7B7"/>
              <w:right w:val="single" w:sz="4" w:space="0" w:color="B7B7B7"/>
            </w:tcBorders>
          </w:tcPr>
          <w:p w14:paraId="7A090226" w14:textId="77777777" w:rsidR="00355E5A" w:rsidRDefault="003C4050">
            <w:pPr>
              <w:spacing w:before="60" w:after="60" w:line="252" w:lineRule="auto"/>
            </w:pPr>
            <w:r>
              <w:rPr>
                <w:sz w:val="21"/>
              </w:rPr>
              <w:t>Soil sensitivity</w:t>
            </w:r>
          </w:p>
        </w:tc>
        <w:tc>
          <w:tcPr>
            <w:tcW w:w="7056" w:type="dxa"/>
            <w:tcBorders>
              <w:top w:val="single" w:sz="4" w:space="0" w:color="B7B7B7"/>
              <w:left w:val="single" w:sz="4" w:space="0" w:color="B7B7B7"/>
              <w:bottom w:val="single" w:sz="4" w:space="0" w:color="B7B7B7"/>
              <w:right w:val="single" w:sz="4" w:space="0" w:color="B7B7B7"/>
            </w:tcBorders>
          </w:tcPr>
          <w:p w14:paraId="46A466E9" w14:textId="77777777" w:rsidR="00355E5A" w:rsidRDefault="003C4050">
            <w:pPr>
              <w:spacing w:before="60" w:after="60" w:line="252" w:lineRule="auto"/>
              <w:jc w:val="center"/>
            </w:pPr>
            <w:r>
              <w:rPr>
                <w:sz w:val="21"/>
              </w:rPr>
              <w:t>Filtered root-zone alternative</w:t>
            </w:r>
          </w:p>
        </w:tc>
      </w:tr>
    </w:tbl>
    <w:p w14:paraId="057793C1" w14:textId="77777777" w:rsidR="00355E5A" w:rsidRDefault="003C4050">
      <w:pPr>
        <w:spacing w:after="80" w:line="360" w:lineRule="auto"/>
        <w:jc w:val="both"/>
      </w:pPr>
      <w:r>
        <w:t xml:space="preserve">Primary soil storage is the sum of the four GLDAS Noah soil-moisture layers. </w:t>
      </w:r>
      <w:r>
        <w:t xml:space="preserve">Canopy interception and snow-water-equivalent storage are retained as separate terms, and their sum with soil storage is checked against the supplied Noah land-storage total. The source units are interpreted as equivalent water depth. This component check </w:t>
      </w:r>
      <w:r>
        <w:t>guards against a scale or band-selection error in the regional conversion.</w:t>
      </w:r>
    </w:p>
    <w:p w14:paraId="576C03BE" w14:textId="77777777" w:rsidR="00355E5A" w:rsidRDefault="003C4050">
      <w:pPr>
        <w:spacing w:after="80" w:line="360" w:lineRule="auto"/>
        <w:jc w:val="both"/>
      </w:pPr>
      <w:r>
        <w:t xml:space="preserve">Surface-water anomalies are obtained from the documented G3P surface-water chain, which represents rivers, lakes and reservoirs through its underlying modeled fields. This is not a </w:t>
      </w:r>
      <w:r>
        <w:t>replacement for independently observed Thai reservoir histories. The distinction matters in attribution, because the surface-water model may not reproduce actual operations or the full volume change associated with specific infrastructure.</w:t>
      </w:r>
    </w:p>
    <w:p w14:paraId="65D86571" w14:textId="77777777" w:rsidR="00355E5A" w:rsidRDefault="003C4050">
      <w:pPr>
        <w:spacing w:after="80" w:line="360" w:lineRule="auto"/>
        <w:jc w:val="both"/>
      </w:pPr>
      <w:r>
        <w:t>The filtered roo</w:t>
      </w:r>
      <w:r>
        <w:t>t-zone moisture alternative changes the soil contribution to the groundwater subtraction while retaining the CSR gravity baseline and the remaining compartments. It tests sensitivity to soil representation and filtering. It should not be interpreted as a c</w:t>
      </w:r>
      <w:r>
        <w:t>orrection that proves either soil product is right. The products represent different depths and spatial characteristics, so their differences are a structural uncertainty.</w:t>
      </w:r>
    </w:p>
    <w:p w14:paraId="39B87C97" w14:textId="77777777" w:rsidR="00355E5A" w:rsidRDefault="003C4050">
      <w:pPr>
        <w:keepNext/>
        <w:pageBreakBefore/>
        <w:spacing w:after="160"/>
      </w:pPr>
      <w:r>
        <w:rPr>
          <w:b/>
        </w:rPr>
        <w:lastRenderedPageBreak/>
        <w:t>Hydroclimatic context and seasonal structure</w:t>
      </w:r>
    </w:p>
    <w:p w14:paraId="75906CD7" w14:textId="77777777" w:rsidR="00355E5A" w:rsidRDefault="003C4050">
      <w:pPr>
        <w:keepNext/>
        <w:spacing w:after="60"/>
        <w:jc w:val="center"/>
      </w:pPr>
      <w:r>
        <w:rPr>
          <w:noProof/>
        </w:rPr>
        <w:drawing>
          <wp:inline distT="0" distB="0" distL="0" distR="0" wp14:anchorId="5BDB5469" wp14:editId="08422A8C">
            <wp:extent cx="5394437"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hydroclimate_seasonality.png"/>
                    <pic:cNvPicPr/>
                  </pic:nvPicPr>
                  <pic:blipFill>
                    <a:blip r:embed="rId15"/>
                    <a:stretch>
                      <a:fillRect/>
                    </a:stretch>
                  </pic:blipFill>
                  <pic:spPr>
                    <a:xfrm>
                      <a:off x="0" y="0"/>
                      <a:ext cx="5394437" cy="4389120"/>
                    </a:xfrm>
                    <a:prstGeom prst="rect">
                      <a:avLst/>
                    </a:prstGeom>
                  </pic:spPr>
                </pic:pic>
              </a:graphicData>
            </a:graphic>
          </wp:inline>
        </w:drawing>
      </w:r>
    </w:p>
    <w:p w14:paraId="40AC78F4" w14:textId="77777777" w:rsidR="00355E5A" w:rsidRDefault="003C4050">
      <w:pPr>
        <w:pStyle w:val="Caption"/>
        <w:spacing w:after="140" w:line="276" w:lineRule="auto"/>
        <w:jc w:val="center"/>
      </w:pPr>
      <w:bookmarkStart w:id="16" w:name="Figure3_2"/>
      <w:r>
        <w:rPr>
          <w:rFonts w:ascii="Times New Roman" w:hAnsi="Times New Roman"/>
          <w:b/>
          <w:sz w:val="22"/>
        </w:rPr>
        <w:t xml:space="preserve">Figure 3.2 National </w:t>
      </w:r>
      <w:r>
        <w:rPr>
          <w:rFonts w:ascii="Times New Roman" w:hAnsi="Times New Roman"/>
          <w:b/>
          <w:sz w:val="22"/>
        </w:rPr>
        <w:t>calendar-month climatologies from the retained multisource cube; the products have different physical meanings.</w:t>
      </w:r>
      <w:bookmarkEnd w:id="16"/>
    </w:p>
    <w:p w14:paraId="33A9046E" w14:textId="77777777" w:rsidR="00355E5A" w:rsidRDefault="003C4050">
      <w:pPr>
        <w:spacing w:after="80" w:line="360" w:lineRule="auto"/>
        <w:jc w:val="both"/>
      </w:pPr>
      <w:r>
        <w:t>Rainfall, actual evapotranspiration, soil moisture and land-surface temperature describe complementary parts of the regional seasonal cycle. The</w:t>
      </w:r>
      <w:r>
        <w:t xml:space="preserve"> plotted climatologies summarize available 2003–2024 observations in the harmonized cube; they are not used to fill missing gravity or groundwater measurements.</w:t>
      </w:r>
    </w:p>
    <w:p w14:paraId="761BB6FD" w14:textId="77777777" w:rsidR="00355E5A" w:rsidRDefault="003C4050">
      <w:pPr>
        <w:spacing w:after="80" w:line="360" w:lineRule="auto"/>
        <w:jc w:val="both"/>
      </w:pPr>
      <w:r>
        <w:t>The two ET records and the soil products are retained as context rather than assumed to be exte</w:t>
      </w:r>
      <w:r>
        <w:t>rnal climatic causes. Their response can include management effects, and their structural definitions differ. CHIRPS supplies the independent precipitation forcing and the observed rainfall–storage test. The main naturalized-model emulators use meteorologi</w:t>
      </w:r>
      <w:r>
        <w:t>cal P and potential ET, with training-derived seasonal references.</w:t>
      </w:r>
    </w:p>
    <w:p w14:paraId="20480F9C" w14:textId="77777777" w:rsidR="00355E5A" w:rsidRDefault="003C4050">
      <w:pPr>
        <w:pStyle w:val="Heading2"/>
        <w:pageBreakBefore/>
        <w:numPr>
          <w:ilvl w:val="1"/>
          <w:numId w:val="0"/>
        </w:numPr>
        <w:spacing w:after="160" w:line="240" w:lineRule="auto"/>
      </w:pPr>
      <w:bookmarkStart w:id="17" w:name="_Toc243829216"/>
      <w:r>
        <w:lastRenderedPageBreak/>
        <w:t>Groundwater records and representativeness</w:t>
      </w:r>
      <w:bookmarkEnd w:id="17"/>
    </w:p>
    <w:p w14:paraId="078B855A" w14:textId="77777777" w:rsidR="00355E5A" w:rsidRDefault="003C4050">
      <w:pPr>
        <w:spacing w:after="80" w:line="360" w:lineRule="auto"/>
        <w:jc w:val="both"/>
      </w:pPr>
      <w:r>
        <w:t>The retained groundwater tables contain actual observed aggregates from the GROW dataset, attributed to the Thai source through the package metada</w:t>
      </w:r>
      <w:r>
        <w:t xml:space="preserve">ta. Six Thai source rows without observed depth were removed during normalization. Filled groundwater columns are not used. The extraction preserves identifiers, coordinates, aggregation interval and provider quality flags, allowing the well population to </w:t>
      </w:r>
      <w:r>
        <w:t>be audited independently of the storage analysis.</w:t>
      </w:r>
    </w:p>
    <w:p w14:paraId="0E879195" w14:textId="77777777" w:rsidR="00355E5A" w:rsidRDefault="003C4050">
      <w:pPr>
        <w:spacing w:after="80" w:line="360" w:lineRule="auto"/>
        <w:jc w:val="both"/>
      </w:pPr>
      <w:r>
        <w:t>Depth below ground is positive downward. The analysis therefore defines signed head as negative depth: rising signed head indicates a shallower water table or higher hydraulic head under the supplied conven</w:t>
      </w:r>
      <w:r>
        <w:t>tion. Unitless per-well indices are constructed from the observed head series for descriptive regional comparison. This normalization is not used as a climate-model predictor or as a basis for converting head to groundwater mass.</w:t>
      </w:r>
    </w:p>
    <w:p w14:paraId="01E8CA57" w14:textId="77777777" w:rsidR="00355E5A" w:rsidRDefault="003C4050">
      <w:pPr>
        <w:spacing w:after="80" w:line="360" w:lineRule="auto"/>
        <w:jc w:val="both"/>
      </w:pPr>
      <w:r>
        <w:t>Co-located wells are combi</w:t>
      </w:r>
      <w:r>
        <w:t>ned into coordinate station groups before regional averaging. This avoids allowing several wells at one location to dominate a basin index. Annual availability is still uneven, and network density changes materially through the record. The coverage table r</w:t>
      </w:r>
      <w:r>
        <w:t>eports observed station counts by basin, year and panel, so a smooth regional line cannot hide a change in the population it represents.</w:t>
      </w:r>
    </w:p>
    <w:p w14:paraId="5AA70A7A" w14:textId="77777777" w:rsidR="00355E5A" w:rsidRDefault="003C4050">
      <w:pPr>
        <w:spacing w:after="80" w:line="360" w:lineRule="auto"/>
        <w:jc w:val="both"/>
      </w:pPr>
      <w:r>
        <w:t>Aquifer names, screened intervals and storage coefficients are not sufficiently documented for aquifer-specific volumet</w:t>
      </w:r>
      <w:r>
        <w:t>ric validation. Some package attributes describe mapped environmental conditions; these are not a substitute for verified well construction and hydrostratigraphic information. The analysis consequently reports pattern consistency, well-head trend direction</w:t>
      </w:r>
      <w:r>
        <w:t xml:space="preserve"> and observation support rather than a calibrated groundwater storage volume.</w:t>
      </w:r>
    </w:p>
    <w:p w14:paraId="5549BDDE" w14:textId="77777777" w:rsidR="00355E5A" w:rsidRDefault="003C4050">
      <w:pPr>
        <w:spacing w:after="80" w:line="360" w:lineRule="auto"/>
        <w:jc w:val="both"/>
      </w:pPr>
      <w:r>
        <w:t>The strict-panel experiment requires ten of ten annual observations during 2013–2022 and compares it with the all-well index over the same calendar window. Only years with adequa</w:t>
      </w:r>
      <w:r>
        <w:t>te observed storage contribute to the correlation. Mission-gap years remain unavailable even where wells were observed. This deliberately reduces sample size in exchange for a more interpretable comparison of station composition.</w:t>
      </w:r>
    </w:p>
    <w:p w14:paraId="0905CC70" w14:textId="77777777" w:rsidR="00355E5A" w:rsidRDefault="003C4050">
      <w:pPr>
        <w:pStyle w:val="Heading1"/>
        <w:pageBreakBefore/>
        <w:numPr>
          <w:ilvl w:val="0"/>
          <w:numId w:val="0"/>
        </w:numPr>
        <w:spacing w:after="480" w:line="240" w:lineRule="auto"/>
      </w:pPr>
      <w:bookmarkStart w:id="18" w:name="_Toc243829217"/>
      <w:r>
        <w:lastRenderedPageBreak/>
        <w:t>CHAPTER 4</w:t>
      </w:r>
      <w:r>
        <w:br/>
        <w:t>METHODOLOGY</w:t>
      </w:r>
      <w:bookmarkEnd w:id="18"/>
    </w:p>
    <w:p w14:paraId="3E808F8C" w14:textId="77777777" w:rsidR="00355E5A" w:rsidRDefault="003C4050">
      <w:pPr>
        <w:keepNext/>
        <w:spacing w:after="160"/>
      </w:pPr>
      <w:r>
        <w:rPr>
          <w:b/>
        </w:rPr>
        <w:t>Spat</w:t>
      </w:r>
      <w:r>
        <w:rPr>
          <w:b/>
        </w:rPr>
        <w:t>ial aggregation and the groundwater balance</w:t>
      </w:r>
    </w:p>
    <w:p w14:paraId="650FC3CD" w14:textId="77777777" w:rsidR="00355E5A" w:rsidRDefault="003C4050">
      <w:pPr>
        <w:spacing w:after="160" w:line="288" w:lineRule="auto"/>
        <w:jc w:val="center"/>
      </w:pPr>
      <m:oMathPara>
        <m:oMath>
          <m:r>
            <w:rPr>
              <w:rFonts w:ascii="Cambria Math" w:hAnsi="Cambria Math"/>
            </w:rPr>
            <m:t>GWSA</m:t>
          </m:r>
          <m:r>
            <w:rPr>
              <w:rFonts w:ascii="Cambria Math" w:hAnsi="Cambria Math"/>
            </w:rPr>
            <m:t xml:space="preserve"> = </m:t>
          </m:r>
          <m:r>
            <w:rPr>
              <w:rFonts w:ascii="Cambria Math" w:hAnsi="Cambria Math"/>
            </w:rPr>
            <m:t>TWSA</m:t>
          </m:r>
          <m:r>
            <w:rPr>
              <w:rFonts w:ascii="Cambria Math" w:hAnsi="Cambria Math"/>
            </w:rPr>
            <m:t xml:space="preserve"> - </m:t>
          </m:r>
          <m:r>
            <w:rPr>
              <w:rFonts w:ascii="Cambria Math" w:hAnsi="Cambria Math"/>
            </w:rPr>
            <m:t>SMSA</m:t>
          </m:r>
          <m:r>
            <w:rPr>
              <w:rFonts w:ascii="Cambria Math" w:hAnsi="Cambria Math"/>
            </w:rPr>
            <m:t xml:space="preserve"> - </m:t>
          </m:r>
          <m:r>
            <w:rPr>
              <w:rFonts w:ascii="Cambria Math" w:hAnsi="Cambria Math"/>
            </w:rPr>
            <m:t>SWSA</m:t>
          </m:r>
          <m:r>
            <w:rPr>
              <w:rFonts w:ascii="Cambria Math" w:hAnsi="Cambria Math"/>
            </w:rPr>
            <m:t xml:space="preserve"> - </m:t>
          </m:r>
          <m:r>
            <w:rPr>
              <w:rFonts w:ascii="Cambria Math" w:hAnsi="Cambria Math"/>
            </w:rPr>
            <m:t>CWSA</m:t>
          </m:r>
          <m:r>
            <w:rPr>
              <w:rFonts w:ascii="Cambria Math" w:hAnsi="Cambria Math"/>
            </w:rPr>
            <m:t xml:space="preserve"> - </m:t>
          </m:r>
          <m:r>
            <w:rPr>
              <w:rFonts w:ascii="Cambria Math" w:hAnsi="Cambria Math"/>
            </w:rPr>
            <m:t>SWEA</m:t>
          </m:r>
        </m:oMath>
      </m:oMathPara>
    </w:p>
    <w:p w14:paraId="28D7766D" w14:textId="77777777" w:rsidR="00355E5A" w:rsidRDefault="003C4050">
      <w:pPr>
        <w:spacing w:after="80" w:line="360" w:lineRule="auto"/>
        <w:jc w:val="both"/>
      </w:pPr>
      <w:r>
        <w:t>Basin aggregation uses the supplied polygon–grid intersection areas rather than a simple selection of grid-cell centres. For each month, the weighte</w:t>
      </w:r>
      <w:r>
        <w:t>d mean is the sum of valid storage values multiplied by their intersection areas, divided by the sum of valid intersection areas. A coverage fraction records the valid area relative to the complete basin weight. Months below the prespecified 50 percent thr</w:t>
      </w:r>
      <w:r>
        <w:t>eshold are left missing.</w:t>
      </w:r>
    </w:p>
    <w:p w14:paraId="6CE6FD1A" w14:textId="77777777" w:rsidR="00355E5A" w:rsidRDefault="003C4050">
      <w:pPr>
        <w:spacing w:after="80" w:line="360" w:lineRule="auto"/>
        <w:jc w:val="both"/>
      </w:pPr>
      <w:r>
        <w:t>This procedure retains coastal and boundary intersections and makes the role of missing cells explicit. It does not make the underlying gravity information spatially finer. The same intersection grid is used for CSR, the compartmen</w:t>
      </w:r>
      <w:r>
        <w:t>t fields and the paired model comparison. Coarse model cells are replicated to aligned convenience-grid locations using nearest-parent assignment, which adds no independent spatial information.</w:t>
      </w:r>
    </w:p>
    <w:p w14:paraId="7488AF8D" w14:textId="77777777" w:rsidR="00355E5A" w:rsidRDefault="003C4050">
      <w:pPr>
        <w:spacing w:after="80" w:line="360" w:lineRule="auto"/>
        <w:jc w:val="both"/>
      </w:pPr>
      <w:r>
        <w:t>The groundwater balance is calculated at the common grid and r</w:t>
      </w:r>
      <w:r>
        <w:t>eference support before its basin series is exported. All terms are in millimetres of equivalent water height. A common 2004–2009 valid-month reference is used for the component means. This gives an exact accounting relationship for the retained data and s</w:t>
      </w:r>
      <w:r>
        <w:t>eparates reference effects from physical storage differences.</w:t>
      </w:r>
    </w:p>
    <w:p w14:paraId="3AC39DA6" w14:textId="77777777" w:rsidR="00355E5A" w:rsidRDefault="003C4050">
      <w:pPr>
        <w:spacing w:after="80" w:line="360" w:lineRule="auto"/>
        <w:jc w:val="both"/>
      </w:pPr>
      <w:r>
        <w:t>The analysis checks the grid-level groundwater identity and the basin-level identity after weighting. Shared support is essential for both. A sum of independently calculated basin averages can f</w:t>
      </w:r>
      <w:r>
        <w:t>ail to equal the total when one compartment has a different coastal mask or temporal coverage. The exported TWSA_GWS_reference field is therefore the appropriate total to use when reproducing the groundwater equation.</w:t>
      </w:r>
    </w:p>
    <w:p w14:paraId="7D83B2A8" w14:textId="77777777" w:rsidR="00355E5A" w:rsidRDefault="003C4050">
      <w:pPr>
        <w:spacing w:after="80" w:line="360" w:lineRule="auto"/>
        <w:jc w:val="both"/>
      </w:pPr>
      <w:r>
        <w:t>Coverage is a screening condition, not</w:t>
      </w:r>
      <w:r>
        <w:t xml:space="preserve"> an uncertainty estimate. A month can exceed the threshold while remaining affected by leakage, model error or incomplete basin resolution. Those limitations are examined through the product audit and native-support diagnostics. The analysis does not repla</w:t>
      </w:r>
      <w:r>
        <w:t>ce them with an arbitrary confidence weight or infer a gain factor from the desired magnitude of groundwater agreement.</w:t>
      </w:r>
    </w:p>
    <w:p w14:paraId="4069D091" w14:textId="77777777" w:rsidR="00355E5A" w:rsidRDefault="003C4050">
      <w:pPr>
        <w:pStyle w:val="Heading2"/>
        <w:pageBreakBefore/>
        <w:numPr>
          <w:ilvl w:val="1"/>
          <w:numId w:val="0"/>
        </w:numPr>
        <w:spacing w:after="160" w:line="240" w:lineRule="auto"/>
      </w:pPr>
      <w:bookmarkStart w:id="19" w:name="_Toc243829218"/>
      <w:r>
        <w:lastRenderedPageBreak/>
        <w:t>Trend estimation and statistical qualification</w:t>
      </w:r>
      <w:bookmarkEnd w:id="19"/>
    </w:p>
    <w:p w14:paraId="36731621" w14:textId="77777777" w:rsidR="00355E5A" w:rsidRDefault="003C4050">
      <w:pPr>
        <w:spacing w:after="80" w:line="360" w:lineRule="auto"/>
        <w:jc w:val="both"/>
      </w:pPr>
      <w:r>
        <w:t xml:space="preserve">Seasonal Sen slopes are calculated from pairs of observations in the same calendar month </w:t>
      </w:r>
      <w:r>
        <w:t>and divided by their actual separation in years. The median of those pairwise slopes provides a robust summary that is less sensitive to individual extremes than ordinary least squares. Missing calendar months remain missing, and the calculation does not c</w:t>
      </w:r>
      <w:r>
        <w:t>ompress a mission gap into a shorter elapsed interval (Sen, 1968).</w:t>
      </w:r>
    </w:p>
    <w:p w14:paraId="7824C674" w14:textId="77777777" w:rsidR="00355E5A" w:rsidRDefault="003C4050">
      <w:pPr>
        <w:spacing w:after="80" w:line="360" w:lineRule="auto"/>
        <w:jc w:val="both"/>
      </w:pPr>
      <w:r>
        <w:t xml:space="preserve">Original and seasonal Mann–Kendall tests are retained because they answer related but different questions. The seasonal test accommodates the recurring annual cycle through </w:t>
      </w:r>
      <w:r>
        <w:t>within-season comparisons, while the original test provides a familiar sensitivity. The study also reports annual comparisons where adequate observed months exist. The tests are interpreted with the serial-dependence limitations identified by Hirsch et al.</w:t>
      </w:r>
      <w:r>
        <w:t xml:space="preserve"> (1982) and Hirsch and Slack (1984).</w:t>
      </w:r>
    </w:p>
    <w:p w14:paraId="35DE4182" w14:textId="77777777" w:rsidR="00355E5A" w:rsidRDefault="003C4050">
      <w:pPr>
        <w:spacing w:after="80" w:line="360" w:lineRule="auto"/>
        <w:jc w:val="both"/>
      </w:pPr>
      <w:r>
        <w:t>False-discovery-rate adjustment is applied within each storage variable across the 22 basin tests. It reduces the risk of treating a large set of unadjusted p-values as independent discoveries, but it does not repair we</w:t>
      </w:r>
      <w:r>
        <w:t>ak spatial resolution or prove independence among neighbouring basins. Very small numerical p-values are reported as thresholds rather than as a literal probability of zero (Benjamini and Hochberg, 1995).</w:t>
      </w:r>
    </w:p>
    <w:p w14:paraId="2A83EB53" w14:textId="77777777" w:rsidR="00355E5A" w:rsidRDefault="003C4050">
      <w:pPr>
        <w:spacing w:after="80" w:line="360" w:lineRule="auto"/>
        <w:jc w:val="both"/>
      </w:pPr>
      <w:r>
        <w:t>Primary Sen-slope intervals use 300 calendar-year r</w:t>
      </w:r>
      <w:r>
        <w:t>esidual-block resamples. These quantify sensitivity within the processed record. They do not propagate the full gravity inversion covariance, errors in every compartment or alternative hydrological-model structures. The separate source and soil comparisons</w:t>
      </w:r>
      <w:r>
        <w:t xml:space="preserve"> therefore remain necessary even when a conditional interval excludes zero.</w:t>
      </w:r>
    </w:p>
    <w:p w14:paraId="21E7937D" w14:textId="77777777" w:rsidR="00355E5A" w:rsidRDefault="003C4050">
      <w:pPr>
        <w:spacing w:after="80" w:line="360" w:lineRule="auto"/>
        <w:jc w:val="both"/>
      </w:pPr>
      <w:r>
        <w:t xml:space="preserve">Trend-window sensitivity uses fixed windows chosen to distinguish the full common record, early and later periods, and the intervals before and after the mission gap. </w:t>
      </w:r>
      <w:r>
        <w:t>Short-window slopes are descriptive and are not interpreted as acceleration estimates. A few wet or dry years can change a five-year slope substantially. The study reports that variability so that a long-record decline is not mistaken for a monotonic year-</w:t>
      </w:r>
      <w:r>
        <w:t>by-year trajectory.</w:t>
      </w:r>
    </w:p>
    <w:p w14:paraId="4C11EF10" w14:textId="77777777" w:rsidR="00355E5A" w:rsidRDefault="003C4050">
      <w:pPr>
        <w:pStyle w:val="Heading2"/>
        <w:pageBreakBefore/>
        <w:numPr>
          <w:ilvl w:val="1"/>
          <w:numId w:val="0"/>
        </w:numPr>
        <w:spacing w:after="160" w:line="240" w:lineRule="auto"/>
      </w:pPr>
      <w:bookmarkStart w:id="20" w:name="_Toc243829219"/>
      <w:r>
        <w:lastRenderedPageBreak/>
        <w:t>Paired climate and human decomposition</w:t>
      </w:r>
      <w:bookmarkEnd w:id="20"/>
    </w:p>
    <w:p w14:paraId="670D0BAE" w14:textId="77777777" w:rsidR="00355E5A" w:rsidRDefault="003C4050">
      <w:pPr>
        <w:spacing w:after="160" w:line="288" w:lineRule="auto"/>
        <w:jc w:val="center"/>
      </w:pPr>
      <m:oMathPara>
        <m:oMath>
          <m:r>
            <w:rPr>
              <w:rFonts w:ascii="Cambria Math" w:hAnsi="Cambria Math"/>
            </w:rPr>
            <m:t>R</m:t>
          </m:r>
          <m:r>
            <w:rPr>
              <w:rFonts w:ascii="Cambria Math" w:hAnsi="Cambria Math"/>
            </w:rPr>
            <m:t xml:space="preserve"> = </m:t>
          </m:r>
          <m:r>
            <w:rPr>
              <w:rFonts w:ascii="Cambria Math" w:hAnsi="Cambria Math"/>
            </w:rPr>
            <m:t>O</m:t>
          </m:r>
          <m:r>
            <w:rPr>
              <w:rFonts w:ascii="Cambria Math" w:hAnsi="Cambria Math"/>
            </w:rPr>
            <m:t xml:space="preserve"> - </m:t>
          </m:r>
          <m:r>
            <w:rPr>
              <w:rFonts w:ascii="Cambria Math" w:hAnsi="Cambria Math"/>
            </w:rPr>
            <m:t>C</m:t>
          </m:r>
          <m:r>
            <w:rPr>
              <w:rFonts w:ascii="Cambria Math" w:hAnsi="Cambria Math"/>
            </w:rPr>
            <m:t xml:space="preserve"> = (</m:t>
          </m:r>
          <m:r>
            <w:rPr>
              <w:rFonts w:ascii="Cambria Math" w:hAnsi="Cambria Math"/>
            </w:rPr>
            <m:t>A</m:t>
          </m:r>
          <m:r>
            <w:rPr>
              <w:rFonts w:ascii="Cambria Math" w:hAnsi="Cambria Math"/>
            </w:rPr>
            <m:t xml:space="preserve"> - </m:t>
          </m:r>
          <m:r>
            <w:rPr>
              <w:rFonts w:ascii="Cambria Math" w:hAnsi="Cambria Math"/>
            </w:rPr>
            <m:t>C</m:t>
          </m:r>
          <m:r>
            <w:rPr>
              <w:rFonts w:ascii="Cambria Math" w:hAnsi="Cambria Math"/>
            </w:rPr>
            <m:t>) + (</m:t>
          </m:r>
          <m:r>
            <w:rPr>
              <w:rFonts w:ascii="Cambria Math" w:hAnsi="Cambria Math"/>
            </w:rPr>
            <m:t>O</m:t>
          </m:r>
          <m:r>
            <w:rPr>
              <w:rFonts w:ascii="Cambria Math" w:hAnsi="Cambria Math"/>
            </w:rPr>
            <m:t xml:space="preserve"> - </m:t>
          </m:r>
          <m:r>
            <w:rPr>
              <w:rFonts w:ascii="Cambria Math" w:hAnsi="Cambria Math"/>
            </w:rPr>
            <m:t>A</m:t>
          </m:r>
          <m:r>
            <w:rPr>
              <w:rFonts w:ascii="Cambria Math" w:hAnsi="Cambria Math"/>
            </w:rPr>
            <m:t xml:space="preserve">) = </m:t>
          </m:r>
          <m:r>
            <w:rPr>
              <w:rFonts w:ascii="Cambria Math" w:hAnsi="Cambria Math"/>
            </w:rPr>
            <m:t>H</m:t>
          </m:r>
          <m:r>
            <w:rPr>
              <w:rFonts w:ascii="Cambria Math" w:hAnsi="Cambria Math"/>
            </w:rPr>
            <m:t xml:space="preserve"> + </m:t>
          </m:r>
          <m:r>
            <w:rPr>
              <w:rFonts w:ascii="Cambria Math" w:hAnsi="Cambria Math"/>
            </w:rPr>
            <m:t>E</m:t>
          </m:r>
        </m:oMath>
      </m:oMathPara>
    </w:p>
    <w:p w14:paraId="7A860E5D" w14:textId="77777777" w:rsidR="00355E5A" w:rsidRDefault="003C4050">
      <w:pPr>
        <w:spacing w:after="80" w:line="360" w:lineRule="auto"/>
        <w:jc w:val="both"/>
      </w:pPr>
      <w:r>
        <w:t>The attribution baseline is the published naturalized WaterGAP simulation rather than a prediction trained directly on GRACE. Naturalized and historic</w:t>
      </w:r>
      <w:r>
        <w:t>al-human storage are placed on the analysis grid and rebaselined over the same observed 2004–2009 reference cells and months. Attribution is calculated only where the observed and both modeled fields are available, and every component uses that same footpr</w:t>
      </w:r>
      <w:r>
        <w:t>int.</w:t>
      </w:r>
    </w:p>
    <w:p w14:paraId="03E2052B" w14:textId="77777777" w:rsidR="00355E5A" w:rsidRDefault="003C4050">
      <w:pPr>
        <w:spacing w:after="80" w:line="360" w:lineRule="auto"/>
        <w:jc w:val="both"/>
      </w:pPr>
      <w:r>
        <w:t>The paired modeled human perturbation is H equals A minus C, where A is historical-human storage and C is naturalized storage. The observation-based residual is R equals O minus C. Their difference E equals O minus A is retained as discrepancy. The id</w:t>
      </w:r>
      <w:r>
        <w:t>entity R equals H plus E is checked both in the monthly tables and in the additive trend calculation. Neither term is silently reallocated to another category.</w:t>
      </w:r>
    </w:p>
    <w:p w14:paraId="10ECEE02" w14:textId="77777777" w:rsidR="00355E5A" w:rsidRDefault="003C4050">
      <w:pPr>
        <w:spacing w:after="80" w:line="360" w:lineRule="auto"/>
        <w:jc w:val="both"/>
      </w:pPr>
      <w:r>
        <w:t>This design has a clear advantage over naming a fitted empirical relationship natural. The inter</w:t>
      </w:r>
      <w:r>
        <w:t>ventions removed from the naturalized model are documented, and the model pairing controls the forcing and much of the numerical structure. It also has a clear limit: agreement between the two simulations is not independent evidence that the actual climate</w:t>
      </w:r>
      <w:r>
        <w:t>-only trajectory is known. Groundwater processes and management can still be imperfectly represented.</w:t>
      </w:r>
    </w:p>
    <w:p w14:paraId="6C737CB8" w14:textId="77777777" w:rsidR="00355E5A" w:rsidRDefault="003C4050">
      <w:pPr>
        <w:spacing w:after="80" w:line="360" w:lineRule="auto"/>
        <w:jc w:val="both"/>
      </w:pPr>
      <w:r>
        <w:t xml:space="preserve">The model-only record is retained for climate emulation, including the long warm-up and training periods before GRACE. The observed attribution record is </w:t>
      </w:r>
      <w:r>
        <w:t>shorter and contains real observational gaps. These records are not interchangeable. A test score for reconstructing continuous naturalized storage is not calculated on the same target as a comparison between modeled groundwater and the derived GRACE groun</w:t>
      </w:r>
      <w:r>
        <w:t>dwater balance.</w:t>
      </w:r>
    </w:p>
    <w:p w14:paraId="25848F50" w14:textId="77777777" w:rsidR="00355E5A" w:rsidRDefault="003C4050">
      <w:pPr>
        <w:spacing w:after="80" w:line="360" w:lineRule="auto"/>
        <w:jc w:val="both"/>
      </w:pPr>
      <w:r>
        <w:t>All quantities are anomalies relative to the reference. The paired difference therefore describes changes in modeled human influence relative to that period. The study does not infer cumulative depletion since the onset of development. It a</w:t>
      </w:r>
      <w:r>
        <w:t>lso does not extrapolate the naturalized model into 2024 merely because observed TWSA continues into that year. These choices keep both the physical meaning and the temporal support of the decomposition explicit.</w:t>
      </w:r>
    </w:p>
    <w:p w14:paraId="697ABC43" w14:textId="77777777" w:rsidR="00355E5A" w:rsidRDefault="003C4050">
      <w:pPr>
        <w:keepNext/>
        <w:pageBreakBefore/>
        <w:spacing w:after="160"/>
      </w:pPr>
      <w:r>
        <w:rPr>
          <w:b/>
        </w:rPr>
        <w:lastRenderedPageBreak/>
        <w:t>Additive trends and conditional uncertainty</w:t>
      </w:r>
    </w:p>
    <w:p w14:paraId="24954C21" w14:textId="77777777" w:rsidR="00355E5A" w:rsidRDefault="003C4050">
      <w:pPr>
        <w:spacing w:after="160" w:line="288" w:lineRule="auto"/>
        <w:jc w:val="center"/>
      </w:pPr>
      <m:oMathPara>
        <m:oMath>
          <m:r>
            <w:rPr>
              <w:rFonts w:ascii="Cambria Math" w:hAnsi="Cambria Math"/>
            </w:rPr>
            <m:t>D</m:t>
          </m:r>
          <m:r>
            <w:rPr>
              <w:rFonts w:ascii="Cambria Math" w:hAnsi="Cambria Math"/>
            </w:rPr>
            <m:t xml:space="preserve"> = |</m:t>
          </m:r>
          <m:r>
            <w:rPr>
              <w:rFonts w:ascii="Cambria Math" w:hAnsi="Cambria Math"/>
            </w:rPr>
            <m:t>β</m:t>
          </m:r>
          <m:r>
            <w:rPr>
              <w:rFonts w:ascii="Cambria Math" w:hAnsi="Cambria Math"/>
            </w:rPr>
            <m:t>_</m:t>
          </m:r>
          <m:r>
            <w:rPr>
              <w:rFonts w:ascii="Cambria Math" w:hAnsi="Cambria Math"/>
            </w:rPr>
            <m:t>E</m:t>
          </m:r>
          <m:r>
            <w:rPr>
              <w:rFonts w:ascii="Cambria Math" w:hAnsi="Cambria Math"/>
            </w:rPr>
            <m:t>| / (|</m:t>
          </m:r>
          <m:r>
            <w:rPr>
              <w:rFonts w:ascii="Cambria Math" w:hAnsi="Cambria Math"/>
            </w:rPr>
            <m:t>β</m:t>
          </m:r>
          <m:r>
            <w:rPr>
              <w:rFonts w:ascii="Cambria Math" w:hAnsi="Cambria Math"/>
            </w:rPr>
            <m:t>_</m:t>
          </m:r>
          <m:r>
            <w:rPr>
              <w:rFonts w:ascii="Cambria Math" w:hAnsi="Cambria Math"/>
            </w:rPr>
            <m:t>H</m:t>
          </m:r>
          <m:r>
            <w:rPr>
              <w:rFonts w:ascii="Cambria Math" w:hAnsi="Cambria Math"/>
            </w:rPr>
            <m:t>| + |</m:t>
          </m:r>
          <m:r>
            <w:rPr>
              <w:rFonts w:ascii="Cambria Math" w:hAnsi="Cambria Math"/>
            </w:rPr>
            <m:t>β</m:t>
          </m:r>
          <m:r>
            <w:rPr>
              <w:rFonts w:ascii="Cambria Math" w:hAnsi="Cambria Math"/>
            </w:rPr>
            <m:t>_</m:t>
          </m:r>
          <m:r>
            <w:rPr>
              <w:rFonts w:ascii="Cambria Math" w:hAnsi="Cambria Math"/>
            </w:rPr>
            <m:t>E</m:t>
          </m:r>
          <m:r>
            <w:rPr>
              <w:rFonts w:ascii="Cambria Math" w:hAnsi="Cambria Math"/>
            </w:rPr>
            <m:t>|)</m:t>
          </m:r>
        </m:oMath>
      </m:oMathPara>
    </w:p>
    <w:p w14:paraId="0E965626" w14:textId="77777777" w:rsidR="00355E5A" w:rsidRDefault="003C4050">
      <w:pPr>
        <w:spacing w:after="80" w:line="360" w:lineRule="auto"/>
        <w:jc w:val="both"/>
      </w:pPr>
      <w:r>
        <w:t>A robust Sen slope is a median operator. The Sen slope of a sum therefore need not equal the sum of the component Sen slopes. Dividing a residual Sen slope by an observed Sen slope would not provide a mathematically exac</w:t>
      </w:r>
      <w:r>
        <w:t>t trend partition, even before causal assumptions are considered. The study keeps robust component summaries separate from an explicitly additive linear calculation.</w:t>
      </w:r>
    </w:p>
    <w:p w14:paraId="3873A036" w14:textId="77777777" w:rsidR="00355E5A" w:rsidRDefault="003C4050">
      <w:pPr>
        <w:spacing w:after="80" w:line="360" w:lineRule="auto"/>
        <w:jc w:val="both"/>
      </w:pPr>
      <w:r>
        <w:t xml:space="preserve">The additive calculation fits ordinary least squares with a time trend and calendar-month </w:t>
      </w:r>
      <w:r>
        <w:t>fixed effects. All six component series use exactly the same observed dates and the same design matrix. Linearity then preserves the identities between the fitted point slopes. The output includes observed, naturalized, historical-human, paired human, resi</w:t>
      </w:r>
      <w:r>
        <w:t>dual and discrepancy coefficients in millimetres per year.</w:t>
      </w:r>
    </w:p>
    <w:p w14:paraId="46D5F821" w14:textId="77777777" w:rsidR="00355E5A" w:rsidRDefault="003C4050">
      <w:pPr>
        <w:spacing w:after="80" w:line="360" w:lineRule="auto"/>
        <w:jc w:val="both"/>
      </w:pPr>
      <w:r>
        <w:t>Conditional intervals use a calendar-block wild regression bootstrap. The fitted residuals are multiplied by shared random signs for all components within a calendar block. Using the same multiplie</w:t>
      </w:r>
      <w:r>
        <w:t>r across the component vector preserves the accounting relationships in every replicate. Original observation dates and missingness are retained. The analysis uses 999 replicates and repeats the calculation with one-, two- and three-year blocks.</w:t>
      </w:r>
    </w:p>
    <w:p w14:paraId="199CF2E4" w14:textId="77777777" w:rsidR="00355E5A" w:rsidRDefault="003C4050">
      <w:pPr>
        <w:spacing w:after="80" w:line="360" w:lineRule="auto"/>
        <w:jc w:val="both"/>
      </w:pPr>
      <w:r>
        <w:t>This is an</w:t>
      </w:r>
      <w:r>
        <w:t xml:space="preserve"> unstudentized, percentile multiplier assessment conditional on the observed record and chosen regression. It is motivated by clustered-error inference but is not presented as a complete inversion-error model or a universal small-sample confidence procedur</w:t>
      </w:r>
      <w:r>
        <w:t>e (Cameron et al., 2008). The limited number of calendar blocks and the sensitivity to block length remain part of the interpretation.</w:t>
      </w:r>
    </w:p>
    <w:p w14:paraId="351ED3B2" w14:textId="77777777" w:rsidR="00355E5A" w:rsidRDefault="003C4050">
      <w:pPr>
        <w:spacing w:after="80" w:line="360" w:lineRule="auto"/>
        <w:jc w:val="both"/>
      </w:pPr>
      <w:r>
        <w:t>A discrepancy-magnitude diagnostic compares the absolute discrepancy slope with the sum of the absolute modeled-human and</w:t>
      </w:r>
      <w:r>
        <w:t xml:space="preserve"> discrepancy slopes. Its purpose is to show whether the residual interpretation is dominated by the unexplained part of the paired experiment. It is bounded between zero and one, but it is not a causal share, a fraction of observed depletion or a partition</w:t>
      </w:r>
      <w:r>
        <w:t xml:space="preserve"> of independent error variances. The report labels it accordingly.</w:t>
      </w:r>
    </w:p>
    <w:p w14:paraId="7AAC1659" w14:textId="77777777" w:rsidR="00355E5A" w:rsidRDefault="003C4050">
      <w:pPr>
        <w:pStyle w:val="Heading2"/>
        <w:pageBreakBefore/>
        <w:numPr>
          <w:ilvl w:val="1"/>
          <w:numId w:val="0"/>
        </w:numPr>
        <w:spacing w:after="160" w:line="240" w:lineRule="auto"/>
      </w:pPr>
      <w:bookmarkStart w:id="21" w:name="_Toc243829220"/>
      <w:r>
        <w:lastRenderedPageBreak/>
        <w:t>Climate emulation and chronological evaluation</w:t>
      </w:r>
      <w:bookmarkEnd w:id="21"/>
    </w:p>
    <w:p w14:paraId="36E2477F" w14:textId="77777777" w:rsidR="00355E5A" w:rsidRDefault="003C4050">
      <w:pPr>
        <w:pStyle w:val="Caption"/>
        <w:keepNext/>
        <w:spacing w:after="140" w:line="276" w:lineRule="auto"/>
        <w:jc w:val="center"/>
      </w:pPr>
      <w:bookmarkStart w:id="22" w:name="Table4_1"/>
      <w:r>
        <w:rPr>
          <w:rFonts w:ascii="Times New Roman" w:hAnsi="Times New Roman"/>
          <w:b/>
          <w:sz w:val="22"/>
        </w:rPr>
        <w:t>Table 4.1 Evaluation chronology</w:t>
      </w:r>
      <w:bookmarkEnd w:id="22"/>
    </w:p>
    <w:tbl>
      <w:tblPr>
        <w:tblW w:w="0" w:type="auto"/>
        <w:tblLayout w:type="fixed"/>
        <w:tblLook w:val="04A0" w:firstRow="1" w:lastRow="0" w:firstColumn="1" w:lastColumn="0" w:noHBand="0" w:noVBand="1"/>
      </w:tblPr>
      <w:tblGrid>
        <w:gridCol w:w="1800"/>
        <w:gridCol w:w="2160"/>
        <w:gridCol w:w="4896"/>
      </w:tblGrid>
      <w:tr w:rsidR="00355E5A" w14:paraId="2EB85F8B" w14:textId="77777777">
        <w:trPr>
          <w:tblHeader/>
        </w:trPr>
        <w:tc>
          <w:tcPr>
            <w:tcW w:w="1800" w:type="dxa"/>
            <w:tcBorders>
              <w:top w:val="single" w:sz="4" w:space="0" w:color="B7B7B7"/>
              <w:left w:val="single" w:sz="4" w:space="0" w:color="B7B7B7"/>
              <w:bottom w:val="single" w:sz="4" w:space="0" w:color="B7B7B7"/>
              <w:right w:val="single" w:sz="4" w:space="0" w:color="B7B7B7"/>
            </w:tcBorders>
          </w:tcPr>
          <w:p w14:paraId="21DDB405" w14:textId="77777777" w:rsidR="00355E5A" w:rsidRDefault="003C4050">
            <w:pPr>
              <w:spacing w:before="60" w:after="60" w:line="252" w:lineRule="auto"/>
            </w:pPr>
            <w:r>
              <w:rPr>
                <w:b/>
                <w:sz w:val="21"/>
              </w:rPr>
              <w:t>Role</w:t>
            </w:r>
          </w:p>
        </w:tc>
        <w:tc>
          <w:tcPr>
            <w:tcW w:w="2160" w:type="dxa"/>
            <w:tcBorders>
              <w:top w:val="single" w:sz="4" w:space="0" w:color="B7B7B7"/>
              <w:left w:val="single" w:sz="4" w:space="0" w:color="B7B7B7"/>
              <w:bottom w:val="single" w:sz="4" w:space="0" w:color="B7B7B7"/>
              <w:right w:val="single" w:sz="4" w:space="0" w:color="B7B7B7"/>
            </w:tcBorders>
          </w:tcPr>
          <w:p w14:paraId="514FF856" w14:textId="77777777" w:rsidR="00355E5A" w:rsidRDefault="003C4050">
            <w:pPr>
              <w:spacing w:before="60" w:after="60" w:line="252" w:lineRule="auto"/>
              <w:jc w:val="center"/>
            </w:pPr>
            <w:r>
              <w:rPr>
                <w:b/>
                <w:sz w:val="21"/>
              </w:rPr>
              <w:t>Years</w:t>
            </w:r>
          </w:p>
        </w:tc>
        <w:tc>
          <w:tcPr>
            <w:tcW w:w="4896" w:type="dxa"/>
            <w:tcBorders>
              <w:top w:val="single" w:sz="4" w:space="0" w:color="B7B7B7"/>
              <w:left w:val="single" w:sz="4" w:space="0" w:color="B7B7B7"/>
              <w:bottom w:val="single" w:sz="4" w:space="0" w:color="B7B7B7"/>
              <w:right w:val="single" w:sz="4" w:space="0" w:color="B7B7B7"/>
            </w:tcBorders>
          </w:tcPr>
          <w:p w14:paraId="03F6D0E4" w14:textId="77777777" w:rsidR="00355E5A" w:rsidRDefault="003C4050">
            <w:pPr>
              <w:spacing w:before="60" w:after="60" w:line="252" w:lineRule="auto"/>
              <w:jc w:val="center"/>
            </w:pPr>
            <w:r>
              <w:rPr>
                <w:b/>
                <w:sz w:val="21"/>
              </w:rPr>
              <w:t>Target use</w:t>
            </w:r>
          </w:p>
        </w:tc>
      </w:tr>
      <w:tr w:rsidR="00355E5A" w14:paraId="204202B0" w14:textId="77777777">
        <w:tc>
          <w:tcPr>
            <w:tcW w:w="1800" w:type="dxa"/>
            <w:tcBorders>
              <w:top w:val="single" w:sz="4" w:space="0" w:color="B7B7B7"/>
              <w:left w:val="single" w:sz="4" w:space="0" w:color="B7B7B7"/>
              <w:bottom w:val="single" w:sz="4" w:space="0" w:color="B7B7B7"/>
              <w:right w:val="single" w:sz="4" w:space="0" w:color="B7B7B7"/>
            </w:tcBorders>
          </w:tcPr>
          <w:p w14:paraId="7236317B" w14:textId="77777777" w:rsidR="00355E5A" w:rsidRDefault="003C4050">
            <w:pPr>
              <w:spacing w:before="60" w:after="60" w:line="252" w:lineRule="auto"/>
            </w:pPr>
            <w:r>
              <w:rPr>
                <w:sz w:val="21"/>
              </w:rPr>
              <w:t>Warm-up</w:t>
            </w:r>
          </w:p>
        </w:tc>
        <w:tc>
          <w:tcPr>
            <w:tcW w:w="2160" w:type="dxa"/>
            <w:tcBorders>
              <w:top w:val="single" w:sz="4" w:space="0" w:color="B7B7B7"/>
              <w:left w:val="single" w:sz="4" w:space="0" w:color="B7B7B7"/>
              <w:bottom w:val="single" w:sz="4" w:space="0" w:color="B7B7B7"/>
              <w:right w:val="single" w:sz="4" w:space="0" w:color="B7B7B7"/>
            </w:tcBorders>
          </w:tcPr>
          <w:p w14:paraId="241541A8" w14:textId="77777777" w:rsidR="00355E5A" w:rsidRDefault="003C4050">
            <w:pPr>
              <w:spacing w:before="60" w:after="60" w:line="252" w:lineRule="auto"/>
              <w:jc w:val="center"/>
            </w:pPr>
            <w:r>
              <w:rPr>
                <w:sz w:val="21"/>
              </w:rPr>
              <w:t>1981–1990</w:t>
            </w:r>
          </w:p>
        </w:tc>
        <w:tc>
          <w:tcPr>
            <w:tcW w:w="4896" w:type="dxa"/>
            <w:tcBorders>
              <w:top w:val="single" w:sz="4" w:space="0" w:color="B7B7B7"/>
              <w:left w:val="single" w:sz="4" w:space="0" w:color="B7B7B7"/>
              <w:bottom w:val="single" w:sz="4" w:space="0" w:color="B7B7B7"/>
              <w:right w:val="single" w:sz="4" w:space="0" w:color="B7B7B7"/>
            </w:tcBorders>
          </w:tcPr>
          <w:p w14:paraId="5E849B2D" w14:textId="77777777" w:rsidR="00355E5A" w:rsidRDefault="003C4050">
            <w:pPr>
              <w:spacing w:before="60" w:after="60" w:line="252" w:lineRule="auto"/>
              <w:jc w:val="center"/>
            </w:pPr>
            <w:r>
              <w:rPr>
                <w:sz w:val="21"/>
              </w:rPr>
              <w:t>Antecedent climate memory</w:t>
            </w:r>
          </w:p>
        </w:tc>
      </w:tr>
      <w:tr w:rsidR="00355E5A" w14:paraId="78BB1D4E" w14:textId="77777777">
        <w:tc>
          <w:tcPr>
            <w:tcW w:w="1800" w:type="dxa"/>
            <w:tcBorders>
              <w:top w:val="single" w:sz="4" w:space="0" w:color="B7B7B7"/>
              <w:left w:val="single" w:sz="4" w:space="0" w:color="B7B7B7"/>
              <w:bottom w:val="single" w:sz="4" w:space="0" w:color="B7B7B7"/>
              <w:right w:val="single" w:sz="4" w:space="0" w:color="B7B7B7"/>
            </w:tcBorders>
          </w:tcPr>
          <w:p w14:paraId="1F6DDEA6" w14:textId="77777777" w:rsidR="00355E5A" w:rsidRDefault="003C4050">
            <w:pPr>
              <w:spacing w:before="60" w:after="60" w:line="252" w:lineRule="auto"/>
            </w:pPr>
            <w:r>
              <w:rPr>
                <w:sz w:val="21"/>
              </w:rPr>
              <w:t>Train</w:t>
            </w:r>
          </w:p>
        </w:tc>
        <w:tc>
          <w:tcPr>
            <w:tcW w:w="2160" w:type="dxa"/>
            <w:tcBorders>
              <w:top w:val="single" w:sz="4" w:space="0" w:color="B7B7B7"/>
              <w:left w:val="single" w:sz="4" w:space="0" w:color="B7B7B7"/>
              <w:bottom w:val="single" w:sz="4" w:space="0" w:color="B7B7B7"/>
              <w:right w:val="single" w:sz="4" w:space="0" w:color="B7B7B7"/>
            </w:tcBorders>
          </w:tcPr>
          <w:p w14:paraId="55034F6F" w14:textId="77777777" w:rsidR="00355E5A" w:rsidRDefault="003C4050">
            <w:pPr>
              <w:spacing w:before="60" w:after="60" w:line="252" w:lineRule="auto"/>
              <w:jc w:val="center"/>
            </w:pPr>
            <w:r>
              <w:rPr>
                <w:sz w:val="21"/>
              </w:rPr>
              <w:t>1991–2009</w:t>
            </w:r>
          </w:p>
        </w:tc>
        <w:tc>
          <w:tcPr>
            <w:tcW w:w="4896" w:type="dxa"/>
            <w:tcBorders>
              <w:top w:val="single" w:sz="4" w:space="0" w:color="B7B7B7"/>
              <w:left w:val="single" w:sz="4" w:space="0" w:color="B7B7B7"/>
              <w:bottom w:val="single" w:sz="4" w:space="0" w:color="B7B7B7"/>
              <w:right w:val="single" w:sz="4" w:space="0" w:color="B7B7B7"/>
            </w:tcBorders>
          </w:tcPr>
          <w:p w14:paraId="7B0B39F3" w14:textId="77777777" w:rsidR="00355E5A" w:rsidRDefault="003C4050">
            <w:pPr>
              <w:spacing w:before="60" w:after="60" w:line="252" w:lineRule="auto"/>
              <w:jc w:val="center"/>
            </w:pPr>
            <w:r>
              <w:rPr>
                <w:sz w:val="21"/>
              </w:rPr>
              <w:t xml:space="preserve">Fit and internal </w:t>
            </w:r>
            <w:r>
              <w:rPr>
                <w:sz w:val="21"/>
              </w:rPr>
              <w:t>tuning</w:t>
            </w:r>
          </w:p>
        </w:tc>
      </w:tr>
      <w:tr w:rsidR="00355E5A" w14:paraId="644A23B6" w14:textId="77777777">
        <w:tc>
          <w:tcPr>
            <w:tcW w:w="1800" w:type="dxa"/>
            <w:tcBorders>
              <w:top w:val="single" w:sz="4" w:space="0" w:color="B7B7B7"/>
              <w:left w:val="single" w:sz="4" w:space="0" w:color="B7B7B7"/>
              <w:bottom w:val="single" w:sz="4" w:space="0" w:color="B7B7B7"/>
              <w:right w:val="single" w:sz="4" w:space="0" w:color="B7B7B7"/>
            </w:tcBorders>
          </w:tcPr>
          <w:p w14:paraId="3D602742" w14:textId="77777777" w:rsidR="00355E5A" w:rsidRDefault="003C4050">
            <w:pPr>
              <w:spacing w:before="60" w:after="60" w:line="252" w:lineRule="auto"/>
            </w:pPr>
            <w:r>
              <w:rPr>
                <w:sz w:val="21"/>
              </w:rPr>
              <w:t>Validation</w:t>
            </w:r>
          </w:p>
        </w:tc>
        <w:tc>
          <w:tcPr>
            <w:tcW w:w="2160" w:type="dxa"/>
            <w:tcBorders>
              <w:top w:val="single" w:sz="4" w:space="0" w:color="B7B7B7"/>
              <w:left w:val="single" w:sz="4" w:space="0" w:color="B7B7B7"/>
              <w:bottom w:val="single" w:sz="4" w:space="0" w:color="B7B7B7"/>
              <w:right w:val="single" w:sz="4" w:space="0" w:color="B7B7B7"/>
            </w:tcBorders>
          </w:tcPr>
          <w:p w14:paraId="2CCED470" w14:textId="77777777" w:rsidR="00355E5A" w:rsidRDefault="003C4050">
            <w:pPr>
              <w:spacing w:before="60" w:after="60" w:line="252" w:lineRule="auto"/>
              <w:jc w:val="center"/>
            </w:pPr>
            <w:r>
              <w:rPr>
                <w:sz w:val="21"/>
              </w:rPr>
              <w:t>2010–2015</w:t>
            </w:r>
          </w:p>
        </w:tc>
        <w:tc>
          <w:tcPr>
            <w:tcW w:w="4896" w:type="dxa"/>
            <w:tcBorders>
              <w:top w:val="single" w:sz="4" w:space="0" w:color="B7B7B7"/>
              <w:left w:val="single" w:sz="4" w:space="0" w:color="B7B7B7"/>
              <w:bottom w:val="single" w:sz="4" w:space="0" w:color="B7B7B7"/>
              <w:right w:val="single" w:sz="4" w:space="0" w:color="B7B7B7"/>
            </w:tcBorders>
          </w:tcPr>
          <w:p w14:paraId="15B88EC7" w14:textId="77777777" w:rsidR="00355E5A" w:rsidRDefault="003C4050">
            <w:pPr>
              <w:spacing w:before="60" w:after="60" w:line="252" w:lineRule="auto"/>
              <w:jc w:val="center"/>
            </w:pPr>
            <w:r>
              <w:rPr>
                <w:sz w:val="21"/>
              </w:rPr>
              <w:t>Freeze model selection</w:t>
            </w:r>
          </w:p>
        </w:tc>
      </w:tr>
      <w:tr w:rsidR="00355E5A" w14:paraId="63BA6AA4" w14:textId="77777777">
        <w:tc>
          <w:tcPr>
            <w:tcW w:w="1800" w:type="dxa"/>
            <w:tcBorders>
              <w:top w:val="single" w:sz="4" w:space="0" w:color="B7B7B7"/>
              <w:left w:val="single" w:sz="4" w:space="0" w:color="B7B7B7"/>
              <w:bottom w:val="single" w:sz="4" w:space="0" w:color="B7B7B7"/>
              <w:right w:val="single" w:sz="4" w:space="0" w:color="B7B7B7"/>
            </w:tcBorders>
          </w:tcPr>
          <w:p w14:paraId="0B48D889" w14:textId="77777777" w:rsidR="00355E5A" w:rsidRDefault="003C4050">
            <w:pPr>
              <w:spacing w:before="60" w:after="60" w:line="252" w:lineRule="auto"/>
            </w:pPr>
            <w:r>
              <w:rPr>
                <w:sz w:val="21"/>
              </w:rPr>
              <w:t>Test</w:t>
            </w:r>
          </w:p>
        </w:tc>
        <w:tc>
          <w:tcPr>
            <w:tcW w:w="2160" w:type="dxa"/>
            <w:tcBorders>
              <w:top w:val="single" w:sz="4" w:space="0" w:color="B7B7B7"/>
              <w:left w:val="single" w:sz="4" w:space="0" w:color="B7B7B7"/>
              <w:bottom w:val="single" w:sz="4" w:space="0" w:color="B7B7B7"/>
              <w:right w:val="single" w:sz="4" w:space="0" w:color="B7B7B7"/>
            </w:tcBorders>
          </w:tcPr>
          <w:p w14:paraId="04A7A3F7" w14:textId="77777777" w:rsidR="00355E5A" w:rsidRDefault="003C4050">
            <w:pPr>
              <w:spacing w:before="60" w:after="60" w:line="252" w:lineRule="auto"/>
              <w:jc w:val="center"/>
            </w:pPr>
            <w:r>
              <w:rPr>
                <w:sz w:val="21"/>
              </w:rPr>
              <w:t>2016–2023</w:t>
            </w:r>
          </w:p>
        </w:tc>
        <w:tc>
          <w:tcPr>
            <w:tcW w:w="4896" w:type="dxa"/>
            <w:tcBorders>
              <w:top w:val="single" w:sz="4" w:space="0" w:color="B7B7B7"/>
              <w:left w:val="single" w:sz="4" w:space="0" w:color="B7B7B7"/>
              <w:bottom w:val="single" w:sz="4" w:space="0" w:color="B7B7B7"/>
              <w:right w:val="single" w:sz="4" w:space="0" w:color="B7B7B7"/>
            </w:tcBorders>
          </w:tcPr>
          <w:p w14:paraId="2E49E3F1" w14:textId="77777777" w:rsidR="00355E5A" w:rsidRDefault="003C4050">
            <w:pPr>
              <w:spacing w:before="60" w:after="60" w:line="252" w:lineRule="auto"/>
              <w:jc w:val="center"/>
            </w:pPr>
            <w:r>
              <w:rPr>
                <w:sz w:val="21"/>
              </w:rPr>
              <w:t>Held-out evaluation</w:t>
            </w:r>
          </w:p>
        </w:tc>
      </w:tr>
    </w:tbl>
    <w:p w14:paraId="019A0A78" w14:textId="77777777" w:rsidR="00355E5A" w:rsidRDefault="003C4050">
      <w:pPr>
        <w:spacing w:after="80" w:line="360" w:lineRule="auto"/>
        <w:jc w:val="both"/>
      </w:pPr>
      <w:r>
        <w:t xml:space="preserve">The naturalized parent model supplies a consistent training target for climate emulation. Meteorological precipitation and potential </w:t>
      </w:r>
      <w:r>
        <w:t>evapotranspiration provide the main inputs. Causal lagged values represent antecedent forcing, exponentially weighted memories summarize persistence, and annual and semiannual harmonics represent recurring seasonality. No observed GRACE lag, well head or u</w:t>
      </w:r>
      <w:r>
        <w:t>nrestricted calendar-year trend is included in the principal feature set.</w:t>
      </w:r>
    </w:p>
    <w:p w14:paraId="0D905EDC" w14:textId="77777777" w:rsidR="00355E5A" w:rsidRDefault="003C4050">
      <w:pPr>
        <w:spacing w:after="80" w:line="360" w:lineRule="auto"/>
        <w:jc w:val="both"/>
      </w:pPr>
      <w:r>
        <w:t>The chronology is fixed before evaluation: 1981–1990 supplies warm-up, 1991–2009 training, 2010–2015 validation and 2016–2023 testing. Within-training chronological folds select regu</w:t>
      </w:r>
      <w:r>
        <w:t>larization or tree settings. Scaling and feature transformations are fitted within each training fold. This prevents the later target distribution from determining training transformations or tuning choices.</w:t>
      </w:r>
    </w:p>
    <w:p w14:paraId="7693D96A" w14:textId="77777777" w:rsidR="00355E5A" w:rsidRDefault="003C4050">
      <w:pPr>
        <w:spacing w:after="80" w:line="360" w:lineRule="auto"/>
        <w:jc w:val="both"/>
      </w:pPr>
      <w:r>
        <w:t>Ridge, ElasticNet, additive splines and Random F</w:t>
      </w:r>
      <w:r>
        <w:t>orest provide the original ensemble candidates. Validation identifies up to three members that improve on the training climatology and retain positive anomaly skill. Inverse validation-error weights are frozen before testing. The ensemble is evaluated once</w:t>
      </w:r>
      <w:r>
        <w:t xml:space="preserve"> on the held-out parent-model target, with its target and period stated beside every score.</w:t>
      </w:r>
    </w:p>
    <w:p w14:paraId="2108A564" w14:textId="77777777" w:rsidR="00355E5A" w:rsidRDefault="003C4050">
      <w:pPr>
        <w:spacing w:after="80" w:line="360" w:lineRule="auto"/>
        <w:jc w:val="both"/>
      </w:pPr>
      <w:r>
        <w:t>The retained base analysis also compares naturalized WaterGAP soil, canopy and snow storage with the same GLDAS Noah compartments. National agreement over 261 month</w:t>
      </w:r>
      <w:r>
        <w:t>s is r=0.969, NSE=0.738 and RMSE=52.49 mm. This matched-compartment benchmark is distinct from full TWS and GWS validation: groundwater and surface water are excluded, climatic drivers may be shared, and GLDAS already contributes to the GWS subtraction.</w:t>
      </w:r>
    </w:p>
    <w:p w14:paraId="63BDC285" w14:textId="77777777" w:rsidR="00355E5A" w:rsidRDefault="003C4050">
      <w:pPr>
        <w:keepNext/>
        <w:pageBreakBefore/>
        <w:spacing w:after="160"/>
      </w:pPr>
      <w:r>
        <w:rPr>
          <w:b/>
        </w:rPr>
        <w:lastRenderedPageBreak/>
        <w:t>Fo</w:t>
      </w:r>
      <w:r>
        <w:rPr>
          <w:b/>
        </w:rPr>
        <w:t>rcing sensitivity and memory comparisons</w:t>
      </w:r>
    </w:p>
    <w:p w14:paraId="01DC5651" w14:textId="77777777" w:rsidR="00355E5A" w:rsidRDefault="003C4050">
      <w:pPr>
        <w:spacing w:after="80" w:line="360" w:lineRule="auto"/>
        <w:jc w:val="both"/>
      </w:pPr>
      <w:r>
        <w:t>An emulator trained and evaluated with the forcing used by its parent simulation benefits from a consistent input–target relationship. That relationship is appropriate for emulation, but its strength can be mistaken</w:t>
      </w:r>
      <w:r>
        <w:t xml:space="preserve"> for independent physical validation. The forcing experiment therefore freezes the full Ridge model and replaces its precipitation input with CHIRPS while leaving potential evapotranspiration and the naturalized target unchanged.</w:t>
      </w:r>
    </w:p>
    <w:p w14:paraId="7CE80769" w14:textId="77777777" w:rsidR="00355E5A" w:rsidRDefault="003C4050">
      <w:pPr>
        <w:spacing w:after="80" w:line="360" w:lineRule="auto"/>
        <w:jc w:val="both"/>
      </w:pPr>
      <w:r>
        <w:t>CHIRPS monthly precipitati</w:t>
      </w:r>
      <w:r>
        <w:t>on is converted to mean millimetres per day using the actual number of days in each calendar month. WaterGAP meteorological rates are converted directly to mean millimetres per day, avoiding an assumption that the source 360-day calendar represents physica</w:t>
      </w:r>
      <w:r>
        <w:t>l monthly totals. The products are thus compared through a common rate convention rather than through incompatible accumulation lengths.</w:t>
      </w:r>
    </w:p>
    <w:p w14:paraId="6C714ADE" w14:textId="77777777" w:rsidR="00355E5A" w:rsidRDefault="003C4050">
      <w:pPr>
        <w:spacing w:after="80" w:line="360" w:lineRule="auto"/>
        <w:jc w:val="both"/>
      </w:pPr>
      <w:r>
        <w:t>The experiment includes unadjusted CHIRPS and a training-only calendar-month mean adjustment. The adjustment is estimat</w:t>
      </w:r>
      <w:r>
        <w:t>ed from the available 2003–2009 overlap and is not recalculated in the test period. It addresses a limited mean-seasonal difference, not every distributional or process difference. A change in score after adjustment is reported whether it improves or worse</w:t>
      </w:r>
      <w:r>
        <w:t>ns performance.</w:t>
      </w:r>
    </w:p>
    <w:p w14:paraId="51522401" w14:textId="77777777" w:rsidR="00355E5A" w:rsidRDefault="003C4050">
      <w:pPr>
        <w:spacing w:after="80" w:line="360" w:lineRule="auto"/>
        <w:jc w:val="both"/>
      </w:pPr>
      <w:r>
        <w:t>Memory gain is assessed using the difference in test squared errors between the current-weather and memory feature groups. The two predictions are compared on the same months. A circular two-year paired bootstrap resamples the eight test ye</w:t>
      </w:r>
      <w:r>
        <w:t>ars to describe the stability of that error difference. With only eight years, the interval is a conditional comparison rather than a broad estimate of performance under all future climates.</w:t>
      </w:r>
    </w:p>
    <w:p w14:paraId="573C0FDB" w14:textId="77777777" w:rsidR="00355E5A" w:rsidRDefault="003C4050">
      <w:pPr>
        <w:spacing w:after="80" w:line="360" w:lineRule="auto"/>
        <w:jc w:val="both"/>
      </w:pPr>
      <w:r>
        <w:t>The source-change result is interpreted as covariate-shift sensit</w:t>
      </w:r>
      <w:r>
        <w:t>ivity against a native-forced parent target. CHIRPS is not expected to reproduce that target perfectly, and a reduced score is not proof that CHIRPS is less accurate as rainfall. The useful question is how much the emulator's apparent skill depends on forc</w:t>
      </w:r>
      <w:r>
        <w:t>ing consistency. This separates an approximation success from an independent observational claim.</w:t>
      </w:r>
    </w:p>
    <w:p w14:paraId="36392810" w14:textId="77777777" w:rsidR="00355E5A" w:rsidRDefault="003C4050">
      <w:pPr>
        <w:pStyle w:val="Heading2"/>
        <w:pageBreakBefore/>
        <w:numPr>
          <w:ilvl w:val="1"/>
          <w:numId w:val="0"/>
        </w:numPr>
        <w:spacing w:after="160" w:line="240" w:lineRule="auto"/>
      </w:pPr>
      <w:bookmarkStart w:id="23" w:name="_Toc243829221"/>
      <w:r>
        <w:lastRenderedPageBreak/>
        <w:t>Held out rainfall and observed storage response</w:t>
      </w:r>
      <w:bookmarkEnd w:id="23"/>
    </w:p>
    <w:p w14:paraId="49C2D00B" w14:textId="77777777" w:rsidR="00355E5A" w:rsidRDefault="003C4050">
      <w:pPr>
        <w:spacing w:after="80" w:line="360" w:lineRule="auto"/>
        <w:jc w:val="both"/>
      </w:pPr>
      <w:r>
        <w:t xml:space="preserve">The observed rainfall–storage analysis provides a complementary test using CHIRPS and CSR-derived storage. It </w:t>
      </w:r>
      <w:r>
        <w:t>asks whether precipitation accumulation and delay selected in an earlier period remain associated with later storage anomalies. This is distinct from emulating WaterGAP and does not require that the naturalized parent model reproduce observed groundwater a</w:t>
      </w:r>
      <w:r>
        <w:t>ccurately.</w:t>
      </w:r>
    </w:p>
    <w:p w14:paraId="51B414DB" w14:textId="77777777" w:rsidR="00355E5A" w:rsidRDefault="003C4050">
      <w:pPr>
        <w:spacing w:after="80" w:line="360" w:lineRule="auto"/>
        <w:jc w:val="both"/>
      </w:pPr>
      <w:r>
        <w:t xml:space="preserve">Candidate precipitation accumulation windows are one, three, six and twelve months, with delays from zero to six months. The best positive development-period relationship is selected using 2003–2015 only. Seasonal means and a linear trend in </w:t>
      </w:r>
      <w:r>
        <w:t>storage are estimated in that development period and applied consistently to the later data. The selected accumulation and delay are then frozen for the 2016–2023 comparison.</w:t>
      </w:r>
    </w:p>
    <w:p w14:paraId="0490EDC1" w14:textId="77777777" w:rsidR="00355E5A" w:rsidRDefault="003C4050">
      <w:pPr>
        <w:spacing w:after="80" w:line="360" w:lineRule="auto"/>
        <w:jc w:val="both"/>
      </w:pPr>
      <w:r>
        <w:t>A held-out Pearson correlation describes the later relationship. Its interpretati</w:t>
      </w:r>
      <w:r>
        <w:t>on remains limited: an accumulation window and delay summarize an empirical response, not an aquifer residence time, recharge travel time or unique climatic cause. Groundwater pumping can respond to rainfall deficits, so climate and management pathways can</w:t>
      </w:r>
      <w:r>
        <w:t xml:space="preserve"> remain correlated even in a deseasonalized, detrended analysis.</w:t>
      </w:r>
    </w:p>
    <w:p w14:paraId="46FDB092" w14:textId="77777777" w:rsidR="00355E5A" w:rsidRDefault="003C4050">
      <w:pPr>
        <w:spacing w:after="80" w:line="360" w:lineRule="auto"/>
        <w:jc w:val="both"/>
      </w:pPr>
      <w:r>
        <w:t>The null comparison permutes whole precipitation years in the test period while retaining within-year order and the actual missing storage positions. This preserves more temporal structure th</w:t>
      </w:r>
      <w:r>
        <w:t>an shuffling individual months, but it does not preserve every interannual dependence. The analysis uses 999 permutations and adjusts basin test p-values within each storage type. National context is reported separately from the 22-basin family.</w:t>
      </w:r>
    </w:p>
    <w:p w14:paraId="0D6BB85E" w14:textId="77777777" w:rsidR="00355E5A" w:rsidRDefault="003C4050">
      <w:pPr>
        <w:spacing w:after="80" w:line="360" w:lineRule="auto"/>
        <w:jc w:val="both"/>
      </w:pPr>
      <w:r>
        <w:t>The test i</w:t>
      </w:r>
      <w:r>
        <w:t>s deliberately modest in its claim. A transferable rainfall–storage association supports a role for hydroclimatic variability in observed anomalies. It does not establish that a simulated naturalized trend is correct, nor that the remaining trend is entire</w:t>
      </w:r>
      <w:r>
        <w:t>ly anthropogenic. The result is interpreted alongside the paired-model discrepancy, product sensitivity and groundwater checks rather than being used as a shortcut around them.</w:t>
      </w:r>
    </w:p>
    <w:p w14:paraId="788CB421" w14:textId="77777777" w:rsidR="00355E5A" w:rsidRDefault="003C4050">
      <w:pPr>
        <w:spacing w:after="80" w:line="360" w:lineRule="auto"/>
        <w:jc w:val="both"/>
      </w:pPr>
      <w:r>
        <w:t>The reservoir extension uses MSEA-Res screened scene estimates and, separately,</w:t>
      </w:r>
      <w:r>
        <w:t xml:space="preserve"> provider-interpolated daily storage. A fixed pre-2004 panel is summed only when every reservoir is represented, converted from km³ to basin-equivalent mm and referenced to available 2004–2009 months. Matched-month correlations remove calendar-month effect</w:t>
      </w:r>
      <w:r>
        <w:t>s and linear trend; 499 whole-year cluster resamples describe conditional uncertainty. Reservoirs provide surface-water consistency evidence, not observed human-only storage.</w:t>
      </w:r>
    </w:p>
    <w:p w14:paraId="48E748DA" w14:textId="77777777" w:rsidR="00355E5A" w:rsidRDefault="003C4050">
      <w:pPr>
        <w:pStyle w:val="Heading2"/>
        <w:pageBreakBefore/>
        <w:numPr>
          <w:ilvl w:val="1"/>
          <w:numId w:val="0"/>
        </w:numPr>
        <w:spacing w:after="160" w:line="240" w:lineRule="auto"/>
      </w:pPr>
      <w:bookmarkStart w:id="24" w:name="_Toc243829222"/>
      <w:r>
        <w:lastRenderedPageBreak/>
        <w:t>Groundwater panel and station bootstrap design</w:t>
      </w:r>
      <w:bookmarkEnd w:id="24"/>
    </w:p>
    <w:p w14:paraId="6BE2BE91" w14:textId="77777777" w:rsidR="00355E5A" w:rsidRDefault="003C4050">
      <w:pPr>
        <w:spacing w:after="80" w:line="360" w:lineRule="auto"/>
        <w:jc w:val="both"/>
      </w:pPr>
      <w:r>
        <w:t>The primary groundwater index is t</w:t>
      </w:r>
      <w:r>
        <w:t xml:space="preserve">he mean of coordinate-station median standardized heads for each observed year. Standardization is descriptive over each well's observed record and is not used to train a predictive climate model. Regional comparisons preserve the number of station groups </w:t>
      </w:r>
      <w:r>
        <w:t>contributing to each year. Co-location grouping prevents multiple wells at one coordinate from being treated as independent spatial observations.</w:t>
      </w:r>
    </w:p>
    <w:p w14:paraId="74B5A5AD" w14:textId="77777777" w:rsidR="00355E5A" w:rsidRDefault="003C4050">
      <w:pPr>
        <w:spacing w:after="80" w:line="360" w:lineRule="auto"/>
        <w:jc w:val="both"/>
      </w:pPr>
      <w:r>
        <w:t>Five observation conditions are evaluated. The longest-overlap index retains provider flags. A quality sensiti</w:t>
      </w:r>
      <w:r>
        <w:t>vity excludes flagged observations. A fixed-eligibility panel retains wells with at least eight observations in 2013–2022 but keeps their wider histories. An all-well common-period index restricts the time window to those ten years. A strict balanced panel</w:t>
      </w:r>
      <w:r>
        <w:t xml:space="preserve"> requires observations in every one of those years and uses that same window.</w:t>
      </w:r>
    </w:p>
    <w:p w14:paraId="77A1D85A" w14:textId="77777777" w:rsidR="00355E5A" w:rsidRDefault="003C4050">
      <w:pPr>
        <w:spacing w:after="80" w:line="360" w:lineRule="auto"/>
        <w:jc w:val="both"/>
      </w:pPr>
      <w:r>
        <w:t>The last two conditions are essential for interpretation. Comparing a longest-overlap series with a restricted panel can change both station composition and effective time suppor</w:t>
      </w:r>
      <w:r>
        <w:t>t. Comparing the all-well and strict panels on the same storage years isolates the panel difference more clearly. It still does not create an aquifer-representative random sample, because the well locations and original monitoring purposes are not controll</w:t>
      </w:r>
      <w:r>
        <w:t>ed by this study.</w:t>
      </w:r>
    </w:p>
    <w:p w14:paraId="16F5F44D" w14:textId="77777777" w:rsidR="00355E5A" w:rsidRDefault="003C4050">
      <w:pPr>
        <w:spacing w:after="80" w:line="360" w:lineRule="auto"/>
        <w:jc w:val="both"/>
      </w:pPr>
      <w:r>
        <w:t xml:space="preserve">Station-bootstrap intervals resample coordinate groups with replacement and retain each selected group's whole time series. They use 499 replicates and quantify sensitivity to the monitored spatial population conditional on the available </w:t>
      </w:r>
      <w:r>
        <w:t>years. They are not temporal confidence intervals for correlation and do not propagate storage-product uncertainty. A narrow station interval can therefore coexist with a small temporal sample and weak causal evidence.</w:t>
      </w:r>
    </w:p>
    <w:p w14:paraId="74A9EE55" w14:textId="77777777" w:rsidR="00355E5A" w:rsidRDefault="003C4050">
      <w:pPr>
        <w:spacing w:after="80" w:line="360" w:lineRule="auto"/>
        <w:jc w:val="both"/>
      </w:pPr>
      <w:r>
        <w:t>Raw, climate-controlled and detrended</w:t>
      </w:r>
      <w:r>
        <w:t xml:space="preserve"> associations are accompanied by correlations of changes between consecutive observed years. Nonconsecutive years are never treated as one-year differences. Well-level head trends require at least eight annual observations and an eight-year span; station-l</w:t>
      </w:r>
      <w:r>
        <w:t>evel direction summaries then prevent colocated wells from dominating the national count. No head trend is converted into a water-storage or pumping rate.</w:t>
      </w:r>
    </w:p>
    <w:p w14:paraId="36293435" w14:textId="77777777" w:rsidR="00355E5A" w:rsidRDefault="003C4050">
      <w:pPr>
        <w:pStyle w:val="Heading2"/>
        <w:pageBreakBefore/>
        <w:numPr>
          <w:ilvl w:val="1"/>
          <w:numId w:val="0"/>
        </w:numPr>
        <w:spacing w:after="160" w:line="240" w:lineRule="auto"/>
      </w:pPr>
      <w:bookmarkStart w:id="25" w:name="_Toc243829223"/>
      <w:r>
        <w:lastRenderedPageBreak/>
        <w:t>Native support and product ranking diagnostics</w:t>
      </w:r>
      <w:bookmarkEnd w:id="25"/>
    </w:p>
    <w:p w14:paraId="65C49C82" w14:textId="77777777" w:rsidR="00355E5A" w:rsidRDefault="003C4050">
      <w:pPr>
        <w:spacing w:after="80" w:line="360" w:lineRule="auto"/>
        <w:jc w:val="both"/>
      </w:pPr>
      <w:r>
        <w:t>The CSR mapping file permits the convenience-grid inte</w:t>
      </w:r>
      <w:r>
        <w:t>rsection weights to be grouped by native mascon identifier. Each basin is described by the number of native mascons it touches, the largest native weight and an inverse concentration measure. The latter equals one divided by the sum of squared native weigh</w:t>
      </w:r>
      <w:r>
        <w:t>t fractions. It describes how concentrated a basin's representation is among native elements.</w:t>
      </w:r>
    </w:p>
    <w:p w14:paraId="42B51D77" w14:textId="77777777" w:rsidR="00355E5A" w:rsidRDefault="003C4050">
      <w:pPr>
        <w:spacing w:after="80" w:line="360" w:lineRule="auto"/>
        <w:jc w:val="both"/>
      </w:pPr>
      <w:r>
        <w:t xml:space="preserve">This concentration count is not an estimate of independent observations. Regularization couples gravity information, and the true averaging kernels or full error </w:t>
      </w:r>
      <w:r>
        <w:t>covariance are not available in this analysis. Treating the count as a statistical sample size would be unjustified. Its value is diagnostic: a basin represented mainly by one or two native weights should not be interpreted as finely resolved merely becaus</w:t>
      </w:r>
      <w:r>
        <w:t>e many quarter-degree cells intersect it.</w:t>
      </w:r>
    </w:p>
    <w:p w14:paraId="393829D5" w14:textId="77777777" w:rsidR="00355E5A" w:rsidRDefault="003C4050">
      <w:pPr>
        <w:spacing w:after="80" w:line="360" w:lineRule="auto"/>
        <w:jc w:val="both"/>
      </w:pPr>
      <w:r>
        <w:t>A shared-support matrix sums the minimum of the native weight fractions for each pair of basins. A value of one on the diagonal is an accounting property; positive off-diagonal values identify overlap in the mapped</w:t>
      </w:r>
      <w:r>
        <w:t xml:space="preserve"> representation. The matrix is not a leakage correction, spatial correlation matrix or gravity-error covariance. It makes one source of spatial dependence visible without pretending to solve it.</w:t>
      </w:r>
    </w:p>
    <w:p w14:paraId="3AA9B4C9" w14:textId="77777777" w:rsidR="00355E5A" w:rsidRDefault="003C4050">
      <w:pPr>
        <w:spacing w:after="80" w:line="360" w:lineRule="auto"/>
        <w:jc w:val="both"/>
      </w:pPr>
      <w:r>
        <w:t>Product rankings are compared with Spearman correlation on co</w:t>
      </w:r>
      <w:r>
        <w:t>mmon-valid source tables. The corresponding p-values are retained only as descriptive calculations because basin dependence weakens an independent-spatial-replication interpretation. Direction agreement, median slope differences and the ranking coefficient</w:t>
      </w:r>
      <w:r>
        <w:t xml:space="preserve"> carry the substantive comparison. The analysis does not choose the product that produces the strongest ranking agreement or the largest decline.</w:t>
      </w:r>
    </w:p>
    <w:p w14:paraId="1B8945C8" w14:textId="77777777" w:rsidR="00355E5A" w:rsidRDefault="003C4050">
      <w:pPr>
        <w:spacing w:after="80" w:line="360" w:lineRule="auto"/>
        <w:jc w:val="both"/>
      </w:pPr>
      <w:r>
        <w:t>The provider's small-basin caution is retained as a separate flag. All 22 principal basins fall below the cite</w:t>
      </w:r>
      <w:r>
        <w:t>d approximate area threshold, while national context has a larger support. This does not imply that every basin result is useless or that the threshold is a binary resolution theorem. It means the basin estimates are screening information requiring regiona</w:t>
      </w:r>
      <w:r>
        <w:t>l corroboration and cannot support precise local pumping rankings on their own.</w:t>
      </w:r>
    </w:p>
    <w:p w14:paraId="7C46DD6C" w14:textId="77777777" w:rsidR="00355E5A" w:rsidRDefault="003C4050">
      <w:pPr>
        <w:pStyle w:val="Heading2"/>
        <w:pageBreakBefore/>
        <w:numPr>
          <w:ilvl w:val="1"/>
          <w:numId w:val="0"/>
        </w:numPr>
        <w:spacing w:after="160" w:line="240" w:lineRule="auto"/>
      </w:pPr>
      <w:bookmarkStart w:id="26" w:name="_Toc243829224"/>
      <w:r>
        <w:lastRenderedPageBreak/>
        <w:t>Decision support and reproducible execution</w:t>
      </w:r>
      <w:bookmarkEnd w:id="26"/>
    </w:p>
    <w:p w14:paraId="45A97B49" w14:textId="77777777" w:rsidR="00355E5A" w:rsidRDefault="003C4050">
      <w:pPr>
        <w:spacing w:after="80" w:line="360" w:lineRule="auto"/>
        <w:jc w:val="both"/>
      </w:pPr>
      <w:r>
        <w:t>The decision-support system connects basin selection with storage time series, trend summaries, climate-model information and ground</w:t>
      </w:r>
      <w:r>
        <w:t>water evidence. Its scientific function is transparency: users should be able to see the record, the counterfactual comparison and the limits of the available observations together. A map alone cannot communicate whether a basin rank is product-dependent o</w:t>
      </w:r>
      <w:r>
        <w:t>r whether an attractive model score refers to a parent model rather than independent storage.</w:t>
      </w:r>
    </w:p>
    <w:p w14:paraId="11EB6D86" w14:textId="77777777" w:rsidR="00355E5A" w:rsidRDefault="003C4050">
      <w:pPr>
        <w:spacing w:after="80" w:line="360" w:lineRule="auto"/>
        <w:jc w:val="both"/>
      </w:pPr>
      <w:r>
        <w:t>The original application and the extended research outputs are versioned separately. The extended study uses CSR as its identified primary baseline and exposes th</w:t>
      </w:r>
      <w:r>
        <w:t>e source audit, memory tests, discrepancy diagnostic and network-panel comparisons. Earlier outputs remain accessible as historical work. This avoids silently changing the interpretation of an earlier downloaded table while giving readers a clear current a</w:t>
      </w:r>
      <w:r>
        <w:t>nalysis path.</w:t>
      </w:r>
    </w:p>
    <w:p w14:paraId="0FD56488" w14:textId="77777777" w:rsidR="00355E5A" w:rsidRDefault="003C4050">
      <w:pPr>
        <w:spacing w:after="80" w:line="360" w:lineRule="auto"/>
        <w:jc w:val="both"/>
      </w:pPr>
      <w:r>
        <w:t>The research package includes compact Thai input subsets, dependency versions, scripts, provenance and frozen reference tables. The principal analysis can be rerun from a fresh checkout without the author's drive structure. New outputs are wr</w:t>
      </w:r>
      <w:r>
        <w:t>itten to a separate working directory, and automated checks compare the regenerated scientific tables with reference values using explicit tolerances.</w:t>
      </w:r>
    </w:p>
    <w:p w14:paraId="087E6763" w14:textId="77777777" w:rsidR="00355E5A" w:rsidRDefault="003C4050">
      <w:pPr>
        <w:spacing w:after="80" w:line="360" w:lineRule="auto"/>
        <w:jc w:val="both"/>
      </w:pPr>
      <w:r>
        <w:t>Reproduction checks address executable consistency, not the truth of a hydrological hypothesis. A success</w:t>
      </w:r>
      <w:r>
        <w:t>ful run confirms that the stated inputs and methods produce the reported numbers. It cannot establish missing aquifer properties, eliminate gravity leakage or prove that the naturalized simulation is the true unobserved world. These limits remain visible i</w:t>
      </w:r>
      <w:r>
        <w:t>n the code documentation, report and interface.</w:t>
      </w:r>
    </w:p>
    <w:p w14:paraId="7450FA5B" w14:textId="77777777" w:rsidR="00355E5A" w:rsidRDefault="003C4050">
      <w:pPr>
        <w:spacing w:after="80" w:line="360" w:lineRule="auto"/>
        <w:jc w:val="both"/>
      </w:pPr>
      <w:r>
        <w:t>The interface is intended for comparison, observation-gap identification and research review. It should not automatically prescribe pumping reductions from an unexplained residual. A useful next action can in</w:t>
      </w:r>
      <w:r>
        <w:t>stead be to improve monitoring in a poorly supported basin, recover reservoir operation records or test another naturalized model. Linking each result to its evidence makes that distinction operational rather than leaving it only in the discussion text.</w:t>
      </w:r>
    </w:p>
    <w:p w14:paraId="61A17A81" w14:textId="77777777" w:rsidR="00355E5A" w:rsidRDefault="003C4050">
      <w:pPr>
        <w:pStyle w:val="Heading1"/>
        <w:pageBreakBefore/>
        <w:numPr>
          <w:ilvl w:val="0"/>
          <w:numId w:val="0"/>
        </w:numPr>
        <w:spacing w:after="480" w:line="240" w:lineRule="auto"/>
      </w:pPr>
      <w:bookmarkStart w:id="27" w:name="_Toc243829225"/>
      <w:r>
        <w:lastRenderedPageBreak/>
        <w:t>CH</w:t>
      </w:r>
      <w:r>
        <w:t>APTER 5</w:t>
      </w:r>
      <w:r>
        <w:br/>
        <w:t>RESULTS</w:t>
      </w:r>
      <w:bookmarkEnd w:id="27"/>
    </w:p>
    <w:p w14:paraId="0AE5940A" w14:textId="77777777" w:rsidR="00355E5A" w:rsidRDefault="003C4050">
      <w:pPr>
        <w:keepNext/>
        <w:spacing w:after="160"/>
      </w:pPr>
      <w:r>
        <w:rPr>
          <w:b/>
        </w:rPr>
        <w:t>Spatial GRACE storage trends and Mann Kendall evidence</w:t>
      </w:r>
    </w:p>
    <w:p w14:paraId="246CE9B3" w14:textId="77777777" w:rsidR="00355E5A" w:rsidRDefault="003C4050">
      <w:pPr>
        <w:keepNext/>
        <w:spacing w:after="60"/>
        <w:jc w:val="center"/>
      </w:pPr>
      <w:r>
        <w:rPr>
          <w:noProof/>
        </w:rPr>
        <w:drawing>
          <wp:inline distT="0" distB="0" distL="0" distR="0" wp14:anchorId="6D66EDA3" wp14:editId="20B76992">
            <wp:extent cx="4765940" cy="59435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_observed_spatial.png"/>
                    <pic:cNvPicPr/>
                  </pic:nvPicPr>
                  <pic:blipFill>
                    <a:blip r:embed="rId16"/>
                    <a:stretch>
                      <a:fillRect/>
                    </a:stretch>
                  </pic:blipFill>
                  <pic:spPr>
                    <a:xfrm>
                      <a:off x="0" y="0"/>
                      <a:ext cx="4765940" cy="5943599"/>
                    </a:xfrm>
                    <a:prstGeom prst="rect">
                      <a:avLst/>
                    </a:prstGeom>
                  </pic:spPr>
                </pic:pic>
              </a:graphicData>
            </a:graphic>
          </wp:inline>
        </w:drawing>
      </w:r>
    </w:p>
    <w:p w14:paraId="014E35FF" w14:textId="77777777" w:rsidR="00355E5A" w:rsidRDefault="003C4050">
      <w:pPr>
        <w:pStyle w:val="Caption"/>
        <w:spacing w:after="140" w:line="276" w:lineRule="auto"/>
        <w:jc w:val="center"/>
      </w:pPr>
      <w:bookmarkStart w:id="28" w:name="Figure5_1"/>
      <w:r>
        <w:rPr>
          <w:rFonts w:ascii="Times New Roman" w:hAnsi="Times New Roman"/>
          <w:b/>
          <w:sz w:val="22"/>
        </w:rPr>
        <w:t>Figure 5.1 CSR TWSA and derived GWSA seasonal Sen slopes and seasonal Mann–Kendall FDR maps.</w:t>
      </w:r>
      <w:bookmarkEnd w:id="28"/>
    </w:p>
    <w:p w14:paraId="307A336E" w14:textId="77777777" w:rsidR="00355E5A" w:rsidRDefault="003C4050">
      <w:pPr>
        <w:spacing w:after="80" w:line="360" w:lineRule="auto"/>
        <w:jc w:val="both"/>
      </w:pPr>
      <w:r>
        <w:t xml:space="preserve">Basin-average CSR TWSA and compartment-derived GWSA; seasonal Sen slopes and basin FDR </w:t>
      </w:r>
      <w:r>
        <w:t>q. q colours saturate at 0.10. Seasonal MK does not correct serial dependence; slope intervals are supplied in the numerical tables. All basins retain the CSR small-support caution.</w:t>
      </w:r>
    </w:p>
    <w:p w14:paraId="5B13DADA" w14:textId="77777777" w:rsidR="00355E5A" w:rsidRDefault="003C4050">
      <w:pPr>
        <w:pStyle w:val="Heading2"/>
        <w:pageBreakBefore/>
        <w:numPr>
          <w:ilvl w:val="1"/>
          <w:numId w:val="0"/>
        </w:numPr>
        <w:spacing w:after="160" w:line="240" w:lineRule="auto"/>
      </w:pPr>
      <w:bookmarkStart w:id="29" w:name="_Toc243829226"/>
      <w:r>
        <w:lastRenderedPageBreak/>
        <w:t>Observed storage time series for all 22 basins</w:t>
      </w:r>
      <w:bookmarkEnd w:id="29"/>
    </w:p>
    <w:p w14:paraId="23BFC503" w14:textId="77777777" w:rsidR="00355E5A" w:rsidRDefault="003C4050">
      <w:pPr>
        <w:keepNext/>
        <w:spacing w:after="60"/>
        <w:jc w:val="center"/>
      </w:pPr>
      <w:r>
        <w:rPr>
          <w:noProof/>
        </w:rPr>
        <w:drawing>
          <wp:inline distT="0" distB="0" distL="0" distR="0" wp14:anchorId="3759DA7C" wp14:editId="0D1F95BA">
            <wp:extent cx="5296978" cy="59435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_observed_temporal_all_basins.png"/>
                    <pic:cNvPicPr/>
                  </pic:nvPicPr>
                  <pic:blipFill>
                    <a:blip r:embed="rId17"/>
                    <a:stretch>
                      <a:fillRect/>
                    </a:stretch>
                  </pic:blipFill>
                  <pic:spPr>
                    <a:xfrm>
                      <a:off x="0" y="0"/>
                      <a:ext cx="5296978" cy="5943599"/>
                    </a:xfrm>
                    <a:prstGeom prst="rect">
                      <a:avLst/>
                    </a:prstGeom>
                  </pic:spPr>
                </pic:pic>
              </a:graphicData>
            </a:graphic>
          </wp:inline>
        </w:drawing>
      </w:r>
    </w:p>
    <w:p w14:paraId="0EF5BDCA" w14:textId="77777777" w:rsidR="00355E5A" w:rsidRDefault="003C4050">
      <w:pPr>
        <w:pStyle w:val="Caption"/>
        <w:spacing w:after="140" w:line="276" w:lineRule="auto"/>
        <w:jc w:val="center"/>
      </w:pPr>
      <w:bookmarkStart w:id="30" w:name="Figure5_2"/>
      <w:r>
        <w:rPr>
          <w:rFonts w:ascii="Times New Roman" w:hAnsi="Times New Roman"/>
          <w:b/>
          <w:sz w:val="22"/>
        </w:rPr>
        <w:t>Figure 5.2 Monthly TWSA a</w:t>
      </w:r>
      <w:r>
        <w:rPr>
          <w:rFonts w:ascii="Times New Roman" w:hAnsi="Times New Roman"/>
          <w:b/>
          <w:sz w:val="22"/>
        </w:rPr>
        <w:t>nd GWSA for all 22 basins; observation gaps are retained.</w:t>
      </w:r>
      <w:bookmarkEnd w:id="30"/>
    </w:p>
    <w:p w14:paraId="047E9C9E" w14:textId="77777777" w:rsidR="00355E5A" w:rsidRDefault="003C4050">
      <w:pPr>
        <w:spacing w:after="80" w:line="360" w:lineRule="auto"/>
        <w:jc w:val="both"/>
      </w:pPr>
      <w:r>
        <w:t>Monthly CSR TWSA and full-compartment GWSA, in mm. Mission gaps remain missing and GWSA ends in September 2023. Basin codes identify every subplot; full names are in Appendix A.</w:t>
      </w:r>
    </w:p>
    <w:p w14:paraId="084B0FA6" w14:textId="77777777" w:rsidR="00355E5A" w:rsidRDefault="003C4050">
      <w:pPr>
        <w:keepNext/>
        <w:pageBreakBefore/>
        <w:spacing w:after="160"/>
      </w:pPr>
      <w:r>
        <w:rPr>
          <w:b/>
        </w:rPr>
        <w:lastRenderedPageBreak/>
        <w:t>Product dependent ba</w:t>
      </w:r>
      <w:r>
        <w:rPr>
          <w:b/>
        </w:rPr>
        <w:t>sin trend ranking</w:t>
      </w:r>
    </w:p>
    <w:p w14:paraId="42A41A43" w14:textId="77777777" w:rsidR="00355E5A" w:rsidRDefault="003C4050">
      <w:pPr>
        <w:keepNext/>
        <w:spacing w:after="60"/>
        <w:jc w:val="center"/>
      </w:pPr>
      <w:r>
        <w:rPr>
          <w:noProof/>
        </w:rPr>
        <w:drawing>
          <wp:inline distT="0" distB="0" distL="0" distR="0" wp14:anchorId="0FBFA969" wp14:editId="46D2D465">
            <wp:extent cx="5632704" cy="2644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roduct_ranking_scatter.png"/>
                    <pic:cNvPicPr/>
                  </pic:nvPicPr>
                  <pic:blipFill>
                    <a:blip r:embed="rId18"/>
                    <a:stretch>
                      <a:fillRect/>
                    </a:stretch>
                  </pic:blipFill>
                  <pic:spPr>
                    <a:xfrm>
                      <a:off x="0" y="0"/>
                      <a:ext cx="5632704" cy="2644680"/>
                    </a:xfrm>
                    <a:prstGeom prst="rect">
                      <a:avLst/>
                    </a:prstGeom>
                  </pic:spPr>
                </pic:pic>
              </a:graphicData>
            </a:graphic>
          </wp:inline>
        </w:drawing>
      </w:r>
    </w:p>
    <w:p w14:paraId="2C9056B4" w14:textId="77777777" w:rsidR="00355E5A" w:rsidRDefault="003C4050">
      <w:pPr>
        <w:pStyle w:val="Caption"/>
        <w:spacing w:after="140" w:line="276" w:lineRule="auto"/>
        <w:jc w:val="center"/>
      </w:pPr>
      <w:bookmarkStart w:id="31" w:name="Figure5_3"/>
      <w:r>
        <w:rPr>
          <w:rFonts w:ascii="Times New Roman" w:hAnsi="Times New Roman"/>
          <w:b/>
          <w:sz w:val="22"/>
        </w:rPr>
        <w:t>Figure 5.3 Common-support CSR and COST-G/G3P trend comparisons; compartment processing also differs.</w:t>
      </w:r>
      <w:bookmarkEnd w:id="31"/>
    </w:p>
    <w:p w14:paraId="385B137A" w14:textId="77777777" w:rsidR="00355E5A" w:rsidRDefault="003C4050">
      <w:pPr>
        <w:spacing w:after="80" w:line="360" w:lineRule="auto"/>
        <w:jc w:val="both"/>
      </w:pPr>
      <w:r>
        <w:t>Direction is more stable than basin ranking. On common support the national TWS slopes are approximately −7.67 mm/year for CSR and −2.5</w:t>
      </w:r>
      <w:r>
        <w:t>6 for COST-G/G3P. Basin rank correlations are only 0.138 for TWSA and 0.027 for GWSA. These shared-support comparisons are processing-chain sensitivities, not independent spatial replications.</w:t>
      </w:r>
    </w:p>
    <w:p w14:paraId="1907123A" w14:textId="77777777" w:rsidR="00355E5A" w:rsidRDefault="003C4050">
      <w:pPr>
        <w:pStyle w:val="Caption"/>
        <w:keepNext/>
        <w:spacing w:after="140" w:line="276" w:lineRule="auto"/>
        <w:jc w:val="center"/>
      </w:pPr>
      <w:bookmarkStart w:id="32" w:name="Table5_1"/>
      <w:r>
        <w:rPr>
          <w:rFonts w:ascii="Times New Roman" w:hAnsi="Times New Roman"/>
          <w:b/>
          <w:sz w:val="22"/>
        </w:rPr>
        <w:t>Table 5.1 National common-support Sen slopes in millimetres per</w:t>
      </w:r>
      <w:r>
        <w:rPr>
          <w:rFonts w:ascii="Times New Roman" w:hAnsi="Times New Roman"/>
          <w:b/>
          <w:sz w:val="22"/>
        </w:rPr>
        <w:t xml:space="preserve"> year</w:t>
      </w:r>
      <w:bookmarkEnd w:id="32"/>
    </w:p>
    <w:tbl>
      <w:tblPr>
        <w:tblW w:w="0" w:type="auto"/>
        <w:tblLayout w:type="fixed"/>
        <w:tblLook w:val="04A0" w:firstRow="1" w:lastRow="0" w:firstColumn="1" w:lastColumn="0" w:noHBand="0" w:noVBand="1"/>
      </w:tblPr>
      <w:tblGrid>
        <w:gridCol w:w="4536"/>
        <w:gridCol w:w="2160"/>
        <w:gridCol w:w="2160"/>
      </w:tblGrid>
      <w:tr w:rsidR="00355E5A" w14:paraId="176813E6" w14:textId="77777777">
        <w:trPr>
          <w:tblHeader/>
        </w:trPr>
        <w:tc>
          <w:tcPr>
            <w:tcW w:w="4536" w:type="dxa"/>
            <w:tcBorders>
              <w:top w:val="single" w:sz="4" w:space="0" w:color="B7B7B7"/>
              <w:left w:val="single" w:sz="4" w:space="0" w:color="B7B7B7"/>
              <w:bottom w:val="single" w:sz="4" w:space="0" w:color="B7B7B7"/>
              <w:right w:val="single" w:sz="4" w:space="0" w:color="B7B7B7"/>
            </w:tcBorders>
          </w:tcPr>
          <w:p w14:paraId="3F530BEB" w14:textId="77777777" w:rsidR="00355E5A" w:rsidRDefault="003C4050">
            <w:pPr>
              <w:spacing w:before="60" w:after="60" w:line="252" w:lineRule="auto"/>
            </w:pPr>
            <w:r>
              <w:rPr>
                <w:b/>
                <w:sz w:val="21"/>
              </w:rPr>
              <w:t>Processing chain</w:t>
            </w:r>
          </w:p>
        </w:tc>
        <w:tc>
          <w:tcPr>
            <w:tcW w:w="2160" w:type="dxa"/>
            <w:tcBorders>
              <w:top w:val="single" w:sz="4" w:space="0" w:color="B7B7B7"/>
              <w:left w:val="single" w:sz="4" w:space="0" w:color="B7B7B7"/>
              <w:bottom w:val="single" w:sz="4" w:space="0" w:color="B7B7B7"/>
              <w:right w:val="single" w:sz="4" w:space="0" w:color="B7B7B7"/>
            </w:tcBorders>
          </w:tcPr>
          <w:p w14:paraId="6FFD0FD5" w14:textId="77777777" w:rsidR="00355E5A" w:rsidRDefault="003C4050">
            <w:pPr>
              <w:spacing w:before="60" w:after="60" w:line="252" w:lineRule="auto"/>
              <w:jc w:val="center"/>
            </w:pPr>
            <w:r>
              <w:rPr>
                <w:b/>
                <w:sz w:val="21"/>
              </w:rPr>
              <w:t>TWSA</w:t>
            </w:r>
          </w:p>
        </w:tc>
        <w:tc>
          <w:tcPr>
            <w:tcW w:w="2160" w:type="dxa"/>
            <w:tcBorders>
              <w:top w:val="single" w:sz="4" w:space="0" w:color="B7B7B7"/>
              <w:left w:val="single" w:sz="4" w:space="0" w:color="B7B7B7"/>
              <w:bottom w:val="single" w:sz="4" w:space="0" w:color="B7B7B7"/>
              <w:right w:val="single" w:sz="4" w:space="0" w:color="B7B7B7"/>
            </w:tcBorders>
          </w:tcPr>
          <w:p w14:paraId="5A5559EF" w14:textId="77777777" w:rsidR="00355E5A" w:rsidRDefault="003C4050">
            <w:pPr>
              <w:spacing w:before="60" w:after="60" w:line="252" w:lineRule="auto"/>
              <w:jc w:val="center"/>
            </w:pPr>
            <w:r>
              <w:rPr>
                <w:b/>
                <w:sz w:val="21"/>
              </w:rPr>
              <w:t>GWSA</w:t>
            </w:r>
          </w:p>
        </w:tc>
      </w:tr>
      <w:tr w:rsidR="00355E5A" w14:paraId="4BFC941E" w14:textId="77777777">
        <w:tc>
          <w:tcPr>
            <w:tcW w:w="4536" w:type="dxa"/>
            <w:tcBorders>
              <w:top w:val="single" w:sz="4" w:space="0" w:color="B7B7B7"/>
              <w:left w:val="single" w:sz="4" w:space="0" w:color="B7B7B7"/>
              <w:bottom w:val="single" w:sz="4" w:space="0" w:color="B7B7B7"/>
              <w:right w:val="single" w:sz="4" w:space="0" w:color="B7B7B7"/>
            </w:tcBorders>
          </w:tcPr>
          <w:p w14:paraId="0ED00B84" w14:textId="77777777" w:rsidR="00355E5A" w:rsidRDefault="003C4050">
            <w:pPr>
              <w:spacing w:before="60" w:after="60" w:line="252" w:lineRule="auto"/>
            </w:pPr>
            <w:r>
              <w:rPr>
                <w:sz w:val="21"/>
              </w:rPr>
              <w:t>CSR-based</w:t>
            </w:r>
          </w:p>
        </w:tc>
        <w:tc>
          <w:tcPr>
            <w:tcW w:w="2160" w:type="dxa"/>
            <w:tcBorders>
              <w:top w:val="single" w:sz="4" w:space="0" w:color="B7B7B7"/>
              <w:left w:val="single" w:sz="4" w:space="0" w:color="B7B7B7"/>
              <w:bottom w:val="single" w:sz="4" w:space="0" w:color="B7B7B7"/>
              <w:right w:val="single" w:sz="4" w:space="0" w:color="B7B7B7"/>
            </w:tcBorders>
          </w:tcPr>
          <w:p w14:paraId="5E5679D4" w14:textId="77777777" w:rsidR="00355E5A" w:rsidRDefault="003C4050">
            <w:pPr>
              <w:spacing w:before="60" w:after="60" w:line="252" w:lineRule="auto"/>
              <w:jc w:val="center"/>
            </w:pPr>
            <w:r>
              <w:rPr>
                <w:sz w:val="21"/>
              </w:rPr>
              <w:t>-7.67</w:t>
            </w:r>
          </w:p>
        </w:tc>
        <w:tc>
          <w:tcPr>
            <w:tcW w:w="2160" w:type="dxa"/>
            <w:tcBorders>
              <w:top w:val="single" w:sz="4" w:space="0" w:color="B7B7B7"/>
              <w:left w:val="single" w:sz="4" w:space="0" w:color="B7B7B7"/>
              <w:bottom w:val="single" w:sz="4" w:space="0" w:color="B7B7B7"/>
              <w:right w:val="single" w:sz="4" w:space="0" w:color="B7B7B7"/>
            </w:tcBorders>
          </w:tcPr>
          <w:p w14:paraId="368CA0AB" w14:textId="77777777" w:rsidR="00355E5A" w:rsidRDefault="003C4050">
            <w:pPr>
              <w:spacing w:before="60" w:after="60" w:line="252" w:lineRule="auto"/>
              <w:jc w:val="center"/>
            </w:pPr>
            <w:r>
              <w:rPr>
                <w:sz w:val="21"/>
              </w:rPr>
              <w:t>-6.88</w:t>
            </w:r>
          </w:p>
        </w:tc>
      </w:tr>
      <w:tr w:rsidR="00355E5A" w14:paraId="103E5BC1" w14:textId="77777777">
        <w:tc>
          <w:tcPr>
            <w:tcW w:w="4536" w:type="dxa"/>
            <w:tcBorders>
              <w:top w:val="single" w:sz="4" w:space="0" w:color="B7B7B7"/>
              <w:left w:val="single" w:sz="4" w:space="0" w:color="B7B7B7"/>
              <w:bottom w:val="single" w:sz="4" w:space="0" w:color="B7B7B7"/>
              <w:right w:val="single" w:sz="4" w:space="0" w:color="B7B7B7"/>
            </w:tcBorders>
          </w:tcPr>
          <w:p w14:paraId="33CB0E21" w14:textId="77777777" w:rsidR="00355E5A" w:rsidRDefault="003C4050">
            <w:pPr>
              <w:spacing w:before="60" w:after="60" w:line="252" w:lineRule="auto"/>
            </w:pPr>
            <w:r>
              <w:rPr>
                <w:sz w:val="21"/>
              </w:rPr>
              <w:t>COST-G/G3P</w:t>
            </w:r>
          </w:p>
        </w:tc>
        <w:tc>
          <w:tcPr>
            <w:tcW w:w="2160" w:type="dxa"/>
            <w:tcBorders>
              <w:top w:val="single" w:sz="4" w:space="0" w:color="B7B7B7"/>
              <w:left w:val="single" w:sz="4" w:space="0" w:color="B7B7B7"/>
              <w:bottom w:val="single" w:sz="4" w:space="0" w:color="B7B7B7"/>
              <w:right w:val="single" w:sz="4" w:space="0" w:color="B7B7B7"/>
            </w:tcBorders>
          </w:tcPr>
          <w:p w14:paraId="0FE9C98E" w14:textId="77777777" w:rsidR="00355E5A" w:rsidRDefault="003C4050">
            <w:pPr>
              <w:spacing w:before="60" w:after="60" w:line="252" w:lineRule="auto"/>
              <w:jc w:val="center"/>
            </w:pPr>
            <w:r>
              <w:rPr>
                <w:sz w:val="21"/>
              </w:rPr>
              <w:t>-2.56</w:t>
            </w:r>
          </w:p>
        </w:tc>
        <w:tc>
          <w:tcPr>
            <w:tcW w:w="2160" w:type="dxa"/>
            <w:tcBorders>
              <w:top w:val="single" w:sz="4" w:space="0" w:color="B7B7B7"/>
              <w:left w:val="single" w:sz="4" w:space="0" w:color="B7B7B7"/>
              <w:bottom w:val="single" w:sz="4" w:space="0" w:color="B7B7B7"/>
              <w:right w:val="single" w:sz="4" w:space="0" w:color="B7B7B7"/>
            </w:tcBorders>
          </w:tcPr>
          <w:p w14:paraId="16E5FD98" w14:textId="77777777" w:rsidR="00355E5A" w:rsidRDefault="003C4050">
            <w:pPr>
              <w:spacing w:before="60" w:after="60" w:line="252" w:lineRule="auto"/>
              <w:jc w:val="center"/>
            </w:pPr>
            <w:r>
              <w:rPr>
                <w:sz w:val="21"/>
              </w:rPr>
              <w:t>-3.45</w:t>
            </w:r>
          </w:p>
        </w:tc>
      </w:tr>
      <w:tr w:rsidR="00355E5A" w14:paraId="3E0723E8" w14:textId="77777777">
        <w:tc>
          <w:tcPr>
            <w:tcW w:w="4536" w:type="dxa"/>
            <w:tcBorders>
              <w:top w:val="single" w:sz="4" w:space="0" w:color="B7B7B7"/>
              <w:left w:val="single" w:sz="4" w:space="0" w:color="B7B7B7"/>
              <w:bottom w:val="single" w:sz="4" w:space="0" w:color="B7B7B7"/>
              <w:right w:val="single" w:sz="4" w:space="0" w:color="B7B7B7"/>
            </w:tcBorders>
          </w:tcPr>
          <w:p w14:paraId="4352C30B" w14:textId="77777777" w:rsidR="00355E5A" w:rsidRDefault="003C4050">
            <w:pPr>
              <w:spacing w:before="60" w:after="60" w:line="252" w:lineRule="auto"/>
            </w:pPr>
            <w:r>
              <w:rPr>
                <w:sz w:val="21"/>
              </w:rPr>
              <w:t>Legacy unidentified</w:t>
            </w:r>
          </w:p>
        </w:tc>
        <w:tc>
          <w:tcPr>
            <w:tcW w:w="2160" w:type="dxa"/>
            <w:tcBorders>
              <w:top w:val="single" w:sz="4" w:space="0" w:color="B7B7B7"/>
              <w:left w:val="single" w:sz="4" w:space="0" w:color="B7B7B7"/>
              <w:bottom w:val="single" w:sz="4" w:space="0" w:color="B7B7B7"/>
              <w:right w:val="single" w:sz="4" w:space="0" w:color="B7B7B7"/>
            </w:tcBorders>
          </w:tcPr>
          <w:p w14:paraId="59116538" w14:textId="77777777" w:rsidR="00355E5A" w:rsidRDefault="003C4050">
            <w:pPr>
              <w:spacing w:before="60" w:after="60" w:line="252" w:lineRule="auto"/>
              <w:jc w:val="center"/>
            </w:pPr>
            <w:r>
              <w:rPr>
                <w:sz w:val="21"/>
              </w:rPr>
              <w:t>-7.68</w:t>
            </w:r>
          </w:p>
        </w:tc>
        <w:tc>
          <w:tcPr>
            <w:tcW w:w="2160" w:type="dxa"/>
            <w:tcBorders>
              <w:top w:val="single" w:sz="4" w:space="0" w:color="B7B7B7"/>
              <w:left w:val="single" w:sz="4" w:space="0" w:color="B7B7B7"/>
              <w:bottom w:val="single" w:sz="4" w:space="0" w:color="B7B7B7"/>
              <w:right w:val="single" w:sz="4" w:space="0" w:color="B7B7B7"/>
            </w:tcBorders>
          </w:tcPr>
          <w:p w14:paraId="0B650896" w14:textId="77777777" w:rsidR="00355E5A" w:rsidRDefault="003C4050">
            <w:pPr>
              <w:spacing w:before="60" w:after="60" w:line="252" w:lineRule="auto"/>
              <w:jc w:val="center"/>
            </w:pPr>
            <w:r>
              <w:rPr>
                <w:sz w:val="21"/>
              </w:rPr>
              <w:t>-6.86</w:t>
            </w:r>
          </w:p>
        </w:tc>
      </w:tr>
    </w:tbl>
    <w:p w14:paraId="32F944B6" w14:textId="77777777" w:rsidR="00355E5A" w:rsidRDefault="003C4050">
      <w:pPr>
        <w:pStyle w:val="Heading2"/>
        <w:pageBreakBefore/>
        <w:numPr>
          <w:ilvl w:val="1"/>
          <w:numId w:val="0"/>
        </w:numPr>
        <w:spacing w:after="160" w:line="240" w:lineRule="auto"/>
      </w:pPr>
      <w:bookmarkStart w:id="33" w:name="_Toc243829227"/>
      <w:r>
        <w:lastRenderedPageBreak/>
        <w:t>Spatial naturalized storage and climate reconstruction</w:t>
      </w:r>
      <w:bookmarkEnd w:id="33"/>
    </w:p>
    <w:p w14:paraId="1FCDD442" w14:textId="77777777" w:rsidR="00355E5A" w:rsidRDefault="003C4050">
      <w:pPr>
        <w:keepNext/>
        <w:spacing w:after="60"/>
        <w:jc w:val="center"/>
      </w:pPr>
      <w:r>
        <w:rPr>
          <w:noProof/>
        </w:rPr>
        <w:drawing>
          <wp:inline distT="0" distB="0" distL="0" distR="0" wp14:anchorId="212B09D3" wp14:editId="0B24A30C">
            <wp:extent cx="4776339" cy="5943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_climate_spatial.png"/>
                    <pic:cNvPicPr/>
                  </pic:nvPicPr>
                  <pic:blipFill>
                    <a:blip r:embed="rId19"/>
                    <a:stretch>
                      <a:fillRect/>
                    </a:stretch>
                  </pic:blipFill>
                  <pic:spPr>
                    <a:xfrm>
                      <a:off x="0" y="0"/>
                      <a:ext cx="4776339" cy="5943600"/>
                    </a:xfrm>
                    <a:prstGeom prst="rect">
                      <a:avLst/>
                    </a:prstGeom>
                  </pic:spPr>
                </pic:pic>
              </a:graphicData>
            </a:graphic>
          </wp:inline>
        </w:drawing>
      </w:r>
    </w:p>
    <w:p w14:paraId="3654AF29" w14:textId="77777777" w:rsidR="00355E5A" w:rsidRDefault="003C4050">
      <w:pPr>
        <w:pStyle w:val="Caption"/>
        <w:spacing w:after="140" w:line="276" w:lineRule="auto"/>
        <w:jc w:val="center"/>
      </w:pPr>
      <w:bookmarkStart w:id="34" w:name="Figure5_4"/>
      <w:r>
        <w:rPr>
          <w:rFonts w:ascii="Times New Roman" w:hAnsi="Times New Roman"/>
          <w:b/>
          <w:sz w:val="22"/>
        </w:rPr>
        <w:t xml:space="preserve">Figure 5.4 Spatial naturalized climate baseline and meteorological emulator </w:t>
      </w:r>
      <w:r>
        <w:rPr>
          <w:rFonts w:ascii="Times New Roman" w:hAnsi="Times New Roman"/>
          <w:b/>
          <w:sz w:val="22"/>
        </w:rPr>
        <w:t>trends for TWSA and GWSA.</w:t>
      </w:r>
      <w:bookmarkEnd w:id="34"/>
    </w:p>
    <w:p w14:paraId="69D080CC" w14:textId="77777777" w:rsidR="00355E5A" w:rsidRDefault="003C4050">
      <w:pPr>
        <w:spacing w:after="80" w:line="360" w:lineRule="auto"/>
        <w:jc w:val="both"/>
      </w:pPr>
      <w:r>
        <w:t>Calendar-month fixed-effect slopes. C is the naturalized WaterGAP baseline used in R=O−C; the statistical emulator reconstructs its parent-model target on its retained verification footprint. Emulator slopes use CSR-available date</w:t>
      </w:r>
      <w:r>
        <w:t>s through 2023, not a fit to GRACE. These columns are related model estimates, not independent observations.</w:t>
      </w:r>
    </w:p>
    <w:p w14:paraId="7EEA0831" w14:textId="77777777" w:rsidR="00355E5A" w:rsidRDefault="003C4050">
      <w:pPr>
        <w:keepNext/>
        <w:pageBreakBefore/>
        <w:spacing w:after="160"/>
      </w:pPr>
      <w:r>
        <w:rPr>
          <w:b/>
        </w:rPr>
        <w:lastRenderedPageBreak/>
        <w:t>TWSA climate reconstruction for all 22 basins</w:t>
      </w:r>
    </w:p>
    <w:p w14:paraId="73494A31" w14:textId="77777777" w:rsidR="00355E5A" w:rsidRDefault="003C4050">
      <w:pPr>
        <w:keepNext/>
        <w:spacing w:after="60"/>
        <w:jc w:val="center"/>
      </w:pPr>
      <w:r>
        <w:rPr>
          <w:noProof/>
        </w:rPr>
        <w:drawing>
          <wp:inline distT="0" distB="0" distL="0" distR="0" wp14:anchorId="178FAA1A" wp14:editId="7D7D5765">
            <wp:extent cx="5296978" cy="59435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_climate_TWSA_temporal.png"/>
                    <pic:cNvPicPr/>
                  </pic:nvPicPr>
                  <pic:blipFill>
                    <a:blip r:embed="rId20"/>
                    <a:stretch>
                      <a:fillRect/>
                    </a:stretch>
                  </pic:blipFill>
                  <pic:spPr>
                    <a:xfrm>
                      <a:off x="0" y="0"/>
                      <a:ext cx="5296978" cy="5943599"/>
                    </a:xfrm>
                    <a:prstGeom prst="rect">
                      <a:avLst/>
                    </a:prstGeom>
                  </pic:spPr>
                </pic:pic>
              </a:graphicData>
            </a:graphic>
          </wp:inline>
        </w:drawing>
      </w:r>
    </w:p>
    <w:p w14:paraId="5DB02685" w14:textId="77777777" w:rsidR="00355E5A" w:rsidRDefault="003C4050">
      <w:pPr>
        <w:pStyle w:val="Caption"/>
        <w:spacing w:after="140" w:line="276" w:lineRule="auto"/>
        <w:jc w:val="center"/>
      </w:pPr>
      <w:bookmarkStart w:id="35" w:name="Figure5_5"/>
      <w:r>
        <w:rPr>
          <w:rFonts w:ascii="Times New Roman" w:hAnsi="Times New Roman"/>
          <w:b/>
          <w:sz w:val="22"/>
        </w:rPr>
        <w:t>Figure 5.5 TWSA climate reconstruction for all 22 basins; shading marks held-out years.</w:t>
      </w:r>
      <w:bookmarkEnd w:id="35"/>
    </w:p>
    <w:p w14:paraId="49C2ABBC" w14:textId="77777777" w:rsidR="00355E5A" w:rsidRDefault="003C4050">
      <w:pPr>
        <w:spacing w:after="80" w:line="360" w:lineRule="auto"/>
        <w:jc w:val="both"/>
      </w:pPr>
      <w:r>
        <w:t>Naturalized</w:t>
      </w:r>
      <w:r>
        <w:t xml:space="preserve"> parent-model target and frozen meteorological ensemble reconstruction. Green shading identifies the held-out 2016–2023 period; earlier values are training or validation context. The emulator targets a hydrological model, not independently observed storage</w:t>
      </w:r>
      <w:r>
        <w:t>.</w:t>
      </w:r>
    </w:p>
    <w:p w14:paraId="4C4328F5" w14:textId="77777777" w:rsidR="00355E5A" w:rsidRDefault="003C4050">
      <w:pPr>
        <w:keepNext/>
        <w:pageBreakBefore/>
        <w:spacing w:after="160"/>
      </w:pPr>
      <w:r>
        <w:rPr>
          <w:b/>
        </w:rPr>
        <w:lastRenderedPageBreak/>
        <w:t>GWSA climate reconstruction for all 22 basins</w:t>
      </w:r>
    </w:p>
    <w:p w14:paraId="47871ACA" w14:textId="77777777" w:rsidR="00355E5A" w:rsidRDefault="003C4050">
      <w:pPr>
        <w:keepNext/>
        <w:spacing w:after="60"/>
        <w:jc w:val="center"/>
      </w:pPr>
      <w:r>
        <w:rPr>
          <w:noProof/>
        </w:rPr>
        <w:drawing>
          <wp:inline distT="0" distB="0" distL="0" distR="0" wp14:anchorId="4C8EC77C" wp14:editId="1C87BB63">
            <wp:extent cx="5296978" cy="59435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climate_GWSA_temporal.png"/>
                    <pic:cNvPicPr/>
                  </pic:nvPicPr>
                  <pic:blipFill>
                    <a:blip r:embed="rId21"/>
                    <a:stretch>
                      <a:fillRect/>
                    </a:stretch>
                  </pic:blipFill>
                  <pic:spPr>
                    <a:xfrm>
                      <a:off x="0" y="0"/>
                      <a:ext cx="5296978" cy="5943599"/>
                    </a:xfrm>
                    <a:prstGeom prst="rect">
                      <a:avLst/>
                    </a:prstGeom>
                  </pic:spPr>
                </pic:pic>
              </a:graphicData>
            </a:graphic>
          </wp:inline>
        </w:drawing>
      </w:r>
    </w:p>
    <w:p w14:paraId="251BA4C8" w14:textId="77777777" w:rsidR="00355E5A" w:rsidRDefault="003C4050">
      <w:pPr>
        <w:pStyle w:val="Caption"/>
        <w:spacing w:after="140" w:line="276" w:lineRule="auto"/>
        <w:jc w:val="center"/>
      </w:pPr>
      <w:bookmarkStart w:id="36" w:name="Figure5_6"/>
      <w:r>
        <w:rPr>
          <w:rFonts w:ascii="Times New Roman" w:hAnsi="Times New Roman"/>
          <w:b/>
          <w:sz w:val="22"/>
        </w:rPr>
        <w:t>Figure 5.6 GWSA climate reconstruction for all 22 basins; shading marks held-out years.</w:t>
      </w:r>
      <w:bookmarkEnd w:id="36"/>
    </w:p>
    <w:p w14:paraId="308D47A0" w14:textId="77777777" w:rsidR="00355E5A" w:rsidRDefault="003C4050">
      <w:pPr>
        <w:spacing w:after="80" w:line="360" w:lineRule="auto"/>
        <w:jc w:val="both"/>
      </w:pPr>
      <w:r>
        <w:t xml:space="preserve">Naturalized parent-model target and frozen meteorological ensemble reconstruction. Green shading identifies the </w:t>
      </w:r>
      <w:r>
        <w:t>held-out 2016–2023 period; earlier values are training or validation context. The emulator targets a hydrological model, not independently observed storage.</w:t>
      </w:r>
    </w:p>
    <w:p w14:paraId="37019D17" w14:textId="77777777" w:rsidR="00355E5A" w:rsidRDefault="003C4050">
      <w:pPr>
        <w:keepNext/>
        <w:pageBreakBefore/>
        <w:spacing w:after="160"/>
      </w:pPr>
      <w:r>
        <w:rPr>
          <w:b/>
        </w:rPr>
        <w:lastRenderedPageBreak/>
        <w:t>Spatial climate model evaluation</w:t>
      </w:r>
    </w:p>
    <w:p w14:paraId="53F45EA2" w14:textId="77777777" w:rsidR="00355E5A" w:rsidRDefault="003C4050">
      <w:pPr>
        <w:keepNext/>
        <w:spacing w:after="60"/>
        <w:jc w:val="center"/>
      </w:pPr>
      <w:r>
        <w:rPr>
          <w:noProof/>
        </w:rPr>
        <w:drawing>
          <wp:inline distT="0" distB="0" distL="0" distR="0" wp14:anchorId="1E2C888D" wp14:editId="2D7F5CEB">
            <wp:extent cx="5632704" cy="454547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3_climate_evaluation_spatial.png"/>
                    <pic:cNvPicPr/>
                  </pic:nvPicPr>
                  <pic:blipFill>
                    <a:blip r:embed="rId22"/>
                    <a:stretch>
                      <a:fillRect/>
                    </a:stretch>
                  </pic:blipFill>
                  <pic:spPr>
                    <a:xfrm>
                      <a:off x="0" y="0"/>
                      <a:ext cx="5632704" cy="4545473"/>
                    </a:xfrm>
                    <a:prstGeom prst="rect">
                      <a:avLst/>
                    </a:prstGeom>
                  </pic:spPr>
                </pic:pic>
              </a:graphicData>
            </a:graphic>
          </wp:inline>
        </w:drawing>
      </w:r>
    </w:p>
    <w:p w14:paraId="60DF608A" w14:textId="77777777" w:rsidR="00355E5A" w:rsidRDefault="003C4050">
      <w:pPr>
        <w:pStyle w:val="Caption"/>
        <w:spacing w:after="140" w:line="276" w:lineRule="auto"/>
        <w:jc w:val="center"/>
      </w:pPr>
      <w:bookmarkStart w:id="37" w:name="Figure5_7"/>
      <w:r>
        <w:rPr>
          <w:rFonts w:ascii="Times New Roman" w:hAnsi="Times New Roman"/>
          <w:b/>
          <w:sz w:val="22"/>
        </w:rPr>
        <w:t>Figure 5.7 Spatial held-out climate-model raw NSE, anomaly NSE a</w:t>
      </w:r>
      <w:r>
        <w:rPr>
          <w:rFonts w:ascii="Times New Roman" w:hAnsi="Times New Roman"/>
          <w:b/>
          <w:sz w:val="22"/>
        </w:rPr>
        <w:t>nd RMSE.</w:t>
      </w:r>
      <w:bookmarkEnd w:id="37"/>
    </w:p>
    <w:p w14:paraId="7487795A" w14:textId="77777777" w:rsidR="00355E5A" w:rsidRDefault="003C4050">
      <w:pPr>
        <w:spacing w:after="80" w:line="360" w:lineRule="auto"/>
        <w:jc w:val="both"/>
      </w:pPr>
      <w:r>
        <w:t xml:space="preserve">Frozen ensemble verification against naturalized parent storage during 2016–2023. Maps distinguish raw NSE, training-climatology-anomaly NSE and RMSE; NSE colours saturate below −1. High seasonal skill is not observational validation of a natural </w:t>
      </w:r>
      <w:r>
        <w:t>counterfactual.</w:t>
      </w:r>
    </w:p>
    <w:p w14:paraId="0C476F21" w14:textId="77777777" w:rsidR="00355E5A" w:rsidRDefault="003C4050">
      <w:pPr>
        <w:pStyle w:val="Heading2"/>
        <w:pageBreakBefore/>
        <w:numPr>
          <w:ilvl w:val="1"/>
          <w:numId w:val="0"/>
        </w:numPr>
        <w:spacing w:after="160" w:line="240" w:lineRule="auto"/>
      </w:pPr>
      <w:bookmarkStart w:id="38" w:name="_Toc243829228"/>
      <w:r>
        <w:lastRenderedPageBreak/>
        <w:t>Climate model evaluation through time</w:t>
      </w:r>
      <w:bookmarkEnd w:id="38"/>
    </w:p>
    <w:p w14:paraId="2B7EFB2A" w14:textId="77777777" w:rsidR="00355E5A" w:rsidRDefault="003C4050">
      <w:pPr>
        <w:keepNext/>
        <w:spacing w:after="60"/>
        <w:jc w:val="center"/>
      </w:pPr>
      <w:r>
        <w:rPr>
          <w:noProof/>
        </w:rPr>
        <w:drawing>
          <wp:inline distT="0" distB="0" distL="0" distR="0" wp14:anchorId="0A1C7918" wp14:editId="015E3968">
            <wp:extent cx="5632704" cy="38561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4_climate_evaluation_temporal.png"/>
                    <pic:cNvPicPr/>
                  </pic:nvPicPr>
                  <pic:blipFill>
                    <a:blip r:embed="rId23"/>
                    <a:stretch>
                      <a:fillRect/>
                    </a:stretch>
                  </pic:blipFill>
                  <pic:spPr>
                    <a:xfrm>
                      <a:off x="0" y="0"/>
                      <a:ext cx="5632704" cy="3856155"/>
                    </a:xfrm>
                    <a:prstGeom prst="rect">
                      <a:avLst/>
                    </a:prstGeom>
                  </pic:spPr>
                </pic:pic>
              </a:graphicData>
            </a:graphic>
          </wp:inline>
        </w:drawing>
      </w:r>
    </w:p>
    <w:p w14:paraId="41763A3F" w14:textId="77777777" w:rsidR="00355E5A" w:rsidRDefault="003C4050">
      <w:pPr>
        <w:pStyle w:val="Caption"/>
        <w:spacing w:after="140" w:line="276" w:lineRule="auto"/>
        <w:jc w:val="center"/>
      </w:pPr>
      <w:bookmarkStart w:id="39" w:name="Figure5_8"/>
      <w:r>
        <w:rPr>
          <w:rFonts w:ascii="Times New Roman" w:hAnsi="Times New Roman"/>
          <w:b/>
          <w:sz w:val="22"/>
        </w:rPr>
        <w:t>Figure 5.8 Climate-model anomaly NSE and RMSE by held-out year, with spatial interquartile variation.</w:t>
      </w:r>
      <w:bookmarkEnd w:id="39"/>
    </w:p>
    <w:p w14:paraId="6FA5615E" w14:textId="77777777" w:rsidR="00355E5A" w:rsidRDefault="003C4050">
      <w:pPr>
        <w:spacing w:after="80" w:line="360" w:lineRule="auto"/>
        <w:jc w:val="both"/>
      </w:pPr>
      <w:r>
        <w:t>Metrics are calculated separately for each held-out year using the training-climatology anomaly de</w:t>
      </w:r>
      <w:r>
        <w:t>finition. Shading is spatial interquartile variation, not a confidence interval. Annual scores use 12 modeled months and may be unstable when anomaly variance is small; pooled 96-month results remain primary. In 2022, national annual anomaly NSE is 0.243 f</w:t>
      </w:r>
      <w:r>
        <w:t>or TWSA and -1.067 for GWSA. Pooled verification therefore masks important year-specific behaviour; an annual negative score is retained rather than hidden by the strong full-test seasonal score.</w:t>
      </w:r>
    </w:p>
    <w:p w14:paraId="3695553A" w14:textId="77777777" w:rsidR="00355E5A" w:rsidRDefault="003C4050">
      <w:pPr>
        <w:keepNext/>
        <w:pageBreakBefore/>
        <w:spacing w:after="160"/>
      </w:pPr>
      <w:r>
        <w:rPr>
          <w:b/>
        </w:rPr>
        <w:lastRenderedPageBreak/>
        <w:t>Spatial residual and modeled human perturbation</w:t>
      </w:r>
    </w:p>
    <w:p w14:paraId="19F35223" w14:textId="77777777" w:rsidR="00355E5A" w:rsidRDefault="003C4050">
      <w:pPr>
        <w:keepNext/>
        <w:spacing w:after="60"/>
        <w:jc w:val="center"/>
      </w:pPr>
      <w:r>
        <w:rPr>
          <w:noProof/>
        </w:rPr>
        <w:drawing>
          <wp:inline distT="0" distB="0" distL="0" distR="0" wp14:anchorId="16CCFA4A" wp14:editId="50AAA281">
            <wp:extent cx="4750328" cy="5943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_residual_spatial.png"/>
                    <pic:cNvPicPr/>
                  </pic:nvPicPr>
                  <pic:blipFill>
                    <a:blip r:embed="rId24"/>
                    <a:stretch>
                      <a:fillRect/>
                    </a:stretch>
                  </pic:blipFill>
                  <pic:spPr>
                    <a:xfrm>
                      <a:off x="0" y="0"/>
                      <a:ext cx="4750328" cy="5943600"/>
                    </a:xfrm>
                    <a:prstGeom prst="rect">
                      <a:avLst/>
                    </a:prstGeom>
                  </pic:spPr>
                </pic:pic>
              </a:graphicData>
            </a:graphic>
          </wp:inline>
        </w:drawing>
      </w:r>
    </w:p>
    <w:p w14:paraId="26A2C7CE" w14:textId="77777777" w:rsidR="00355E5A" w:rsidRDefault="003C4050">
      <w:pPr>
        <w:pStyle w:val="Caption"/>
        <w:spacing w:after="140" w:line="276" w:lineRule="auto"/>
        <w:jc w:val="center"/>
      </w:pPr>
      <w:bookmarkStart w:id="40" w:name="Figure5_9"/>
      <w:r>
        <w:rPr>
          <w:rFonts w:ascii="Times New Roman" w:hAnsi="Times New Roman"/>
          <w:b/>
          <w:sz w:val="22"/>
        </w:rPr>
        <w:t>Figure 5.9</w:t>
      </w:r>
      <w:r>
        <w:rPr>
          <w:rFonts w:ascii="Times New Roman" w:hAnsi="Times New Roman"/>
          <w:b/>
          <w:sz w:val="22"/>
        </w:rPr>
        <w:t xml:space="preserve"> Spatial TWSA and GWSA residual trends and paired modeled direct-human perturbations.</w:t>
      </w:r>
      <w:bookmarkEnd w:id="40"/>
    </w:p>
    <w:p w14:paraId="4DD8016D" w14:textId="77777777" w:rsidR="00355E5A" w:rsidRDefault="003C4050">
      <w:pPr>
        <w:spacing w:after="80" w:line="360" w:lineRule="auto"/>
        <w:jc w:val="both"/>
      </w:pPr>
      <w:r>
        <w:t>Calendar-month fixed-effect slopes on the same observation-valid support. R includes the represented direct-human perturbation H and discrepancy E. Each panel has its own</w:t>
      </w:r>
      <w:r>
        <w:t xml:space="preserve"> labelled scale to keep small H visible; compare numerical scales before comparing colours. These slopes are not additive Sen-slope fractions.</w:t>
      </w:r>
    </w:p>
    <w:p w14:paraId="72BB9966" w14:textId="77777777" w:rsidR="00355E5A" w:rsidRDefault="003C4050">
      <w:pPr>
        <w:keepNext/>
        <w:pageBreakBefore/>
        <w:spacing w:after="160"/>
      </w:pPr>
      <w:r>
        <w:rPr>
          <w:b/>
        </w:rPr>
        <w:lastRenderedPageBreak/>
        <w:t>TWSA residual histories for all 22 basins</w:t>
      </w:r>
    </w:p>
    <w:p w14:paraId="21F8BFFD" w14:textId="77777777" w:rsidR="00355E5A" w:rsidRDefault="003C4050">
      <w:pPr>
        <w:keepNext/>
        <w:spacing w:after="60"/>
        <w:jc w:val="center"/>
      </w:pPr>
      <w:r>
        <w:rPr>
          <w:noProof/>
        </w:rPr>
        <w:drawing>
          <wp:inline distT="0" distB="0" distL="0" distR="0" wp14:anchorId="3D2907FE" wp14:editId="6A246440">
            <wp:extent cx="5296978" cy="59435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7_residual_TWSA_temporal.png"/>
                    <pic:cNvPicPr/>
                  </pic:nvPicPr>
                  <pic:blipFill>
                    <a:blip r:embed="rId25"/>
                    <a:stretch>
                      <a:fillRect/>
                    </a:stretch>
                  </pic:blipFill>
                  <pic:spPr>
                    <a:xfrm>
                      <a:off x="0" y="0"/>
                      <a:ext cx="5296978" cy="5943599"/>
                    </a:xfrm>
                    <a:prstGeom prst="rect">
                      <a:avLst/>
                    </a:prstGeom>
                  </pic:spPr>
                </pic:pic>
              </a:graphicData>
            </a:graphic>
          </wp:inline>
        </w:drawing>
      </w:r>
    </w:p>
    <w:p w14:paraId="5EEA0FF8" w14:textId="77777777" w:rsidR="00355E5A" w:rsidRDefault="003C4050">
      <w:pPr>
        <w:pStyle w:val="Caption"/>
        <w:spacing w:after="140" w:line="276" w:lineRule="auto"/>
        <w:jc w:val="center"/>
      </w:pPr>
      <w:bookmarkStart w:id="41" w:name="Figure5_10"/>
      <w:r>
        <w:rPr>
          <w:rFonts w:ascii="Times New Roman" w:hAnsi="Times New Roman"/>
          <w:b/>
          <w:sz w:val="22"/>
        </w:rPr>
        <w:t xml:space="preserve">Figure 5.10 TWSA residual and modeled human time series for all 22 </w:t>
      </w:r>
      <w:r>
        <w:rPr>
          <w:rFonts w:ascii="Times New Roman" w:hAnsi="Times New Roman"/>
          <w:b/>
          <w:sz w:val="22"/>
        </w:rPr>
        <w:t>basins.</w:t>
      </w:r>
      <w:bookmarkEnd w:id="41"/>
    </w:p>
    <w:p w14:paraId="54738CBC" w14:textId="77777777" w:rsidR="00355E5A" w:rsidRDefault="003C4050">
      <w:pPr>
        <w:spacing w:after="80" w:line="360" w:lineRule="auto"/>
        <w:jc w:val="both"/>
      </w:pPr>
      <w:r>
        <w:t>Observed-minus-naturalized residual R and paired modeled human perturbation H. Missing observed months are retained. R−H is unresolved observation–historical-model discrepancy; a negative R is not automatically measured pumping.</w:t>
      </w:r>
    </w:p>
    <w:p w14:paraId="6FEAFADC" w14:textId="77777777" w:rsidR="00355E5A" w:rsidRDefault="003C4050">
      <w:pPr>
        <w:pStyle w:val="Heading2"/>
        <w:pageBreakBefore/>
        <w:numPr>
          <w:ilvl w:val="1"/>
          <w:numId w:val="0"/>
        </w:numPr>
        <w:spacing w:after="160" w:line="240" w:lineRule="auto"/>
      </w:pPr>
      <w:bookmarkStart w:id="42" w:name="_Toc243829229"/>
      <w:r>
        <w:lastRenderedPageBreak/>
        <w:t>GWSA residual histo</w:t>
      </w:r>
      <w:r>
        <w:t>ries for all 22 basins</w:t>
      </w:r>
      <w:bookmarkEnd w:id="42"/>
    </w:p>
    <w:p w14:paraId="24A6BFB6" w14:textId="77777777" w:rsidR="00355E5A" w:rsidRDefault="003C4050">
      <w:pPr>
        <w:keepNext/>
        <w:spacing w:after="60"/>
        <w:jc w:val="center"/>
      </w:pPr>
      <w:r>
        <w:rPr>
          <w:noProof/>
        </w:rPr>
        <w:drawing>
          <wp:inline distT="0" distB="0" distL="0" distR="0" wp14:anchorId="1126E84F" wp14:editId="1CAAD83F">
            <wp:extent cx="5296978" cy="59435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_residual_GWSA_temporal.png"/>
                    <pic:cNvPicPr/>
                  </pic:nvPicPr>
                  <pic:blipFill>
                    <a:blip r:embed="rId26"/>
                    <a:stretch>
                      <a:fillRect/>
                    </a:stretch>
                  </pic:blipFill>
                  <pic:spPr>
                    <a:xfrm>
                      <a:off x="0" y="0"/>
                      <a:ext cx="5296978" cy="5943599"/>
                    </a:xfrm>
                    <a:prstGeom prst="rect">
                      <a:avLst/>
                    </a:prstGeom>
                  </pic:spPr>
                </pic:pic>
              </a:graphicData>
            </a:graphic>
          </wp:inline>
        </w:drawing>
      </w:r>
    </w:p>
    <w:p w14:paraId="2C157146" w14:textId="77777777" w:rsidR="00355E5A" w:rsidRDefault="003C4050">
      <w:pPr>
        <w:pStyle w:val="Caption"/>
        <w:spacing w:after="140" w:line="276" w:lineRule="auto"/>
        <w:jc w:val="center"/>
      </w:pPr>
      <w:bookmarkStart w:id="43" w:name="Figure5_11"/>
      <w:r>
        <w:rPr>
          <w:rFonts w:ascii="Times New Roman" w:hAnsi="Times New Roman"/>
          <w:b/>
          <w:sz w:val="22"/>
        </w:rPr>
        <w:t>Figure 5.11 GWSA residual and modeled human time series for all 22 basins.</w:t>
      </w:r>
      <w:bookmarkEnd w:id="43"/>
    </w:p>
    <w:p w14:paraId="4DA76132" w14:textId="77777777" w:rsidR="00355E5A" w:rsidRDefault="003C4050">
      <w:pPr>
        <w:spacing w:after="80" w:line="360" w:lineRule="auto"/>
        <w:jc w:val="both"/>
      </w:pPr>
      <w:r>
        <w:t>Observed-minus-naturalized residual R and paired modeled human perturbation H. Missing observed months are retained. R−H is unresolved observation–historica</w:t>
      </w:r>
      <w:r>
        <w:t>l-model discrepancy; a negative R is not automatically measured pumping.</w:t>
      </w:r>
    </w:p>
    <w:p w14:paraId="2948A20B" w14:textId="77777777" w:rsidR="00355E5A" w:rsidRDefault="003C4050">
      <w:pPr>
        <w:pStyle w:val="Heading2"/>
        <w:pageBreakBefore/>
        <w:numPr>
          <w:ilvl w:val="1"/>
          <w:numId w:val="0"/>
        </w:numPr>
        <w:spacing w:after="160" w:line="240" w:lineRule="auto"/>
      </w:pPr>
      <w:bookmarkStart w:id="44" w:name="_Toc243829230"/>
      <w:r>
        <w:lastRenderedPageBreak/>
        <w:t>Spatial GLDAS matched compartment comparison</w:t>
      </w:r>
      <w:bookmarkEnd w:id="44"/>
    </w:p>
    <w:p w14:paraId="627D4288" w14:textId="77777777" w:rsidR="00355E5A" w:rsidRDefault="003C4050">
      <w:pPr>
        <w:keepNext/>
        <w:spacing w:after="60"/>
        <w:jc w:val="center"/>
      </w:pPr>
      <w:r>
        <w:rPr>
          <w:noProof/>
        </w:rPr>
        <w:drawing>
          <wp:inline distT="0" distB="0" distL="0" distR="0" wp14:anchorId="6136AF8B" wp14:editId="09F94C5A">
            <wp:extent cx="5632704" cy="22475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_gldas_spatial.png"/>
                    <pic:cNvPicPr/>
                  </pic:nvPicPr>
                  <pic:blipFill>
                    <a:blip r:embed="rId27"/>
                    <a:stretch>
                      <a:fillRect/>
                    </a:stretch>
                  </pic:blipFill>
                  <pic:spPr>
                    <a:xfrm>
                      <a:off x="0" y="0"/>
                      <a:ext cx="5632704" cy="2247569"/>
                    </a:xfrm>
                    <a:prstGeom prst="rect">
                      <a:avLst/>
                    </a:prstGeom>
                  </pic:spPr>
                </pic:pic>
              </a:graphicData>
            </a:graphic>
          </wp:inline>
        </w:drawing>
      </w:r>
    </w:p>
    <w:p w14:paraId="7A6E40A2" w14:textId="77777777" w:rsidR="00355E5A" w:rsidRDefault="003C4050">
      <w:pPr>
        <w:pStyle w:val="Caption"/>
        <w:spacing w:after="140" w:line="276" w:lineRule="auto"/>
        <w:jc w:val="center"/>
      </w:pPr>
      <w:bookmarkStart w:id="45" w:name="Figure5_12"/>
      <w:r>
        <w:rPr>
          <w:rFonts w:ascii="Times New Roman" w:hAnsi="Times New Roman"/>
          <w:b/>
          <w:sz w:val="22"/>
        </w:rPr>
        <w:t>Figure 5.12 Spatial GLDAS and naturalized-model land-storage trends on matched compartment support.</w:t>
      </w:r>
      <w:bookmarkEnd w:id="45"/>
    </w:p>
    <w:p w14:paraId="72B26FE6" w14:textId="77777777" w:rsidR="00355E5A" w:rsidRDefault="003C4050">
      <w:pPr>
        <w:spacing w:after="80" w:line="360" w:lineRule="auto"/>
        <w:jc w:val="both"/>
      </w:pPr>
      <w:r>
        <w:t>Soil + canopy + snow only, common va</w:t>
      </w:r>
      <w:r>
        <w:t>lid-cell support and common 2004–2009 reference. The record extends through December 2023. Each panel has a labelled scale; groundwater and surface water are excluded. This is a cross-model benchmark, not independent full-TWS or residual validation.</w:t>
      </w:r>
    </w:p>
    <w:p w14:paraId="427BBDDF" w14:textId="77777777" w:rsidR="00355E5A" w:rsidRDefault="003C4050">
      <w:pPr>
        <w:keepNext/>
        <w:pageBreakBefore/>
        <w:spacing w:after="160"/>
      </w:pPr>
      <w:r>
        <w:rPr>
          <w:b/>
        </w:rPr>
        <w:lastRenderedPageBreak/>
        <w:t>Matche</w:t>
      </w:r>
      <w:r>
        <w:rPr>
          <w:b/>
        </w:rPr>
        <w:t>d GLDAS time series for all 22 basins</w:t>
      </w:r>
    </w:p>
    <w:p w14:paraId="202FDC78" w14:textId="77777777" w:rsidR="00355E5A" w:rsidRDefault="003C4050">
      <w:pPr>
        <w:keepNext/>
        <w:spacing w:after="60"/>
        <w:jc w:val="center"/>
      </w:pPr>
      <w:r>
        <w:rPr>
          <w:noProof/>
        </w:rPr>
        <w:drawing>
          <wp:inline distT="0" distB="0" distL="0" distR="0" wp14:anchorId="3BF2DEE7" wp14:editId="6F5E2552">
            <wp:extent cx="5296978" cy="59435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0_gldas_temporal_all_basins.png"/>
                    <pic:cNvPicPr/>
                  </pic:nvPicPr>
                  <pic:blipFill>
                    <a:blip r:embed="rId28"/>
                    <a:stretch>
                      <a:fillRect/>
                    </a:stretch>
                  </pic:blipFill>
                  <pic:spPr>
                    <a:xfrm>
                      <a:off x="0" y="0"/>
                      <a:ext cx="5296978" cy="5943599"/>
                    </a:xfrm>
                    <a:prstGeom prst="rect">
                      <a:avLst/>
                    </a:prstGeom>
                  </pic:spPr>
                </pic:pic>
              </a:graphicData>
            </a:graphic>
          </wp:inline>
        </w:drawing>
      </w:r>
    </w:p>
    <w:p w14:paraId="6729B3DE" w14:textId="77777777" w:rsidR="00355E5A" w:rsidRDefault="003C4050">
      <w:pPr>
        <w:pStyle w:val="Caption"/>
        <w:spacing w:after="140" w:line="276" w:lineRule="auto"/>
        <w:jc w:val="center"/>
      </w:pPr>
      <w:bookmarkStart w:id="46" w:name="Figure5_13"/>
      <w:r>
        <w:rPr>
          <w:rFonts w:ascii="Times New Roman" w:hAnsi="Times New Roman"/>
          <w:b/>
          <w:sz w:val="22"/>
        </w:rPr>
        <w:t>Figure 5.13 GLDAS and naturalized land-storage time series for all 22 basins.</w:t>
      </w:r>
      <w:bookmarkEnd w:id="46"/>
    </w:p>
    <w:p w14:paraId="45E64867" w14:textId="77777777" w:rsidR="00355E5A" w:rsidRDefault="003C4050">
      <w:pPr>
        <w:spacing w:after="80" w:line="360" w:lineRule="auto"/>
        <w:jc w:val="both"/>
      </w:pPr>
      <w:r>
        <w:t>Matched soil + canopy + snow anomalies in mm. GLDAS and WaterGAP share climatic influences. Agreement evaluates land-component consistency</w:t>
      </w:r>
      <w:r>
        <w:t>; it cannot validate groundwater or the entire human residual.</w:t>
      </w:r>
    </w:p>
    <w:p w14:paraId="2E7481D1" w14:textId="77777777" w:rsidR="00355E5A" w:rsidRDefault="003C4050">
      <w:pPr>
        <w:keepNext/>
        <w:pageBreakBefore/>
        <w:spacing w:after="160"/>
      </w:pPr>
      <w:r>
        <w:rPr>
          <w:b/>
        </w:rPr>
        <w:lastRenderedPageBreak/>
        <w:t>Spatial GLDAS and residual comparisons</w:t>
      </w:r>
    </w:p>
    <w:p w14:paraId="46A50611" w14:textId="77777777" w:rsidR="00355E5A" w:rsidRDefault="003C4050">
      <w:pPr>
        <w:keepNext/>
        <w:spacing w:after="60"/>
        <w:jc w:val="center"/>
      </w:pPr>
      <w:r>
        <w:rPr>
          <w:noProof/>
        </w:rPr>
        <w:drawing>
          <wp:inline distT="0" distB="0" distL="0" distR="0" wp14:anchorId="09CAC017" wp14:editId="4237EB3A">
            <wp:extent cx="5632704" cy="450813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1_gldas_residual_spatial.png"/>
                    <pic:cNvPicPr/>
                  </pic:nvPicPr>
                  <pic:blipFill>
                    <a:blip r:embed="rId29"/>
                    <a:stretch>
                      <a:fillRect/>
                    </a:stretch>
                  </pic:blipFill>
                  <pic:spPr>
                    <a:xfrm>
                      <a:off x="0" y="0"/>
                      <a:ext cx="5632704" cy="4508136"/>
                    </a:xfrm>
                    <a:prstGeom prst="rect">
                      <a:avLst/>
                    </a:prstGeom>
                  </pic:spPr>
                </pic:pic>
              </a:graphicData>
            </a:graphic>
          </wp:inline>
        </w:drawing>
      </w:r>
    </w:p>
    <w:p w14:paraId="43E69D88" w14:textId="77777777" w:rsidR="00355E5A" w:rsidRDefault="003C4050">
      <w:pPr>
        <w:pStyle w:val="Caption"/>
        <w:spacing w:after="140" w:line="276" w:lineRule="auto"/>
        <w:jc w:val="center"/>
      </w:pPr>
      <w:bookmarkStart w:id="47" w:name="Figure5_14"/>
      <w:r>
        <w:rPr>
          <w:rFonts w:ascii="Times New Roman" w:hAnsi="Times New Roman"/>
          <w:b/>
          <w:sz w:val="22"/>
        </w:rPr>
        <w:t>Figure 5.14 Spatial standardized trends and dependence between GLDAS land storage and residuals.</w:t>
      </w:r>
      <w:bookmarkEnd w:id="47"/>
    </w:p>
    <w:p w14:paraId="01363EB4" w14:textId="77777777" w:rsidR="00355E5A" w:rsidRDefault="003C4050">
      <w:pPr>
        <w:spacing w:after="80" w:line="360" w:lineRule="auto"/>
        <w:jc w:val="both"/>
      </w:pPr>
      <w:r>
        <w:t>Top: slopes of separately standardized series on identi</w:t>
      </w:r>
      <w:r>
        <w:t>cal joint months; scale saturates at ±0.2 SD/year. Bottom: descriptive correlations, with the matched land-component correlation for context. GLDAS land storage and residual storage are different quantities. No cross-compartment NSE, RMSE or claim of human</w:t>
      </w:r>
      <w:r>
        <w:t xml:space="preserve"> validation is made. GLDAS also contributes to GWS subtraction.</w:t>
      </w:r>
    </w:p>
    <w:p w14:paraId="19104022" w14:textId="77777777" w:rsidR="00355E5A" w:rsidRDefault="003C4050">
      <w:pPr>
        <w:pStyle w:val="Heading2"/>
        <w:pageBreakBefore/>
        <w:numPr>
          <w:ilvl w:val="1"/>
          <w:numId w:val="0"/>
        </w:numPr>
        <w:spacing w:after="160" w:line="240" w:lineRule="auto"/>
      </w:pPr>
      <w:bookmarkStart w:id="48" w:name="_Toc243829231"/>
      <w:r>
        <w:lastRenderedPageBreak/>
        <w:t>GLDAS and residual histories for all 22 basins</w:t>
      </w:r>
      <w:bookmarkEnd w:id="48"/>
    </w:p>
    <w:p w14:paraId="1F79096F" w14:textId="77777777" w:rsidR="00355E5A" w:rsidRDefault="003C4050">
      <w:pPr>
        <w:keepNext/>
        <w:spacing w:after="60"/>
        <w:jc w:val="center"/>
      </w:pPr>
      <w:r>
        <w:rPr>
          <w:noProof/>
        </w:rPr>
        <w:drawing>
          <wp:inline distT="0" distB="0" distL="0" distR="0" wp14:anchorId="7647E4BC" wp14:editId="3F1F0A3E">
            <wp:extent cx="5296978" cy="59435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2_gldas_residual_temporal.png"/>
                    <pic:cNvPicPr/>
                  </pic:nvPicPr>
                  <pic:blipFill>
                    <a:blip r:embed="rId30"/>
                    <a:stretch>
                      <a:fillRect/>
                    </a:stretch>
                  </pic:blipFill>
                  <pic:spPr>
                    <a:xfrm>
                      <a:off x="0" y="0"/>
                      <a:ext cx="5296978" cy="5943599"/>
                    </a:xfrm>
                    <a:prstGeom prst="rect">
                      <a:avLst/>
                    </a:prstGeom>
                  </pic:spPr>
                </pic:pic>
              </a:graphicData>
            </a:graphic>
          </wp:inline>
        </w:drawing>
      </w:r>
    </w:p>
    <w:p w14:paraId="016BA555" w14:textId="77777777" w:rsidR="00355E5A" w:rsidRDefault="003C4050">
      <w:pPr>
        <w:pStyle w:val="Caption"/>
        <w:spacing w:after="140" w:line="276" w:lineRule="auto"/>
        <w:jc w:val="center"/>
      </w:pPr>
      <w:bookmarkStart w:id="49" w:name="Figure5_15"/>
      <w:r>
        <w:rPr>
          <w:rFonts w:ascii="Times New Roman" w:hAnsi="Times New Roman"/>
          <w:b/>
          <w:sz w:val="22"/>
        </w:rPr>
        <w:t>Figure 5.15 GLDAS land storage and both residual histories for all 22 basins, standardized on common months.</w:t>
      </w:r>
      <w:bookmarkEnd w:id="49"/>
    </w:p>
    <w:p w14:paraId="19B259FA" w14:textId="77777777" w:rsidR="00355E5A" w:rsidRDefault="003C4050">
      <w:pPr>
        <w:spacing w:after="80" w:line="360" w:lineRule="auto"/>
        <w:jc w:val="both"/>
      </w:pPr>
      <w:r>
        <w:t>Each variable is standardized on t</w:t>
      </w:r>
      <w:r>
        <w:t>he same jointly observed months within each basin. Different compartments are compared in timing and shape, not treated as equivalent water volumes. Missing months remain gaps. This is a dependence diagnostic, not independent anthropogenic validation.</w:t>
      </w:r>
    </w:p>
    <w:p w14:paraId="6A328E78" w14:textId="77777777" w:rsidR="00355E5A" w:rsidRDefault="003C4050">
      <w:pPr>
        <w:pStyle w:val="Heading2"/>
        <w:pageBreakBefore/>
        <w:numPr>
          <w:ilvl w:val="1"/>
          <w:numId w:val="0"/>
        </w:numPr>
        <w:spacing w:after="160" w:line="240" w:lineRule="auto"/>
      </w:pPr>
      <w:bookmarkStart w:id="50" w:name="_Toc243829232"/>
      <w:r>
        <w:lastRenderedPageBreak/>
        <w:t>Spat</w:t>
      </w:r>
      <w:r>
        <w:t>ial evaluation of residual agreement with groundwater</w:t>
      </w:r>
      <w:bookmarkEnd w:id="50"/>
    </w:p>
    <w:p w14:paraId="30907998" w14:textId="77777777" w:rsidR="00355E5A" w:rsidRDefault="003C4050">
      <w:pPr>
        <w:keepNext/>
        <w:spacing w:after="60"/>
        <w:jc w:val="center"/>
      </w:pPr>
      <w:r>
        <w:rPr>
          <w:noProof/>
        </w:rPr>
        <w:drawing>
          <wp:inline distT="0" distB="0" distL="0" distR="0" wp14:anchorId="24D8AF70" wp14:editId="27CF1708">
            <wp:extent cx="5632704" cy="457422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5_residual_validation_spatial.png"/>
                    <pic:cNvPicPr/>
                  </pic:nvPicPr>
                  <pic:blipFill>
                    <a:blip r:embed="rId31"/>
                    <a:stretch>
                      <a:fillRect/>
                    </a:stretch>
                  </pic:blipFill>
                  <pic:spPr>
                    <a:xfrm>
                      <a:off x="0" y="0"/>
                      <a:ext cx="5632704" cy="4574226"/>
                    </a:xfrm>
                    <a:prstGeom prst="rect">
                      <a:avLst/>
                    </a:prstGeom>
                  </pic:spPr>
                </pic:pic>
              </a:graphicData>
            </a:graphic>
          </wp:inline>
        </w:drawing>
      </w:r>
    </w:p>
    <w:p w14:paraId="31959A8E" w14:textId="77777777" w:rsidR="00355E5A" w:rsidRDefault="003C4050">
      <w:pPr>
        <w:pStyle w:val="Caption"/>
        <w:spacing w:after="140" w:line="276" w:lineRule="auto"/>
        <w:jc w:val="center"/>
      </w:pPr>
      <w:bookmarkStart w:id="51" w:name="Figure5_16"/>
      <w:r>
        <w:rPr>
          <w:rFonts w:ascii="Times New Roman" w:hAnsi="Times New Roman"/>
          <w:b/>
          <w:sz w:val="22"/>
        </w:rPr>
        <w:t>Figure 5.16 Spatial raw and detrended residual–head correlations and observed annual support.</w:t>
      </w:r>
      <w:bookmarkEnd w:id="51"/>
    </w:p>
    <w:p w14:paraId="5357075C" w14:textId="77777777" w:rsidR="00355E5A" w:rsidRDefault="003C4050">
      <w:pPr>
        <w:spacing w:after="80" w:line="360" w:lineRule="auto"/>
        <w:jc w:val="both"/>
      </w:pPr>
      <w:r>
        <w:t xml:space="preserve">Observed annual heads compared separately with TWS and GWS residuals. Hatching marks </w:t>
      </w:r>
      <w:r>
        <w:t xml:space="preserve">unavailable correlations or fewer than eight matched years. Support maps expose small samples. Heads and equivalent water depth are not commensurate volumes, so head–storage NSE and RMSE are not calculated. Raw association is indirect groundwater evidence </w:t>
      </w:r>
      <w:r>
        <w:t>for TWS, not total-human validation.</w:t>
      </w:r>
    </w:p>
    <w:p w14:paraId="4CC24317" w14:textId="77777777" w:rsidR="00355E5A" w:rsidRDefault="003C4050">
      <w:pPr>
        <w:pStyle w:val="Caption"/>
        <w:keepNext/>
        <w:spacing w:after="140" w:line="276" w:lineRule="auto"/>
        <w:jc w:val="center"/>
      </w:pPr>
      <w:bookmarkStart w:id="52" w:name="Table5_2"/>
      <w:r>
        <w:rPr>
          <w:rFonts w:ascii="Times New Roman" w:hAnsi="Times New Roman"/>
          <w:b/>
          <w:sz w:val="22"/>
        </w:rPr>
        <w:t>Table 5.2 National GWS residual and head comparisons</w:t>
      </w:r>
      <w:bookmarkEnd w:id="52"/>
    </w:p>
    <w:tbl>
      <w:tblPr>
        <w:tblW w:w="0" w:type="auto"/>
        <w:tblLayout w:type="fixed"/>
        <w:tblLook w:val="04A0" w:firstRow="1" w:lastRow="0" w:firstColumn="1" w:lastColumn="0" w:noHBand="0" w:noVBand="1"/>
      </w:tblPr>
      <w:tblGrid>
        <w:gridCol w:w="4824"/>
        <w:gridCol w:w="1872"/>
        <w:gridCol w:w="2160"/>
      </w:tblGrid>
      <w:tr w:rsidR="00355E5A" w14:paraId="5002E8FA" w14:textId="77777777">
        <w:trPr>
          <w:tblHeader/>
        </w:trPr>
        <w:tc>
          <w:tcPr>
            <w:tcW w:w="4824" w:type="dxa"/>
            <w:tcBorders>
              <w:top w:val="single" w:sz="4" w:space="0" w:color="B7B7B7"/>
              <w:left w:val="single" w:sz="4" w:space="0" w:color="B7B7B7"/>
              <w:bottom w:val="single" w:sz="4" w:space="0" w:color="B7B7B7"/>
              <w:right w:val="single" w:sz="4" w:space="0" w:color="B7B7B7"/>
            </w:tcBorders>
          </w:tcPr>
          <w:p w14:paraId="5394AE0F" w14:textId="77777777" w:rsidR="00355E5A" w:rsidRDefault="003C4050">
            <w:pPr>
              <w:spacing w:before="60" w:after="60" w:line="252" w:lineRule="auto"/>
            </w:pPr>
            <w:r>
              <w:rPr>
                <w:b/>
                <w:sz w:val="21"/>
              </w:rPr>
              <w:t>Panel</w:t>
            </w:r>
          </w:p>
        </w:tc>
        <w:tc>
          <w:tcPr>
            <w:tcW w:w="1872" w:type="dxa"/>
            <w:tcBorders>
              <w:top w:val="single" w:sz="4" w:space="0" w:color="B7B7B7"/>
              <w:left w:val="single" w:sz="4" w:space="0" w:color="B7B7B7"/>
              <w:bottom w:val="single" w:sz="4" w:space="0" w:color="B7B7B7"/>
              <w:right w:val="single" w:sz="4" w:space="0" w:color="B7B7B7"/>
            </w:tcBorders>
          </w:tcPr>
          <w:p w14:paraId="09E65416" w14:textId="77777777" w:rsidR="00355E5A" w:rsidRDefault="003C4050">
            <w:pPr>
              <w:spacing w:before="60" w:after="60" w:line="252" w:lineRule="auto"/>
              <w:jc w:val="center"/>
            </w:pPr>
            <w:r>
              <w:rPr>
                <w:b/>
                <w:sz w:val="21"/>
              </w:rPr>
              <w:t>Years</w:t>
            </w:r>
          </w:p>
        </w:tc>
        <w:tc>
          <w:tcPr>
            <w:tcW w:w="2160" w:type="dxa"/>
            <w:tcBorders>
              <w:top w:val="single" w:sz="4" w:space="0" w:color="B7B7B7"/>
              <w:left w:val="single" w:sz="4" w:space="0" w:color="B7B7B7"/>
              <w:bottom w:val="single" w:sz="4" w:space="0" w:color="B7B7B7"/>
              <w:right w:val="single" w:sz="4" w:space="0" w:color="B7B7B7"/>
            </w:tcBorders>
          </w:tcPr>
          <w:p w14:paraId="64349347" w14:textId="77777777" w:rsidR="00355E5A" w:rsidRDefault="003C4050">
            <w:pPr>
              <w:spacing w:before="60" w:after="60" w:line="252" w:lineRule="auto"/>
              <w:jc w:val="center"/>
            </w:pPr>
            <w:r>
              <w:rPr>
                <w:b/>
                <w:sz w:val="21"/>
              </w:rPr>
              <w:t>Raw r</w:t>
            </w:r>
          </w:p>
        </w:tc>
      </w:tr>
      <w:tr w:rsidR="00355E5A" w14:paraId="325EF05C" w14:textId="77777777">
        <w:tc>
          <w:tcPr>
            <w:tcW w:w="4824" w:type="dxa"/>
            <w:tcBorders>
              <w:top w:val="single" w:sz="4" w:space="0" w:color="B7B7B7"/>
              <w:left w:val="single" w:sz="4" w:space="0" w:color="B7B7B7"/>
              <w:bottom w:val="single" w:sz="4" w:space="0" w:color="B7B7B7"/>
              <w:right w:val="single" w:sz="4" w:space="0" w:color="B7B7B7"/>
            </w:tcBorders>
          </w:tcPr>
          <w:p w14:paraId="1AB0A506" w14:textId="77777777" w:rsidR="00355E5A" w:rsidRDefault="003C4050">
            <w:pPr>
              <w:spacing w:before="60" w:after="60" w:line="252" w:lineRule="auto"/>
            </w:pPr>
            <w:r>
              <w:rPr>
                <w:sz w:val="21"/>
              </w:rPr>
              <w:t>All overlap</w:t>
            </w:r>
          </w:p>
        </w:tc>
        <w:tc>
          <w:tcPr>
            <w:tcW w:w="1872" w:type="dxa"/>
            <w:tcBorders>
              <w:top w:val="single" w:sz="4" w:space="0" w:color="B7B7B7"/>
              <w:left w:val="single" w:sz="4" w:space="0" w:color="B7B7B7"/>
              <w:bottom w:val="single" w:sz="4" w:space="0" w:color="B7B7B7"/>
              <w:right w:val="single" w:sz="4" w:space="0" w:color="B7B7B7"/>
            </w:tcBorders>
          </w:tcPr>
          <w:p w14:paraId="05B7A7BB" w14:textId="77777777" w:rsidR="00355E5A" w:rsidRDefault="003C4050">
            <w:pPr>
              <w:spacing w:before="60" w:after="60" w:line="252" w:lineRule="auto"/>
              <w:jc w:val="center"/>
            </w:pPr>
            <w:r>
              <w:rPr>
                <w:sz w:val="21"/>
              </w:rPr>
              <w:t>17</w:t>
            </w:r>
          </w:p>
        </w:tc>
        <w:tc>
          <w:tcPr>
            <w:tcW w:w="2160" w:type="dxa"/>
            <w:tcBorders>
              <w:top w:val="single" w:sz="4" w:space="0" w:color="B7B7B7"/>
              <w:left w:val="single" w:sz="4" w:space="0" w:color="B7B7B7"/>
              <w:bottom w:val="single" w:sz="4" w:space="0" w:color="B7B7B7"/>
              <w:right w:val="single" w:sz="4" w:space="0" w:color="B7B7B7"/>
            </w:tcBorders>
          </w:tcPr>
          <w:p w14:paraId="71AA6E86" w14:textId="77777777" w:rsidR="00355E5A" w:rsidRDefault="003C4050">
            <w:pPr>
              <w:spacing w:before="60" w:after="60" w:line="252" w:lineRule="auto"/>
              <w:jc w:val="center"/>
            </w:pPr>
            <w:r>
              <w:rPr>
                <w:sz w:val="21"/>
              </w:rPr>
              <w:t>0.037</w:t>
            </w:r>
          </w:p>
        </w:tc>
      </w:tr>
      <w:tr w:rsidR="00355E5A" w14:paraId="536F9EC8" w14:textId="77777777">
        <w:tc>
          <w:tcPr>
            <w:tcW w:w="4824" w:type="dxa"/>
            <w:tcBorders>
              <w:top w:val="single" w:sz="4" w:space="0" w:color="B7B7B7"/>
              <w:left w:val="single" w:sz="4" w:space="0" w:color="B7B7B7"/>
              <w:bottom w:val="single" w:sz="4" w:space="0" w:color="B7B7B7"/>
              <w:right w:val="single" w:sz="4" w:space="0" w:color="B7B7B7"/>
            </w:tcBorders>
          </w:tcPr>
          <w:p w14:paraId="7F37BFA0" w14:textId="77777777" w:rsidR="00355E5A" w:rsidRDefault="003C4050">
            <w:pPr>
              <w:spacing w:before="60" w:after="60" w:line="252" w:lineRule="auto"/>
            </w:pPr>
            <w:r>
              <w:rPr>
                <w:sz w:val="21"/>
              </w:rPr>
              <w:t>Fixed eligibility</w:t>
            </w:r>
          </w:p>
        </w:tc>
        <w:tc>
          <w:tcPr>
            <w:tcW w:w="1872" w:type="dxa"/>
            <w:tcBorders>
              <w:top w:val="single" w:sz="4" w:space="0" w:color="B7B7B7"/>
              <w:left w:val="single" w:sz="4" w:space="0" w:color="B7B7B7"/>
              <w:bottom w:val="single" w:sz="4" w:space="0" w:color="B7B7B7"/>
              <w:right w:val="single" w:sz="4" w:space="0" w:color="B7B7B7"/>
            </w:tcBorders>
          </w:tcPr>
          <w:p w14:paraId="18BF64E6" w14:textId="77777777" w:rsidR="00355E5A" w:rsidRDefault="003C4050">
            <w:pPr>
              <w:spacing w:before="60" w:after="60" w:line="252" w:lineRule="auto"/>
              <w:jc w:val="center"/>
            </w:pPr>
            <w:r>
              <w:rPr>
                <w:sz w:val="21"/>
              </w:rPr>
              <w:t>17</w:t>
            </w:r>
          </w:p>
        </w:tc>
        <w:tc>
          <w:tcPr>
            <w:tcW w:w="2160" w:type="dxa"/>
            <w:tcBorders>
              <w:top w:val="single" w:sz="4" w:space="0" w:color="B7B7B7"/>
              <w:left w:val="single" w:sz="4" w:space="0" w:color="B7B7B7"/>
              <w:bottom w:val="single" w:sz="4" w:space="0" w:color="B7B7B7"/>
              <w:right w:val="single" w:sz="4" w:space="0" w:color="B7B7B7"/>
            </w:tcBorders>
          </w:tcPr>
          <w:p w14:paraId="018E8421" w14:textId="77777777" w:rsidR="00355E5A" w:rsidRDefault="003C4050">
            <w:pPr>
              <w:spacing w:before="60" w:after="60" w:line="252" w:lineRule="auto"/>
              <w:jc w:val="center"/>
            </w:pPr>
            <w:r>
              <w:rPr>
                <w:sz w:val="21"/>
              </w:rPr>
              <w:t>0.511</w:t>
            </w:r>
          </w:p>
        </w:tc>
      </w:tr>
      <w:tr w:rsidR="00355E5A" w14:paraId="76435E30" w14:textId="77777777">
        <w:tc>
          <w:tcPr>
            <w:tcW w:w="4824" w:type="dxa"/>
            <w:tcBorders>
              <w:top w:val="single" w:sz="4" w:space="0" w:color="B7B7B7"/>
              <w:left w:val="single" w:sz="4" w:space="0" w:color="B7B7B7"/>
              <w:bottom w:val="single" w:sz="4" w:space="0" w:color="B7B7B7"/>
              <w:right w:val="single" w:sz="4" w:space="0" w:color="B7B7B7"/>
            </w:tcBorders>
          </w:tcPr>
          <w:p w14:paraId="7C2B52B8" w14:textId="77777777" w:rsidR="00355E5A" w:rsidRDefault="003C4050">
            <w:pPr>
              <w:spacing w:before="60" w:after="60" w:line="252" w:lineRule="auto"/>
            </w:pPr>
            <w:r>
              <w:rPr>
                <w:sz w:val="21"/>
              </w:rPr>
              <w:t>All wells common period</w:t>
            </w:r>
          </w:p>
        </w:tc>
        <w:tc>
          <w:tcPr>
            <w:tcW w:w="1872" w:type="dxa"/>
            <w:tcBorders>
              <w:top w:val="single" w:sz="4" w:space="0" w:color="B7B7B7"/>
              <w:left w:val="single" w:sz="4" w:space="0" w:color="B7B7B7"/>
              <w:bottom w:val="single" w:sz="4" w:space="0" w:color="B7B7B7"/>
              <w:right w:val="single" w:sz="4" w:space="0" w:color="B7B7B7"/>
            </w:tcBorders>
          </w:tcPr>
          <w:p w14:paraId="25115003" w14:textId="77777777" w:rsidR="00355E5A" w:rsidRDefault="003C4050">
            <w:pPr>
              <w:spacing w:before="60" w:after="60" w:line="252" w:lineRule="auto"/>
              <w:jc w:val="center"/>
            </w:pPr>
            <w:r>
              <w:rPr>
                <w:sz w:val="21"/>
              </w:rPr>
              <w:t>8</w:t>
            </w:r>
          </w:p>
        </w:tc>
        <w:tc>
          <w:tcPr>
            <w:tcW w:w="2160" w:type="dxa"/>
            <w:tcBorders>
              <w:top w:val="single" w:sz="4" w:space="0" w:color="B7B7B7"/>
              <w:left w:val="single" w:sz="4" w:space="0" w:color="B7B7B7"/>
              <w:bottom w:val="single" w:sz="4" w:space="0" w:color="B7B7B7"/>
              <w:right w:val="single" w:sz="4" w:space="0" w:color="B7B7B7"/>
            </w:tcBorders>
          </w:tcPr>
          <w:p w14:paraId="24373D9C" w14:textId="77777777" w:rsidR="00355E5A" w:rsidRDefault="003C4050">
            <w:pPr>
              <w:spacing w:before="60" w:after="60" w:line="252" w:lineRule="auto"/>
              <w:jc w:val="center"/>
            </w:pPr>
            <w:r>
              <w:rPr>
                <w:sz w:val="21"/>
              </w:rPr>
              <w:t>0.029</w:t>
            </w:r>
          </w:p>
        </w:tc>
      </w:tr>
      <w:tr w:rsidR="00355E5A" w14:paraId="5BECF056" w14:textId="77777777">
        <w:tc>
          <w:tcPr>
            <w:tcW w:w="4824" w:type="dxa"/>
            <w:tcBorders>
              <w:top w:val="single" w:sz="4" w:space="0" w:color="B7B7B7"/>
              <w:left w:val="single" w:sz="4" w:space="0" w:color="B7B7B7"/>
              <w:bottom w:val="single" w:sz="4" w:space="0" w:color="B7B7B7"/>
              <w:right w:val="single" w:sz="4" w:space="0" w:color="B7B7B7"/>
            </w:tcBorders>
          </w:tcPr>
          <w:p w14:paraId="11815372" w14:textId="77777777" w:rsidR="00355E5A" w:rsidRDefault="003C4050">
            <w:pPr>
              <w:spacing w:before="60" w:after="60" w:line="252" w:lineRule="auto"/>
            </w:pPr>
            <w:r>
              <w:rPr>
                <w:sz w:val="21"/>
              </w:rPr>
              <w:t>Strict balanced</w:t>
            </w:r>
          </w:p>
        </w:tc>
        <w:tc>
          <w:tcPr>
            <w:tcW w:w="1872" w:type="dxa"/>
            <w:tcBorders>
              <w:top w:val="single" w:sz="4" w:space="0" w:color="B7B7B7"/>
              <w:left w:val="single" w:sz="4" w:space="0" w:color="B7B7B7"/>
              <w:bottom w:val="single" w:sz="4" w:space="0" w:color="B7B7B7"/>
              <w:right w:val="single" w:sz="4" w:space="0" w:color="B7B7B7"/>
            </w:tcBorders>
          </w:tcPr>
          <w:p w14:paraId="296B0792" w14:textId="77777777" w:rsidR="00355E5A" w:rsidRDefault="003C4050">
            <w:pPr>
              <w:spacing w:before="60" w:after="60" w:line="252" w:lineRule="auto"/>
              <w:jc w:val="center"/>
            </w:pPr>
            <w:r>
              <w:rPr>
                <w:sz w:val="21"/>
              </w:rPr>
              <w:t>8</w:t>
            </w:r>
          </w:p>
        </w:tc>
        <w:tc>
          <w:tcPr>
            <w:tcW w:w="2160" w:type="dxa"/>
            <w:tcBorders>
              <w:top w:val="single" w:sz="4" w:space="0" w:color="B7B7B7"/>
              <w:left w:val="single" w:sz="4" w:space="0" w:color="B7B7B7"/>
              <w:bottom w:val="single" w:sz="4" w:space="0" w:color="B7B7B7"/>
              <w:right w:val="single" w:sz="4" w:space="0" w:color="B7B7B7"/>
            </w:tcBorders>
          </w:tcPr>
          <w:p w14:paraId="0A0E26A3" w14:textId="77777777" w:rsidR="00355E5A" w:rsidRDefault="003C4050">
            <w:pPr>
              <w:spacing w:before="60" w:after="60" w:line="252" w:lineRule="auto"/>
              <w:jc w:val="center"/>
            </w:pPr>
            <w:r>
              <w:rPr>
                <w:sz w:val="21"/>
              </w:rPr>
              <w:t>-0.000</w:t>
            </w:r>
          </w:p>
        </w:tc>
      </w:tr>
    </w:tbl>
    <w:p w14:paraId="2BCD0B21" w14:textId="77777777" w:rsidR="00355E5A" w:rsidRDefault="003C4050">
      <w:pPr>
        <w:keepNext/>
        <w:pageBreakBefore/>
        <w:spacing w:after="160"/>
      </w:pPr>
      <w:r>
        <w:rPr>
          <w:b/>
        </w:rPr>
        <w:lastRenderedPageBreak/>
        <w:t xml:space="preserve">Annual groundwater and </w:t>
      </w:r>
      <w:r>
        <w:rPr>
          <w:b/>
        </w:rPr>
        <w:t>residual histories for all 22 basins</w:t>
      </w:r>
    </w:p>
    <w:p w14:paraId="7430BC70" w14:textId="77777777" w:rsidR="00355E5A" w:rsidRDefault="003C4050">
      <w:pPr>
        <w:keepNext/>
        <w:spacing w:after="60"/>
        <w:jc w:val="center"/>
      </w:pPr>
      <w:r>
        <w:rPr>
          <w:noProof/>
        </w:rPr>
        <w:drawing>
          <wp:inline distT="0" distB="0" distL="0" distR="0" wp14:anchorId="4EB3625A" wp14:editId="52D0E55F">
            <wp:extent cx="5296978" cy="594359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6_residual_validation_temporal.png"/>
                    <pic:cNvPicPr/>
                  </pic:nvPicPr>
                  <pic:blipFill>
                    <a:blip r:embed="rId32"/>
                    <a:stretch>
                      <a:fillRect/>
                    </a:stretch>
                  </pic:blipFill>
                  <pic:spPr>
                    <a:xfrm>
                      <a:off x="0" y="0"/>
                      <a:ext cx="5296978" cy="5943599"/>
                    </a:xfrm>
                    <a:prstGeom prst="rect">
                      <a:avLst/>
                    </a:prstGeom>
                  </pic:spPr>
                </pic:pic>
              </a:graphicData>
            </a:graphic>
          </wp:inline>
        </w:drawing>
      </w:r>
    </w:p>
    <w:p w14:paraId="0CBA1186" w14:textId="77777777" w:rsidR="00355E5A" w:rsidRDefault="003C4050">
      <w:pPr>
        <w:pStyle w:val="Caption"/>
        <w:spacing w:after="140" w:line="276" w:lineRule="auto"/>
        <w:jc w:val="center"/>
      </w:pPr>
      <w:bookmarkStart w:id="53" w:name="Figure5_17"/>
      <w:r>
        <w:rPr>
          <w:rFonts w:ascii="Times New Roman" w:hAnsi="Times New Roman"/>
          <w:b/>
          <w:sz w:val="22"/>
        </w:rPr>
        <w:t>Figure 5.17 Annual groundwater and residual histories for all 22 basins on joint support.</w:t>
      </w:r>
      <w:bookmarkEnd w:id="53"/>
    </w:p>
    <w:p w14:paraId="593EE678" w14:textId="77777777" w:rsidR="00355E5A" w:rsidRDefault="003C4050">
      <w:pPr>
        <w:spacing w:after="80" w:line="360" w:lineRule="auto"/>
        <w:jc w:val="both"/>
      </w:pPr>
      <w:r>
        <w:t xml:space="preserve">Co-located wells are first grouped by station, then averaged. Displayed series are standardized on their joint annual </w:t>
      </w:r>
      <w:r>
        <w:t>support; they are not water-volume conversions. Annual storage requires at least eight valid months and complete year endpoints. Gaps remain missing. Numerical correlation maps use each target’s own longest eligible support, whereas this three-line display</w:t>
      </w:r>
      <w:r>
        <w:t xml:space="preserve"> uses joint support.</w:t>
      </w:r>
    </w:p>
    <w:p w14:paraId="5D1C6A8D" w14:textId="77777777" w:rsidR="00355E5A" w:rsidRDefault="003C4050">
      <w:pPr>
        <w:keepNext/>
        <w:pageBreakBefore/>
        <w:spacing w:after="160"/>
      </w:pPr>
      <w:r>
        <w:rPr>
          <w:b/>
        </w:rPr>
        <w:lastRenderedPageBreak/>
        <w:t>Spatial independent reservoir component evidence</w:t>
      </w:r>
    </w:p>
    <w:p w14:paraId="26307EB6" w14:textId="77777777" w:rsidR="00355E5A" w:rsidRDefault="003C4050">
      <w:pPr>
        <w:keepNext/>
        <w:spacing w:after="60"/>
        <w:jc w:val="center"/>
      </w:pPr>
      <w:r>
        <w:rPr>
          <w:noProof/>
        </w:rPr>
        <w:drawing>
          <wp:inline distT="0" distB="0" distL="0" distR="0" wp14:anchorId="32FC3CB6" wp14:editId="11B1EBBC">
            <wp:extent cx="5632704" cy="22490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7_reservoir_validation_spatial.png"/>
                    <pic:cNvPicPr/>
                  </pic:nvPicPr>
                  <pic:blipFill>
                    <a:blip r:embed="rId33"/>
                    <a:stretch>
                      <a:fillRect/>
                    </a:stretch>
                  </pic:blipFill>
                  <pic:spPr>
                    <a:xfrm>
                      <a:off x="0" y="0"/>
                      <a:ext cx="5632704" cy="2249074"/>
                    </a:xfrm>
                    <a:prstGeom prst="rect">
                      <a:avLst/>
                    </a:prstGeom>
                  </pic:spPr>
                </pic:pic>
              </a:graphicData>
            </a:graphic>
          </wp:inline>
        </w:drawing>
      </w:r>
    </w:p>
    <w:p w14:paraId="2D79DDA4" w14:textId="77777777" w:rsidR="00355E5A" w:rsidRDefault="003C4050">
      <w:pPr>
        <w:pStyle w:val="Caption"/>
        <w:spacing w:after="140" w:line="276" w:lineRule="auto"/>
        <w:jc w:val="center"/>
      </w:pPr>
      <w:bookmarkStart w:id="54" w:name="Figure5_18"/>
      <w:r>
        <w:rPr>
          <w:rFonts w:ascii="Times New Roman" w:hAnsi="Times New Roman"/>
          <w:b/>
          <w:sz w:val="22"/>
        </w:rPr>
        <w:t>Figure 5.18 Spatial reservoir–residual agreement and fixed reservoir populations; hatching denotes missing evidence.</w:t>
      </w:r>
      <w:bookmarkEnd w:id="54"/>
    </w:p>
    <w:p w14:paraId="3738A808" w14:textId="77777777" w:rsidR="00355E5A" w:rsidRDefault="003C4050">
      <w:pPr>
        <w:spacing w:after="80" w:line="360" w:lineRule="auto"/>
        <w:jc w:val="both"/>
      </w:pPr>
      <w:r>
        <w:t>MSEA-Res Level-1 scene estimates, fixed pre-2004 populations and ma</w:t>
      </w:r>
      <w:r>
        <w:t>tched-month season/trend-adjusted correlations. Grey hatching means unavailable evidence, not zero effect. Reservoir correlations with GWS residuals are dependence diagnostics and do not directly validate groundwater. No naturalized observed reservoir coun</w:t>
      </w:r>
      <w:r>
        <w:t>terfactual is available. National scene-supported TWS residual agreement is r=0.439 after season/trend removal across 73 months; this supports one storage component rather than an observed human-only total.</w:t>
      </w:r>
    </w:p>
    <w:p w14:paraId="13931160" w14:textId="77777777" w:rsidR="00355E5A" w:rsidRDefault="003C4050">
      <w:pPr>
        <w:keepNext/>
        <w:pageBreakBefore/>
        <w:spacing w:after="160"/>
      </w:pPr>
      <w:r>
        <w:rPr>
          <w:b/>
        </w:rPr>
        <w:lastRenderedPageBreak/>
        <w:t>Residual validation metrics and network support t</w:t>
      </w:r>
      <w:r>
        <w:rPr>
          <w:b/>
        </w:rPr>
        <w:t>hrough time</w:t>
      </w:r>
    </w:p>
    <w:p w14:paraId="0C0E5AE2" w14:textId="77777777" w:rsidR="00355E5A" w:rsidRDefault="003C4050">
      <w:pPr>
        <w:keepNext/>
        <w:spacing w:after="60"/>
        <w:jc w:val="center"/>
      </w:pPr>
      <w:r>
        <w:rPr>
          <w:noProof/>
        </w:rPr>
        <w:drawing>
          <wp:inline distT="0" distB="0" distL="0" distR="0" wp14:anchorId="71AD4810" wp14:editId="1FB27391">
            <wp:extent cx="5632704" cy="37689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8_residual_evaluation_temporal.png"/>
                    <pic:cNvPicPr/>
                  </pic:nvPicPr>
                  <pic:blipFill>
                    <a:blip r:embed="rId34"/>
                    <a:stretch>
                      <a:fillRect/>
                    </a:stretch>
                  </pic:blipFill>
                  <pic:spPr>
                    <a:xfrm>
                      <a:off x="0" y="0"/>
                      <a:ext cx="5632704" cy="3768942"/>
                    </a:xfrm>
                    <a:prstGeom prst="rect">
                      <a:avLst/>
                    </a:prstGeom>
                  </pic:spPr>
                </pic:pic>
              </a:graphicData>
            </a:graphic>
          </wp:inline>
        </w:drawing>
      </w:r>
    </w:p>
    <w:p w14:paraId="1DC13CC3" w14:textId="77777777" w:rsidR="00355E5A" w:rsidRDefault="003C4050">
      <w:pPr>
        <w:pStyle w:val="Caption"/>
        <w:spacing w:after="140" w:line="276" w:lineRule="auto"/>
        <w:jc w:val="center"/>
      </w:pPr>
      <w:bookmarkStart w:id="55" w:name="Figure5_19"/>
      <w:r>
        <w:rPr>
          <w:rFonts w:ascii="Times New Roman" w:hAnsi="Times New Roman"/>
          <w:b/>
          <w:sz w:val="22"/>
        </w:rPr>
        <w:t>Figure 5.19 Residual–head evaluation and represented observation-network support through time.</w:t>
      </w:r>
      <w:bookmarkEnd w:id="55"/>
    </w:p>
    <w:p w14:paraId="1944C235" w14:textId="77777777" w:rsidR="00355E5A" w:rsidRDefault="003C4050">
      <w:pPr>
        <w:spacing w:after="80" w:line="360" w:lineRule="auto"/>
        <w:jc w:val="both"/>
      </w:pPr>
      <w:r>
        <w:t>National rolling head–residual correlations require at least six observed annual pairs in an eight-calendar-year window. Windows overlap and are de</w:t>
      </w:r>
      <w:r>
        <w:t>scriptive, not independent tests or a model-selection device. Bars show represented coordinate-station groups; station counts are not the temporal correlation sample size. Basin-specific rolling metrics accompany the figure.</w:t>
      </w:r>
    </w:p>
    <w:p w14:paraId="7DDB3C06" w14:textId="77777777" w:rsidR="00355E5A" w:rsidRDefault="003C4050">
      <w:pPr>
        <w:pStyle w:val="Heading1"/>
        <w:pageBreakBefore/>
        <w:numPr>
          <w:ilvl w:val="0"/>
          <w:numId w:val="0"/>
        </w:numPr>
        <w:spacing w:after="480" w:line="240" w:lineRule="auto"/>
      </w:pPr>
      <w:bookmarkStart w:id="56" w:name="_Toc243829233"/>
      <w:r>
        <w:lastRenderedPageBreak/>
        <w:t>CHAPTER 6</w:t>
      </w:r>
      <w:r>
        <w:br/>
        <w:t>DISCUSSION</w:t>
      </w:r>
      <w:bookmarkEnd w:id="56"/>
    </w:p>
    <w:p w14:paraId="5E9AAB0A" w14:textId="77777777" w:rsidR="00355E5A" w:rsidRDefault="003C4050">
      <w:pPr>
        <w:keepNext/>
        <w:spacing w:after="160"/>
      </w:pPr>
      <w:r>
        <w:rPr>
          <w:b/>
        </w:rPr>
        <w:t>Interpreti</w:t>
      </w:r>
      <w:r>
        <w:rPr>
          <w:b/>
        </w:rPr>
        <w:t>ng robust decline and unstable local rankings</w:t>
      </w:r>
    </w:p>
    <w:p w14:paraId="6EA07805" w14:textId="77777777" w:rsidR="00355E5A" w:rsidRDefault="003C4050">
      <w:pPr>
        <w:spacing w:after="80" w:line="360" w:lineRule="auto"/>
        <w:jc w:val="both"/>
      </w:pPr>
      <w:r>
        <w:t>The national and basin results answer different management questions. A consistent negative national trend across processing chains supports concern about broad storage change. The much weaker agreement in basi</w:t>
      </w:r>
      <w:r>
        <w:t>n ranking shows that a national conclusion cannot be translated directly into a reliable ordering of local severity. This is especially important when administrative boundaries are smaller than the effective support of the gravity inversion.</w:t>
      </w:r>
    </w:p>
    <w:p w14:paraId="1D294C68" w14:textId="77777777" w:rsidR="00355E5A" w:rsidRDefault="003C4050">
      <w:pPr>
        <w:spacing w:after="80" w:line="360" w:lineRule="auto"/>
        <w:jc w:val="both"/>
      </w:pPr>
      <w:r>
        <w:t xml:space="preserve">The close </w:t>
      </w:r>
      <w:r>
        <w:t>relationship between the unidentified export and the documented CSR record is reassuring as a numerical audit but does not prove the export's origin. It should not be counted as an additional independent gravity product. The more informative sensitivity is</w:t>
      </w:r>
      <w:r>
        <w:t xml:space="preserve"> the documented contrasting COST-G/G3P chain. Its differences show why processing and compartment structure belong in the interpretation of magnitudes and local patterns.</w:t>
      </w:r>
    </w:p>
    <w:p w14:paraId="5464FD88" w14:textId="77777777" w:rsidR="00355E5A" w:rsidRDefault="003C4050">
      <w:pPr>
        <w:spacing w:after="80" w:line="360" w:lineRule="auto"/>
        <w:jc w:val="both"/>
      </w:pPr>
      <w:r>
        <w:t>Groundwater subtraction introduces an additional layer of dependence. Changing the so</w:t>
      </w:r>
      <w:r>
        <w:t>il representation alters the national groundwater slope, while using the complete G3P chain changes both magnitude and ranking. The resulting spread is not a formal probabilistic uncertainty envelope because the products are related and do not span all pla</w:t>
      </w:r>
      <w:r>
        <w:t>usible structures. It is evidence that conclusions requiring an exact depletion rate are less secure than conclusions about broad direction.</w:t>
      </w:r>
    </w:p>
    <w:p w14:paraId="415F3CBF" w14:textId="77777777" w:rsidR="00355E5A" w:rsidRDefault="003C4050">
      <w:pPr>
        <w:spacing w:after="80" w:line="360" w:lineRule="auto"/>
        <w:jc w:val="both"/>
      </w:pPr>
      <w:r>
        <w:t xml:space="preserve">The short-window analysis also limits a simple narrative of continuously worsening conditions. Later wet intervals </w:t>
      </w:r>
      <w:r>
        <w:t>can produce positive local slopes even when the full record declines. Such behaviour is physically plausible in a climate-sensitive storage system and should not be used to erase the long-record signal. Conversely, a short steep decline should not be extra</w:t>
      </w:r>
      <w:r>
        <w:t>polated as a constant future loss rate.</w:t>
      </w:r>
    </w:p>
    <w:p w14:paraId="7DAA4C44" w14:textId="77777777" w:rsidR="00355E5A" w:rsidRDefault="003C4050">
      <w:pPr>
        <w:spacing w:after="80" w:line="360" w:lineRule="auto"/>
        <w:jc w:val="both"/>
      </w:pPr>
      <w:r>
        <w:t>For basin prioritization, the appropriate response is to combine the trend with observation support, product agreement and independent compartment evidence. The present data justify identifying candidate areas for in</w:t>
      </w:r>
      <w:r>
        <w:t>vestigation. They do not justify precise local pumping quantities or a product-independent ranking of the most affected aquifers. This distinction is a substantive finding of the national assessment, not a qualification added after the results.</w:t>
      </w:r>
    </w:p>
    <w:p w14:paraId="093CC797" w14:textId="77777777" w:rsidR="00355E5A" w:rsidRDefault="003C4050">
      <w:pPr>
        <w:pStyle w:val="Heading2"/>
        <w:pageBreakBefore/>
        <w:numPr>
          <w:ilvl w:val="1"/>
          <w:numId w:val="0"/>
        </w:numPr>
        <w:spacing w:after="160" w:line="240" w:lineRule="auto"/>
      </w:pPr>
      <w:bookmarkStart w:id="57" w:name="_Toc243829234"/>
      <w:r>
        <w:lastRenderedPageBreak/>
        <w:t xml:space="preserve">Why strong </w:t>
      </w:r>
      <w:r>
        <w:t>climate reconstruction does not validate human depletion</w:t>
      </w:r>
      <w:bookmarkEnd w:id="57"/>
    </w:p>
    <w:p w14:paraId="7BC19B22" w14:textId="77777777" w:rsidR="00355E5A" w:rsidRDefault="003C4050">
      <w:pPr>
        <w:spacing w:after="80" w:line="360" w:lineRule="auto"/>
        <w:jc w:val="both"/>
      </w:pPr>
      <w:r>
        <w:t>The climate experiments demonstrate that antecedent meteorology contains substantial information about naturalized storage. Lagged and memory features outperform a seasonal or current-weather descrip</w:t>
      </w:r>
      <w:r>
        <w:t>tion, including for deseasonalized anomalies. This is a useful result for developing compact climate-storage reconstructions. It also shows why models should be evaluated beyond a recurring annual cycle rather than judged by raw correlation alone.</w:t>
      </w:r>
    </w:p>
    <w:p w14:paraId="4D6958CB" w14:textId="77777777" w:rsidR="00355E5A" w:rsidRDefault="003C4050">
      <w:pPr>
        <w:spacing w:after="80" w:line="360" w:lineRule="auto"/>
        <w:jc w:val="both"/>
      </w:pPr>
      <w:r>
        <w:t>The forc</w:t>
      </w:r>
      <w:r>
        <w:t>ing experiment places that success in context. Replacing native precipitation with CHIRPS changes anomaly skill even though the statistical model is frozen. This does not rank the rainfall products by observational accuracy. It demonstrates dependence on t</w:t>
      </w:r>
      <w:r>
        <w:t>he input–target relationship of the parent simulation. An emulator that reproduces a model accurately can inherit that model's structural limits and forcing dependence.</w:t>
      </w:r>
    </w:p>
    <w:p w14:paraId="5D803DE2" w14:textId="77777777" w:rsidR="00355E5A" w:rsidRDefault="003C4050">
      <w:pPr>
        <w:spacing w:after="80" w:line="360" w:lineRule="auto"/>
        <w:jc w:val="both"/>
      </w:pPr>
      <w:r>
        <w:t>The paired attribution experiment exposes a separate problem. Most of the observed resi</w:t>
      </w:r>
      <w:r>
        <w:t>dual trend remains in the observation–historical-model discrepancy. The modeled direct-human perturbation is much smaller and, for groundwater, its conditional interval includes zero under the principal two-year block choice. This result is incompatible wi</w:t>
      </w:r>
      <w:r>
        <w:t>th interpreting every residual unit as a validated human contribution within the present model experiment.</w:t>
      </w:r>
    </w:p>
    <w:p w14:paraId="1BD2F4A6" w14:textId="77777777" w:rsidR="00355E5A" w:rsidRDefault="003C4050">
      <w:pPr>
        <w:spacing w:after="80" w:line="360" w:lineRule="auto"/>
        <w:jc w:val="both"/>
      </w:pPr>
      <w:r>
        <w:t>The discrepancy can contain actual management omitted from the model, as well as forcing error, groundwater process error and mismatched storage defi</w:t>
      </w:r>
      <w:r>
        <w:t>nitions. The analysis cannot distinguish these explanations uniquely. It would be equally unjustified to call the entire discrepancy non-human error. The defensible interpretation is unresolved attribution, with the residual retained as an observation-info</w:t>
      </w:r>
      <w:r>
        <w:t>rmed candidate signal rather than a measured pumping trajectory.</w:t>
      </w:r>
    </w:p>
    <w:p w14:paraId="07004D37" w14:textId="77777777" w:rsidR="00355E5A" w:rsidRDefault="003C4050">
      <w:pPr>
        <w:spacing w:after="80" w:line="360" w:lineRule="auto"/>
        <w:jc w:val="both"/>
      </w:pPr>
      <w:r>
        <w:t xml:space="preserve">Even climate-controlled head correlation has a mathematical limitation. Because R equals O minus C, controlling the same C in O and R produces the same residualized storage vector. A similar </w:t>
      </w:r>
      <w:r>
        <w:t>partial correlation for observed storage and its residual is therefore expected from the identity and is not independent proof that climate has been perfectly removed. The groundwater evidence must be assessed through its actual support and robustness, not</w:t>
      </w:r>
      <w:r>
        <w:t xml:space="preserve"> through the name assigned to the conditioning variable.</w:t>
      </w:r>
    </w:p>
    <w:p w14:paraId="319EE058" w14:textId="77777777" w:rsidR="00355E5A" w:rsidRDefault="003C4050">
      <w:pPr>
        <w:pStyle w:val="Heading2"/>
        <w:pageBreakBefore/>
        <w:numPr>
          <w:ilvl w:val="1"/>
          <w:numId w:val="0"/>
        </w:numPr>
        <w:spacing w:after="160" w:line="240" w:lineRule="auto"/>
      </w:pPr>
      <w:bookmarkStart w:id="58" w:name="_Toc243829235"/>
      <w:r>
        <w:lastRenderedPageBreak/>
        <w:t>Monitoring priorities and the proposed novelty</w:t>
      </w:r>
      <w:bookmarkEnd w:id="58"/>
    </w:p>
    <w:p w14:paraId="37114DA3" w14:textId="77777777" w:rsidR="00355E5A" w:rsidRDefault="003C4050">
      <w:pPr>
        <w:spacing w:after="80" w:line="360" w:lineRule="auto"/>
        <w:jc w:val="both"/>
      </w:pPr>
      <w:r>
        <w:t xml:space="preserve">The station-panel analysis provides a concrete warning about validation design. A fixed-eligibility index can show a stronger raw association while </w:t>
      </w:r>
      <w:r>
        <w:t>still changing its represented population through time. The common-period and strictly balanced comparisons are more informative about that issue. Their groundwater correlations remain close to zero in this study, indicating that the apparent improvement d</w:t>
      </w:r>
      <w:r>
        <w:t>oes not establish a validated human-depletion component.</w:t>
      </w:r>
    </w:p>
    <w:p w14:paraId="2DDC2C80" w14:textId="77777777" w:rsidR="00355E5A" w:rsidRDefault="003C4050">
      <w:pPr>
        <w:spacing w:after="80" w:line="360" w:lineRule="auto"/>
        <w:jc w:val="both"/>
      </w:pPr>
      <w:r>
        <w:t>An exploratory independent surface-water check uses MSEA-Res Landsat and hypsometric reservoir volumes (Mahto et al., 2025). Of 27 Thai reservoirs located within the basin polygons, 26 were commissio</w:t>
      </w:r>
      <w:r>
        <w:t>ned before 2004 and form a fixed comparison panel. National TWS residual correlation is 0.521 across 73 scene-supported months and 0.439 after removing calendar-month effects and linear trend; a 499-replicate year-cluster interval is 0.188–0.665. Provider-</w:t>
      </w:r>
      <w:r>
        <w:t>interpolated Level-2 storage gives 0.381 adjusted correlation across 228 months. This supports surface-water consistency, not causal human attribution: reservoir volumes respond to both climate and operations, and no naturalized reservoir counterfactual is</w:t>
      </w:r>
      <w:r>
        <w:t xml:space="preserve"> observed.</w:t>
      </w:r>
    </w:p>
    <w:p w14:paraId="72A3EC82" w14:textId="77777777" w:rsidR="00355E5A" w:rsidRDefault="003C4050">
      <w:pPr>
        <w:spacing w:after="80" w:line="360" w:lineRule="auto"/>
        <w:jc w:val="both"/>
      </w:pPr>
      <w:r>
        <w:t>The proposed novelty has three connected parts. First, the study separates stable national direction from unstable basin ranking across documented processing chains and shared native support. Second, it demonstrates the value and limits of clima</w:t>
      </w:r>
      <w:r>
        <w:t>te-memory emulation through controlled ablation and forcing replacement. Third, it shows how common-period, balanced-panel and station-bootstrap comparisons alter the credibility of groundwater validation.</w:t>
      </w:r>
    </w:p>
    <w:p w14:paraId="15B53868" w14:textId="77777777" w:rsidR="00355E5A" w:rsidRDefault="003C4050">
      <w:pPr>
        <w:spacing w:after="80" w:line="360" w:lineRule="auto"/>
        <w:jc w:val="both"/>
      </w:pPr>
      <w:r>
        <w:t>These contributions are methodological integration</w:t>
      </w:r>
      <w:r>
        <w:t xml:space="preserve"> and empirical evidence. The study does not claim that the accounting identity, Ridge regression or a bootstrap is a new algorithm. Its added value is an auditable national experiment in which favourable and unfavourable evidence are reported together. The</w:t>
      </w:r>
      <w:r>
        <w:t xml:space="preserve"> public interface and executable package make those inferential links reviewable rather than asking readers to trust a single depletion map.</w:t>
      </w:r>
    </w:p>
    <w:p w14:paraId="6441A6F3" w14:textId="77777777" w:rsidR="00355E5A" w:rsidRDefault="003C4050">
      <w:pPr>
        <w:spacing w:after="80" w:line="360" w:lineRule="auto"/>
        <w:jc w:val="both"/>
      </w:pPr>
      <w:r>
        <w:t>For decision support, the results should guide investigation and data collection. Basins with strong decline but we</w:t>
      </w:r>
      <w:r>
        <w:t>ak product agreement warrant source and compartment checks. Basins with sparse wells warrant observation-network improvement. A high emulator score can support reconstruction of a parent model, while management interventions require stronger causal and vol</w:t>
      </w:r>
      <w:r>
        <w:t>umetric evidence. This evidence-based use is more defensible than converting an uncertain residual directly into a withdrawal restriction.</w:t>
      </w:r>
    </w:p>
    <w:p w14:paraId="45AEA8D2" w14:textId="77777777" w:rsidR="00355E5A" w:rsidRDefault="003C4050">
      <w:pPr>
        <w:pStyle w:val="Heading1"/>
        <w:pageBreakBefore/>
        <w:numPr>
          <w:ilvl w:val="0"/>
          <w:numId w:val="0"/>
        </w:numPr>
        <w:spacing w:after="480" w:line="240" w:lineRule="auto"/>
      </w:pPr>
      <w:bookmarkStart w:id="59" w:name="_Toc243829236"/>
      <w:r>
        <w:lastRenderedPageBreak/>
        <w:t>CHAPTER 7</w:t>
      </w:r>
      <w:r>
        <w:br/>
        <w:t>CONCLUSIONS AND RECOMMENDATIONS</w:t>
      </w:r>
      <w:bookmarkEnd w:id="59"/>
    </w:p>
    <w:p w14:paraId="588F5362" w14:textId="77777777" w:rsidR="00355E5A" w:rsidRDefault="003C4050">
      <w:pPr>
        <w:keepNext/>
        <w:spacing w:after="160"/>
      </w:pPr>
      <w:r>
        <w:rPr>
          <w:b/>
        </w:rPr>
        <w:t>Conclusions and research priorities</w:t>
      </w:r>
    </w:p>
    <w:p w14:paraId="0D7EC14E" w14:textId="77777777" w:rsidR="00355E5A" w:rsidRDefault="003C4050">
      <w:pPr>
        <w:spacing w:after="80" w:line="360" w:lineRule="auto"/>
        <w:jc w:val="both"/>
      </w:pPr>
      <w:r>
        <w:t>The study completes a national basin as</w:t>
      </w:r>
      <w:r>
        <w:t xml:space="preserve">sessment of terrestrial and groundwater storage, a controlled climate-storage reconstruction and attribution experiment, and a reproducible decision-support release. Its primary gravity baseline is now identified as CSR RL06.3, with source checksums, land </w:t>
      </w:r>
      <w:r>
        <w:t>masking and an audited monthly calendar. The full-compartment groundwater calculation and paired residual identities are verified numerically.</w:t>
      </w:r>
    </w:p>
    <w:p w14:paraId="52CA73A0" w14:textId="77777777" w:rsidR="00355E5A" w:rsidRDefault="003C4050">
      <w:pPr>
        <w:spacing w:after="80" w:line="360" w:lineRule="auto"/>
        <w:jc w:val="both"/>
      </w:pPr>
      <w:r>
        <w:t>Observed national storage declines in the analyzed record. The direction is also negative in the documented contr</w:t>
      </w:r>
      <w:r>
        <w:t xml:space="preserve">asting product chain, but the magnitude and basin ordering are product-dependent. All 22 principal basins retain a small-support caution. Spatial maps should therefore be read as screening evidence, and the national conclusion should not be converted into </w:t>
      </w:r>
      <w:r>
        <w:t>a precise ranking of local abstraction stress.</w:t>
      </w:r>
    </w:p>
    <w:p w14:paraId="3BC293FF" w14:textId="77777777" w:rsidR="00355E5A" w:rsidRDefault="003C4050">
      <w:pPr>
        <w:spacing w:after="80" w:line="360" w:lineRule="auto"/>
        <w:jc w:val="both"/>
      </w:pPr>
      <w:r>
        <w:t>Climate-memory features improve reconstruction of naturalized model storage beyond seasonal and current-weather baselines. Their success persists in held-out anomalies, while independent precipitation replacem</w:t>
      </w:r>
      <w:r>
        <w:t>ent exposes forcing sensitivity. These results support a useful meteorological reconstruction framework. They do not establish that the parent model provides an exact natural counterfactual or that all unexplained observed change is human-caused.</w:t>
      </w:r>
    </w:p>
    <w:p w14:paraId="32B4736E" w14:textId="77777777" w:rsidR="00355E5A" w:rsidRDefault="003C4050">
      <w:pPr>
        <w:spacing w:after="80" w:line="360" w:lineRule="auto"/>
        <w:jc w:val="both"/>
      </w:pPr>
      <w:r>
        <w:t>The paire</w:t>
      </w:r>
      <w:r>
        <w:t>d human experiment and the groundwater analyses limit that attribution claim. The observation–historical-model discrepancy dominates the residual trend diagnostic. Longest-overlap and balanced-panel groundwater checks provide weak support for the derived r</w:t>
      </w:r>
      <w:r>
        <w:t>esidual, and the station bootstrap exposes substantial observation-network sensitivity. A consistent negative head trend at some stations is evidence about those trajectories, not a calibrated estimate of regional groundwater mass loss.</w:t>
      </w:r>
    </w:p>
    <w:p w14:paraId="4FBD1BFA" w14:textId="77777777" w:rsidR="00355E5A" w:rsidRDefault="003C4050">
      <w:pPr>
        <w:spacing w:after="80" w:line="360" w:lineRule="auto"/>
        <w:jc w:val="both"/>
      </w:pPr>
      <w:r>
        <w:t>Further progress re</w:t>
      </w:r>
      <w:r>
        <w:t>quires verified aquifer information, representative monthly heads, storage coefficients, pumping histories, reservoir observations and additional naturalized model structures. The thesis and manuscript provide a completed research draft and an explicit set</w:t>
      </w:r>
      <w:r>
        <w:t xml:space="preserve"> of testable findings for advisor and peer review. Their contribution is the evidence-qualified assessment, including unresolved attribution, rather than a guarantee of journal placement or a predetermined explanation of the decline.</w:t>
      </w:r>
    </w:p>
    <w:p w14:paraId="24E71792" w14:textId="77777777" w:rsidR="00355E5A" w:rsidRDefault="003C4050">
      <w:pPr>
        <w:pStyle w:val="Heading2"/>
        <w:pageBreakBefore/>
        <w:numPr>
          <w:ilvl w:val="1"/>
          <w:numId w:val="0"/>
        </w:numPr>
        <w:spacing w:after="160" w:line="240" w:lineRule="auto"/>
      </w:pPr>
      <w:bookmarkStart w:id="60" w:name="_Toc243829237"/>
      <w:r>
        <w:lastRenderedPageBreak/>
        <w:t>REFERENCES</w:t>
      </w:r>
      <w:bookmarkEnd w:id="60"/>
    </w:p>
    <w:p w14:paraId="507FF608" w14:textId="77777777" w:rsidR="00355E5A" w:rsidRDefault="003C4050">
      <w:pPr>
        <w:spacing w:after="60"/>
        <w:ind w:left="360" w:hanging="360"/>
      </w:pPr>
      <w:r>
        <w:rPr>
          <w:sz w:val="21"/>
        </w:rPr>
        <w:t>Abhishek, K</w:t>
      </w:r>
      <w:r>
        <w:rPr>
          <w:sz w:val="21"/>
        </w:rPr>
        <w:t>inouchi, T., Abolafia-Rosenzweig, R., Ito, M. (2022). Water Budget Closure in the Upper Chao Phraya River Basin, Thailand Using Multisource Data. Remote Sensing, 14, 173. https://doi.org/10.3390/rs14010173</w:t>
      </w:r>
    </w:p>
    <w:p w14:paraId="580E815F" w14:textId="77777777" w:rsidR="00355E5A" w:rsidRDefault="003C4050">
      <w:pPr>
        <w:spacing w:after="60"/>
        <w:ind w:left="360" w:hanging="360"/>
      </w:pPr>
      <w:r>
        <w:rPr>
          <w:sz w:val="21"/>
        </w:rPr>
        <w:t>Abhishek, Kinouchi, T., Sayama, T. (2021). A compr</w:t>
      </w:r>
      <w:r>
        <w:rPr>
          <w:sz w:val="21"/>
        </w:rPr>
        <w:t>ehensive assessment of water storage dynamics and hydroclimatic extremes in the Chao Phraya River Basin during 2002–2020. Journal of Hydrology, 603, 126868. https://doi.org/10.1016/j.jhydrol.2021.126868</w:t>
      </w:r>
    </w:p>
    <w:p w14:paraId="3F860C01" w14:textId="77777777" w:rsidR="00355E5A" w:rsidRDefault="003C4050">
      <w:pPr>
        <w:spacing w:after="60"/>
        <w:ind w:left="360" w:hanging="360"/>
      </w:pPr>
      <w:r>
        <w:rPr>
          <w:sz w:val="21"/>
        </w:rPr>
        <w:t>Asian Institute of Technology Language Center. (2026)</w:t>
      </w:r>
      <w:r>
        <w:rPr>
          <w:sz w:val="21"/>
        </w:rPr>
        <w:t>. Master thesis format January 2026 and thesis-format guidance. https://languages.ait.ac.th/thesis-format-template/</w:t>
      </w:r>
    </w:p>
    <w:p w14:paraId="14874AD2" w14:textId="77777777" w:rsidR="00355E5A" w:rsidRDefault="003C4050">
      <w:pPr>
        <w:spacing w:after="60"/>
        <w:ind w:left="360" w:hanging="360"/>
      </w:pPr>
      <w:r>
        <w:rPr>
          <w:sz w:val="21"/>
        </w:rPr>
        <w:t xml:space="preserve">Benjamini, Y., Hochberg, Y. (1995). Controlling the False Discovery Rate: A Practical and Powerful Approach to Multiple Testing. Journal of </w:t>
      </w:r>
      <w:r>
        <w:rPr>
          <w:sz w:val="21"/>
        </w:rPr>
        <w:t>the Royal Statistical Society Series B: Statistical Methodology, 57, 289-300. https://doi.org/10.1111/j.2517-6161.1995.tb02031.x</w:t>
      </w:r>
    </w:p>
    <w:p w14:paraId="254E2691" w14:textId="77777777" w:rsidR="00355E5A" w:rsidRDefault="003C4050">
      <w:pPr>
        <w:spacing w:after="60"/>
        <w:ind w:left="360" w:hanging="360"/>
      </w:pPr>
      <w:r>
        <w:rPr>
          <w:sz w:val="21"/>
        </w:rPr>
        <w:t>Breiman, L. (2001). Random Forests. Machine Learning, 45, 5-32. https://doi.org/10.1023/A:1010933404324</w:t>
      </w:r>
    </w:p>
    <w:p w14:paraId="422A5F11" w14:textId="77777777" w:rsidR="00355E5A" w:rsidRDefault="003C4050">
      <w:pPr>
        <w:spacing w:after="60"/>
        <w:ind w:left="360" w:hanging="360"/>
      </w:pPr>
      <w:r>
        <w:rPr>
          <w:sz w:val="21"/>
        </w:rPr>
        <w:t>Bäthge, A., Ruz Vargas,</w:t>
      </w:r>
      <w:r>
        <w:rPr>
          <w:sz w:val="21"/>
        </w:rPr>
        <w:t xml:space="preserve"> C., Lischeid, G., Collenteur, R., Cuthbert, M., et al. (2026). GROW A Global-Scale Time Series Dataset for Groundwater Studies within the Earth System [Data set]. Zenodo. https://doi.org/10.5281/zenodo.15149480</w:t>
      </w:r>
    </w:p>
    <w:p w14:paraId="6E8DF992" w14:textId="77777777" w:rsidR="00355E5A" w:rsidRDefault="003C4050">
      <w:pPr>
        <w:spacing w:after="60"/>
        <w:ind w:left="360" w:hanging="360"/>
      </w:pPr>
      <w:r>
        <w:rPr>
          <w:sz w:val="21"/>
        </w:rPr>
        <w:t>Cameron, A. C., Gelbach, J. B., Miller, D. L</w:t>
      </w:r>
      <w:r>
        <w:rPr>
          <w:sz w:val="21"/>
        </w:rPr>
        <w:t>. (2008). Bootstrap-Based Improvements for Inference with Clustered Errors. Review of Economics and Statistics, 90, 414-427. https://doi.org/10.1162/rest.90.3.414</w:t>
      </w:r>
    </w:p>
    <w:p w14:paraId="57AC538B" w14:textId="77777777" w:rsidR="00355E5A" w:rsidRDefault="003C4050">
      <w:pPr>
        <w:spacing w:after="60"/>
        <w:ind w:left="360" w:hanging="360"/>
      </w:pPr>
      <w:r>
        <w:rPr>
          <w:sz w:val="21"/>
        </w:rPr>
        <w:t>Center for Space Research (CSR). (2026). CSR GRACE and GRACE-FO RL06.3 mascon solutions and p</w:t>
      </w:r>
      <w:r>
        <w:rPr>
          <w:sz w:val="21"/>
        </w:rPr>
        <w:t>rocessing guidance. Data update 7 October 2026; accessed 24 October 2026. https://www2.csr.utexas.edu/grace/RL0603_mascons.html</w:t>
      </w:r>
    </w:p>
    <w:p w14:paraId="090DDEEE" w14:textId="77777777" w:rsidR="00355E5A" w:rsidRDefault="003C4050">
      <w:pPr>
        <w:spacing w:after="60"/>
        <w:ind w:left="360" w:hanging="360"/>
      </w:pPr>
      <w:r>
        <w:rPr>
          <w:sz w:val="21"/>
        </w:rPr>
        <w:t>Dahle, C., Boergens, E., Sasgen, I., Döhne, T., Reißland, S., Dobslaw, H., et al. (2025). GravIS: mass anomaly products from sat</w:t>
      </w:r>
      <w:r>
        <w:rPr>
          <w:sz w:val="21"/>
        </w:rPr>
        <w:t>ellite gravimetry. Earth System Science Data, 17, 611-631. https://doi.org/10.5194/essd-17-611-2025</w:t>
      </w:r>
    </w:p>
    <w:p w14:paraId="742E055C" w14:textId="77777777" w:rsidR="00355E5A" w:rsidRDefault="003C4050">
      <w:pPr>
        <w:spacing w:after="60"/>
        <w:ind w:left="360" w:hanging="360"/>
      </w:pPr>
      <w:r>
        <w:rPr>
          <w:sz w:val="21"/>
        </w:rPr>
        <w:t xml:space="preserve">Funk, C., Peterson, P., Landsfeld, M., Pedreros, D., Verdin, J., Shukla, S., et al. (2015). The climate hazards infrared precipitation with </w:t>
      </w:r>
      <w:r>
        <w:rPr>
          <w:sz w:val="21"/>
        </w:rPr>
        <w:t>stations—a new environmental record for monitoring extremes. Scientific Data, 2. https://doi.org/10.1038/sdata.2015.66</w:t>
      </w:r>
    </w:p>
    <w:p w14:paraId="24907D67" w14:textId="77777777" w:rsidR="00355E5A" w:rsidRDefault="003C4050">
      <w:pPr>
        <w:spacing w:after="60"/>
        <w:ind w:left="360" w:hanging="360"/>
      </w:pPr>
      <w:r>
        <w:rPr>
          <w:sz w:val="21"/>
        </w:rPr>
        <w:t xml:space="preserve">Gruber, A., Scanlon, T., van der Schalie, R., Wagner, W., Dorigo, W. (2019). Evolution of the ESA CCI Soil Moisture climate data records </w:t>
      </w:r>
      <w:r>
        <w:rPr>
          <w:sz w:val="21"/>
        </w:rPr>
        <w:t>and their underlying merging methodology. Earth System Science Data, 11, 717-739. https://doi.org/10.5194/essd-11-717-2019</w:t>
      </w:r>
    </w:p>
    <w:p w14:paraId="5627B04F" w14:textId="77777777" w:rsidR="00355E5A" w:rsidRDefault="003C4050">
      <w:pPr>
        <w:spacing w:after="60"/>
        <w:ind w:left="360" w:hanging="360"/>
      </w:pPr>
      <w:r>
        <w:rPr>
          <w:sz w:val="21"/>
        </w:rPr>
        <w:t>Gupta, H. V., Kling, H., Yilmaz, K. K., Martinez, G. F. (2009). Decomposition of the mean squared error and NSE performance criteria:</w:t>
      </w:r>
      <w:r>
        <w:rPr>
          <w:sz w:val="21"/>
        </w:rPr>
        <w:t xml:space="preserve"> Implications for improving hydrological modelling. Journal of Hydrology, 377, 80-91. https://doi.org/10.1016/j.jhydrol.2009.08.003</w:t>
      </w:r>
    </w:p>
    <w:p w14:paraId="4BA3A303" w14:textId="77777777" w:rsidR="00355E5A" w:rsidRDefault="003C4050">
      <w:pPr>
        <w:spacing w:after="60"/>
        <w:ind w:left="360" w:hanging="360"/>
      </w:pPr>
      <w:r>
        <w:rPr>
          <w:sz w:val="21"/>
        </w:rPr>
        <w:t>Güntner, A., Sharifi, E., Haas, J., Boergens, E., Dahle, C., et al. (2024). Global Gravity-based Groundwater Product G3P ver</w:t>
      </w:r>
      <w:r>
        <w:rPr>
          <w:sz w:val="21"/>
        </w:rPr>
        <w:t>sion 1.12 [Data set]. GFZ Data Services. https://doi.org/10.5880/G3P.2024.001</w:t>
      </w:r>
    </w:p>
    <w:p w14:paraId="5FB17B89" w14:textId="77777777" w:rsidR="00355E5A" w:rsidRDefault="003C4050">
      <w:pPr>
        <w:spacing w:after="60"/>
        <w:ind w:left="360" w:hanging="360"/>
      </w:pPr>
      <w:r>
        <w:rPr>
          <w:sz w:val="21"/>
        </w:rPr>
        <w:t>Hirsch, R. M., Slack, J. R. (1984). A Nonparametric Trend Test for Seasonal Data With Serial Dependence. Water Resources Research, 20, 727-732. https://doi.org/10.1029/WR020i006p</w:t>
      </w:r>
      <w:r>
        <w:rPr>
          <w:sz w:val="21"/>
        </w:rPr>
        <w:t>00727</w:t>
      </w:r>
    </w:p>
    <w:p w14:paraId="36DD219E" w14:textId="77777777" w:rsidR="00355E5A" w:rsidRDefault="003C4050">
      <w:pPr>
        <w:spacing w:after="60"/>
        <w:ind w:left="360" w:hanging="360"/>
      </w:pPr>
      <w:r>
        <w:rPr>
          <w:sz w:val="21"/>
        </w:rPr>
        <w:t>Hirsch, R. M., Slack, J. R., Smith, R. A. (1982). Techniques of trend analysis for monthly water quality data. Water Resources Research, 18, 107-121. https://doi.org/10.1029/WR018i001p00107</w:t>
      </w:r>
    </w:p>
    <w:p w14:paraId="5C5F84FC" w14:textId="77777777" w:rsidR="00355E5A" w:rsidRDefault="003C4050">
      <w:pPr>
        <w:spacing w:after="60"/>
        <w:ind w:left="360" w:hanging="360"/>
      </w:pPr>
      <w:r>
        <w:rPr>
          <w:sz w:val="21"/>
        </w:rPr>
        <w:t>Hoerl, A. E., Kennard, R. W. (1970). Ridge Regression: Biase</w:t>
      </w:r>
      <w:r>
        <w:rPr>
          <w:sz w:val="21"/>
        </w:rPr>
        <w:t>d Estimation for Nonorthogonal Problems. Technometrics, 12, 55-67. https://doi.org/10.1080/00401706.1970.10488634</w:t>
      </w:r>
    </w:p>
    <w:p w14:paraId="577DA88A" w14:textId="77777777" w:rsidR="00355E5A" w:rsidRDefault="003C4050">
      <w:pPr>
        <w:spacing w:after="60"/>
        <w:ind w:left="360" w:hanging="360"/>
      </w:pPr>
      <w:r>
        <w:rPr>
          <w:sz w:val="21"/>
        </w:rPr>
        <w:t xml:space="preserve">Knoben, W. J. M., Freer, J. E., Woods, R. A. (2019). Technical note: Inherent benchmark or not? Comparing Nash–Sutcliffe and </w:t>
      </w:r>
      <w:r>
        <w:rPr>
          <w:sz w:val="21"/>
        </w:rPr>
        <w:t>Kling–Gupta efficiency scores. Hydrology and Earth System Sciences, 23, 4323-4331. https://doi.org/10.5194/hess-23-4323-2019</w:t>
      </w:r>
    </w:p>
    <w:p w14:paraId="0AB78CAE" w14:textId="77777777" w:rsidR="00355E5A" w:rsidRDefault="003C4050">
      <w:pPr>
        <w:spacing w:after="60"/>
        <w:ind w:left="360" w:hanging="360"/>
      </w:pPr>
      <w:r>
        <w:rPr>
          <w:sz w:val="21"/>
        </w:rPr>
        <w:t>Kratzert, F., Klotz, D., Shalev, G., Klambauer, G., Hochreiter, S., Nearing, G. (2019). Towards learning universal, regional, and l</w:t>
      </w:r>
      <w:r>
        <w:rPr>
          <w:sz w:val="21"/>
        </w:rPr>
        <w:t>ocal hydrological behaviors via machine learning applied to large-sample datasets. Hydrology and Earth System Sciences, 23, 5089-5110. https://doi.org/10.5194/hess-23-5089-2019</w:t>
      </w:r>
    </w:p>
    <w:p w14:paraId="3E9C9AD2" w14:textId="77777777" w:rsidR="00355E5A" w:rsidRDefault="003C4050">
      <w:pPr>
        <w:keepNext/>
        <w:pageBreakBefore/>
        <w:spacing w:after="160"/>
      </w:pPr>
      <w:r>
        <w:rPr>
          <w:b/>
        </w:rPr>
        <w:lastRenderedPageBreak/>
        <w:t>REFERENCES CONTINUED</w:t>
      </w:r>
    </w:p>
    <w:p w14:paraId="18EC3931" w14:textId="77777777" w:rsidR="00355E5A" w:rsidRDefault="003C4050">
      <w:pPr>
        <w:spacing w:after="60"/>
        <w:ind w:left="360" w:hanging="360"/>
      </w:pPr>
      <w:r>
        <w:rPr>
          <w:sz w:val="21"/>
        </w:rPr>
        <w:t>Longuevergne, L., Scanlon, B. R., Wilson, C. R. (2010). GR</w:t>
      </w:r>
      <w:r>
        <w:rPr>
          <w:sz w:val="21"/>
        </w:rPr>
        <w:t>ACE Hydrological estimates for small basins: Evaluating processing approaches on the High Plains Aquifer, USA. Water Resources Research, 46. https://doi.org/10.1029/2009WR008564</w:t>
      </w:r>
    </w:p>
    <w:p w14:paraId="395ACA8B" w14:textId="77777777" w:rsidR="00355E5A" w:rsidRDefault="003C4050">
      <w:pPr>
        <w:spacing w:after="60"/>
        <w:ind w:left="360" w:hanging="360"/>
      </w:pPr>
      <w:r>
        <w:rPr>
          <w:sz w:val="21"/>
        </w:rPr>
        <w:t>Mahto, S. S., Fatichi, S., &amp; Galelli, S. (2025). A 1985–2023 time series datas</w:t>
      </w:r>
      <w:r>
        <w:rPr>
          <w:sz w:val="21"/>
        </w:rPr>
        <w:t>et of absolute reservoir storage in Mainland Southeast Asia (MSEA-Res). Earth System Science Data, 17, 2693–2712. https://doi.org/10.5194/essd-17-2693-2025</w:t>
      </w:r>
    </w:p>
    <w:p w14:paraId="6B1903BF" w14:textId="77777777" w:rsidR="00355E5A" w:rsidRDefault="003C4050">
      <w:pPr>
        <w:spacing w:after="60"/>
        <w:ind w:left="360" w:hanging="360"/>
      </w:pPr>
      <w:r>
        <w:rPr>
          <w:sz w:val="21"/>
        </w:rPr>
        <w:t>Martens, B., Miralles, D. G., Lievens, H., van der Schalie, R., de Jeu, R. A. M., et al. (2017). GLE</w:t>
      </w:r>
      <w:r>
        <w:rPr>
          <w:sz w:val="21"/>
        </w:rPr>
        <w:t>AM v3: Satellite-based land evaporation and root-zone soil moisture. Geoscientific Model Development, 10, 1903–1925. https://doi.org/10.5194/gmd-10-1903-2017</w:t>
      </w:r>
    </w:p>
    <w:p w14:paraId="39B19AA4" w14:textId="77777777" w:rsidR="00355E5A" w:rsidRDefault="003C4050">
      <w:pPr>
        <w:spacing w:after="60"/>
        <w:ind w:left="360" w:hanging="360"/>
      </w:pPr>
      <w:r>
        <w:rPr>
          <w:sz w:val="21"/>
        </w:rPr>
        <w:t>Müller Schmied, H., Trautmann, T., Ackermann, S., Cáceres, D., Flörke, M., et al. (2024a). WaterGA</w:t>
      </w:r>
      <w:r>
        <w:rPr>
          <w:sz w:val="21"/>
        </w:rPr>
        <w:t>P v2.2e model output driven by GSWP3–ERA5 neglecting direct human impacts [Data set]. Goethe University Frankfurt. https://doi.org/10.25716/GUDE.1TWP-GNQP</w:t>
      </w:r>
    </w:p>
    <w:p w14:paraId="6D8660EA" w14:textId="77777777" w:rsidR="00355E5A" w:rsidRDefault="003C4050">
      <w:pPr>
        <w:spacing w:after="60"/>
        <w:ind w:left="360" w:hanging="360"/>
      </w:pPr>
      <w:r>
        <w:rPr>
          <w:sz w:val="21"/>
        </w:rPr>
        <w:t>Müller Schmied, H., Trautmann, T., Ackermann, S., Cáceres, D., Flörke, M., et al. (2024b). WaterGAP v</w:t>
      </w:r>
      <w:r>
        <w:rPr>
          <w:sz w:val="21"/>
        </w:rPr>
        <w:t>2.2e model output driven by GSWP3–ERA5 including direct human impacts [Data set]. Goethe University Frankfurt. https://doi.org/10.25716/GUDE.14B4-KQ6R</w:t>
      </w:r>
    </w:p>
    <w:p w14:paraId="5740DAF5" w14:textId="77777777" w:rsidR="00355E5A" w:rsidRDefault="003C4050">
      <w:pPr>
        <w:spacing w:after="60"/>
        <w:ind w:left="360" w:hanging="360"/>
      </w:pPr>
      <w:r>
        <w:rPr>
          <w:sz w:val="21"/>
        </w:rPr>
        <w:t>Müller Schmied, H., Trautmann, T., Ackermann, S., Cáceres, D., Flörke, M., Gerdener, H., et al. (2024). T</w:t>
      </w:r>
      <w:r>
        <w:rPr>
          <w:sz w:val="21"/>
        </w:rPr>
        <w:t>he global water resources and use model WaterGAP v2.2e: description and evaluation of modifications and new features. Geoscientific Model Development, 17, 8817-8852. https://doi.org/10.5194/gmd-17-8817-2024</w:t>
      </w:r>
    </w:p>
    <w:p w14:paraId="6E1CBCD9" w14:textId="77777777" w:rsidR="00355E5A" w:rsidRDefault="003C4050">
      <w:pPr>
        <w:spacing w:after="60"/>
        <w:ind w:left="360" w:hanging="360"/>
      </w:pPr>
      <w:r>
        <w:rPr>
          <w:sz w:val="21"/>
        </w:rPr>
        <w:t>NASA. (n.d.). Global Land Data Assimilation Syste</w:t>
      </w:r>
      <w:r>
        <w:rPr>
          <w:sz w:val="21"/>
        </w:rPr>
        <w:t>m dataset specifications. https://ldas.gsfc.nasa.gov/gldas/dataset</w:t>
      </w:r>
    </w:p>
    <w:p w14:paraId="5F85B47C" w14:textId="77777777" w:rsidR="00355E5A" w:rsidRDefault="003C4050">
      <w:pPr>
        <w:spacing w:after="60"/>
        <w:ind w:left="360" w:hanging="360"/>
      </w:pPr>
      <w:r>
        <w:rPr>
          <w:sz w:val="21"/>
        </w:rPr>
        <w:t>Office of the National Water Resources. (n.d.). Thailand principal-basin boundaries [Project-supplied MainBasin_ONWR_Law_WGS84 spatial data].</w:t>
      </w:r>
    </w:p>
    <w:p w14:paraId="2769E95E" w14:textId="77777777" w:rsidR="00355E5A" w:rsidRDefault="003C4050">
      <w:pPr>
        <w:spacing w:after="60"/>
        <w:ind w:left="360" w:hanging="360"/>
      </w:pPr>
      <w:r>
        <w:rPr>
          <w:sz w:val="21"/>
        </w:rPr>
        <w:t xml:space="preserve">Roberts, D. R., Bahn, V., Ciuti, S., Boyce, M. </w:t>
      </w:r>
      <w:r>
        <w:rPr>
          <w:sz w:val="21"/>
        </w:rPr>
        <w:t>S., Elith, J., Guillera‐Arroita, G., et al. (2017). Cross‐validation strategies for data with temporal, spatial, hierarchical, or phylogenetic structure. Ecography, 40, 913-929. https://doi.org/10.1111/ecog.02881</w:t>
      </w:r>
    </w:p>
    <w:p w14:paraId="252A7957" w14:textId="77777777" w:rsidR="00355E5A" w:rsidRDefault="003C4050">
      <w:pPr>
        <w:spacing w:after="60"/>
        <w:ind w:left="360" w:hanging="360"/>
      </w:pPr>
      <w:r>
        <w:rPr>
          <w:sz w:val="21"/>
        </w:rPr>
        <w:t>Rodell, M., Houser, P. R., Jambor, U., Gott</w:t>
      </w:r>
      <w:r>
        <w:rPr>
          <w:sz w:val="21"/>
        </w:rPr>
        <w:t>schalck, J., Mitchell, K., Meng, C. J., et al. (2004). The Global Land Data Assimilation System. Bulletin of the American Meteorological Society, 85, 381-394. https://doi.org/10.1175/BAMS-85-3-381</w:t>
      </w:r>
    </w:p>
    <w:p w14:paraId="697DCF4D" w14:textId="77777777" w:rsidR="00355E5A" w:rsidRDefault="003C4050">
      <w:pPr>
        <w:spacing w:after="60"/>
        <w:ind w:left="360" w:hanging="360"/>
      </w:pPr>
      <w:r>
        <w:rPr>
          <w:sz w:val="21"/>
        </w:rPr>
        <w:t>Save, H. (2020). CSR GRACE and GRACE-FO RL06 Mascon Solutio</w:t>
      </w:r>
      <w:r>
        <w:rPr>
          <w:sz w:val="21"/>
        </w:rPr>
        <w:t>ns v02 [Data set]. University of Texas at Austin. https://doi.org/10.15781/cgq9-nh24</w:t>
      </w:r>
    </w:p>
    <w:p w14:paraId="1A86AEDE" w14:textId="77777777" w:rsidR="00355E5A" w:rsidRDefault="003C4050">
      <w:pPr>
        <w:spacing w:after="60"/>
        <w:ind w:left="360" w:hanging="360"/>
      </w:pPr>
      <w:r>
        <w:rPr>
          <w:sz w:val="21"/>
        </w:rPr>
        <w:t>Save, H., Bettadpur, S., &amp; Tapley, B. D. (2016). High-resolution CSR GRACE RL05 mascons. Journal of Geophysical Research Solid Earth, 121, 7547–7569. https://doi.org/10.10</w:t>
      </w:r>
      <w:r>
        <w:rPr>
          <w:sz w:val="21"/>
        </w:rPr>
        <w:t>02/2016JB013007</w:t>
      </w:r>
    </w:p>
    <w:p w14:paraId="3BEF31B9" w14:textId="77777777" w:rsidR="00355E5A" w:rsidRDefault="003C4050">
      <w:pPr>
        <w:spacing w:after="60"/>
        <w:ind w:left="360" w:hanging="360"/>
      </w:pPr>
      <w:r>
        <w:rPr>
          <w:sz w:val="21"/>
        </w:rPr>
        <w:t>Sen, P. K. (1968). Estimates of the Regression Coefficient Based on Kendall's Tau. Journal of the American Statistical Association, 63, 1379-1389. https://doi.org/10.1080/01621459.1968.10480934</w:t>
      </w:r>
    </w:p>
    <w:p w14:paraId="62534D16" w14:textId="77777777" w:rsidR="00355E5A" w:rsidRDefault="003C4050">
      <w:pPr>
        <w:spacing w:after="60"/>
        <w:ind w:left="360" w:hanging="360"/>
      </w:pPr>
      <w:r>
        <w:rPr>
          <w:sz w:val="21"/>
        </w:rPr>
        <w:t xml:space="preserve">Sharifi, E., Haas, J., Boergens, E., Dobslaw, </w:t>
      </w:r>
      <w:r>
        <w:rPr>
          <w:sz w:val="21"/>
        </w:rPr>
        <w:t>H., Güntner, A. (2025). Technical note: GRACE-compatible filtering of water storage data sets via spatial autocorrelation analysis. Hydrology and Earth System Sciences, 29, 6985-6998. https://doi.org/10.5194/hess-29-6985-2025</w:t>
      </w:r>
    </w:p>
    <w:p w14:paraId="30C13EC0" w14:textId="77777777" w:rsidR="00355E5A" w:rsidRDefault="003C4050">
      <w:pPr>
        <w:spacing w:after="60"/>
        <w:ind w:left="360" w:hanging="360"/>
      </w:pPr>
      <w:r>
        <w:rPr>
          <w:sz w:val="21"/>
        </w:rPr>
        <w:t>Sharma, Y. K., Mohanasundaram,</w:t>
      </w:r>
      <w:r>
        <w:rPr>
          <w:sz w:val="21"/>
        </w:rPr>
        <w:t xml:space="preserve"> S., Kim, S., Shrestha, S., Babel, M. S., &amp; Loc, H. H. (2025). Enhancing aquifer reliability and resilience assessment in data-scarce regions using satellite data: Application to the Chao Phraya River Basin. Remote Sensing, 17, 1731. https://doi.org/10.339</w:t>
      </w:r>
      <w:r>
        <w:rPr>
          <w:sz w:val="21"/>
        </w:rPr>
        <w:t>0/rs17101731</w:t>
      </w:r>
    </w:p>
    <w:p w14:paraId="00912BF6" w14:textId="77777777" w:rsidR="00355E5A" w:rsidRDefault="003C4050">
      <w:pPr>
        <w:spacing w:after="60"/>
        <w:ind w:left="360" w:hanging="360"/>
      </w:pPr>
      <w:r>
        <w:rPr>
          <w:sz w:val="21"/>
        </w:rPr>
        <w:t>Sutterley, T., et al. (2026). Gravity toolkit time utilities and special GRACE month adjustments [Software documentation]. https://read-grace-harmonics.readthedocs.io/en/latest/api_reference/time.html</w:t>
      </w:r>
    </w:p>
    <w:p w14:paraId="5C503889" w14:textId="77777777" w:rsidR="00355E5A" w:rsidRDefault="003C4050">
      <w:pPr>
        <w:spacing w:after="60"/>
        <w:ind w:left="360" w:hanging="360"/>
      </w:pPr>
      <w:r>
        <w:rPr>
          <w:sz w:val="21"/>
        </w:rPr>
        <w:t>Zou, H., Hastie, T. (2005). Regularization</w:t>
      </w:r>
      <w:r>
        <w:rPr>
          <w:sz w:val="21"/>
        </w:rPr>
        <w:t xml:space="preserve"> and Variable Selection Via the Elastic Net. Journal of the Royal Statistical Society Series B: Statistical Methodology, 67, 301-320. https://doi.org/10.1111/j.1467-9868.2005.00503.x</w:t>
      </w:r>
    </w:p>
    <w:p w14:paraId="0C95B425" w14:textId="77777777" w:rsidR="00355E5A" w:rsidRDefault="003C4050">
      <w:pPr>
        <w:pStyle w:val="Heading2"/>
        <w:pageBreakBefore/>
        <w:numPr>
          <w:ilvl w:val="1"/>
          <w:numId w:val="0"/>
        </w:numPr>
        <w:spacing w:after="160" w:line="240" w:lineRule="auto"/>
      </w:pPr>
      <w:bookmarkStart w:id="61" w:name="_Toc243829238"/>
      <w:r>
        <w:lastRenderedPageBreak/>
        <w:t>APPENDIX A</w:t>
      </w:r>
      <w:r>
        <w:br/>
        <w:t>ALL BASIN RESULTS</w:t>
      </w:r>
      <w:bookmarkEnd w:id="61"/>
    </w:p>
    <w:p w14:paraId="662C9C3F" w14:textId="77777777" w:rsidR="00355E5A" w:rsidRDefault="003C4050">
      <w:pPr>
        <w:pStyle w:val="Caption"/>
        <w:keepNext/>
        <w:spacing w:after="140" w:line="276" w:lineRule="auto"/>
        <w:jc w:val="center"/>
      </w:pPr>
      <w:bookmarkStart w:id="62" w:name="TableA_1"/>
      <w:r>
        <w:rPr>
          <w:rFonts w:ascii="Times New Roman" w:hAnsi="Times New Roman"/>
          <w:b/>
          <w:sz w:val="22"/>
        </w:rPr>
        <w:t xml:space="preserve">Table A.1 All-basin primary slopes and </w:t>
      </w:r>
      <w:r>
        <w:rPr>
          <w:rFonts w:ascii="Times New Roman" w:hAnsi="Times New Roman"/>
          <w:b/>
          <w:sz w:val="22"/>
        </w:rPr>
        <w:t>mapped support</w:t>
      </w:r>
      <w:bookmarkEnd w:id="62"/>
    </w:p>
    <w:tbl>
      <w:tblPr>
        <w:tblW w:w="0" w:type="auto"/>
        <w:tblLayout w:type="fixed"/>
        <w:tblLook w:val="04A0" w:firstRow="1" w:lastRow="0" w:firstColumn="1" w:lastColumn="0" w:noHBand="0" w:noVBand="1"/>
      </w:tblPr>
      <w:tblGrid>
        <w:gridCol w:w="4392"/>
        <w:gridCol w:w="1512"/>
        <w:gridCol w:w="1512"/>
        <w:gridCol w:w="1440"/>
      </w:tblGrid>
      <w:tr w:rsidR="00355E5A" w14:paraId="778019E3" w14:textId="77777777">
        <w:trPr>
          <w:tblHeader/>
        </w:trPr>
        <w:tc>
          <w:tcPr>
            <w:tcW w:w="4392" w:type="dxa"/>
            <w:tcBorders>
              <w:top w:val="single" w:sz="4" w:space="0" w:color="B7B7B7"/>
              <w:left w:val="single" w:sz="4" w:space="0" w:color="B7B7B7"/>
              <w:bottom w:val="single" w:sz="4" w:space="0" w:color="B7B7B7"/>
              <w:right w:val="single" w:sz="4" w:space="0" w:color="B7B7B7"/>
            </w:tcBorders>
          </w:tcPr>
          <w:p w14:paraId="58730E8D" w14:textId="77777777" w:rsidR="00355E5A" w:rsidRDefault="003C4050">
            <w:pPr>
              <w:spacing w:before="60" w:after="60" w:line="252" w:lineRule="auto"/>
            </w:pPr>
            <w:r>
              <w:rPr>
                <w:b/>
                <w:sz w:val="21"/>
              </w:rPr>
              <w:t>Basin</w:t>
            </w:r>
          </w:p>
        </w:tc>
        <w:tc>
          <w:tcPr>
            <w:tcW w:w="1512" w:type="dxa"/>
            <w:tcBorders>
              <w:top w:val="single" w:sz="4" w:space="0" w:color="B7B7B7"/>
              <w:left w:val="single" w:sz="4" w:space="0" w:color="B7B7B7"/>
              <w:bottom w:val="single" w:sz="4" w:space="0" w:color="B7B7B7"/>
              <w:right w:val="single" w:sz="4" w:space="0" w:color="B7B7B7"/>
            </w:tcBorders>
          </w:tcPr>
          <w:p w14:paraId="5102261E" w14:textId="77777777" w:rsidR="00355E5A" w:rsidRDefault="003C4050">
            <w:pPr>
              <w:spacing w:before="60" w:after="60" w:line="252" w:lineRule="auto"/>
              <w:jc w:val="center"/>
            </w:pPr>
            <w:r>
              <w:rPr>
                <w:b/>
                <w:sz w:val="21"/>
              </w:rPr>
              <w:t>TWSA mm/yr</w:t>
            </w:r>
          </w:p>
        </w:tc>
        <w:tc>
          <w:tcPr>
            <w:tcW w:w="1512" w:type="dxa"/>
            <w:tcBorders>
              <w:top w:val="single" w:sz="4" w:space="0" w:color="B7B7B7"/>
              <w:left w:val="single" w:sz="4" w:space="0" w:color="B7B7B7"/>
              <w:bottom w:val="single" w:sz="4" w:space="0" w:color="B7B7B7"/>
              <w:right w:val="single" w:sz="4" w:space="0" w:color="B7B7B7"/>
            </w:tcBorders>
          </w:tcPr>
          <w:p w14:paraId="5A7D2024" w14:textId="77777777" w:rsidR="00355E5A" w:rsidRDefault="003C4050">
            <w:pPr>
              <w:spacing w:before="60" w:after="60" w:line="252" w:lineRule="auto"/>
              <w:jc w:val="center"/>
            </w:pPr>
            <w:r>
              <w:rPr>
                <w:b/>
                <w:sz w:val="21"/>
              </w:rPr>
              <w:t>GWSA mm/yr</w:t>
            </w:r>
          </w:p>
        </w:tc>
        <w:tc>
          <w:tcPr>
            <w:tcW w:w="1440" w:type="dxa"/>
            <w:tcBorders>
              <w:top w:val="single" w:sz="4" w:space="0" w:color="B7B7B7"/>
              <w:left w:val="single" w:sz="4" w:space="0" w:color="B7B7B7"/>
              <w:bottom w:val="single" w:sz="4" w:space="0" w:color="B7B7B7"/>
              <w:right w:val="single" w:sz="4" w:space="0" w:color="B7B7B7"/>
            </w:tcBorders>
          </w:tcPr>
          <w:p w14:paraId="0D46FDB7" w14:textId="77777777" w:rsidR="00355E5A" w:rsidRDefault="003C4050">
            <w:pPr>
              <w:spacing w:before="60" w:after="60" w:line="252" w:lineRule="auto"/>
              <w:jc w:val="center"/>
            </w:pPr>
            <w:r>
              <w:rPr>
                <w:b/>
                <w:sz w:val="21"/>
              </w:rPr>
              <w:t>Native conc.</w:t>
            </w:r>
          </w:p>
        </w:tc>
      </w:tr>
      <w:tr w:rsidR="00355E5A" w14:paraId="3B4553AE" w14:textId="77777777">
        <w:tc>
          <w:tcPr>
            <w:tcW w:w="4392" w:type="dxa"/>
            <w:tcBorders>
              <w:top w:val="single" w:sz="4" w:space="0" w:color="B7B7B7"/>
              <w:left w:val="single" w:sz="4" w:space="0" w:color="B7B7B7"/>
              <w:bottom w:val="single" w:sz="4" w:space="0" w:color="B7B7B7"/>
              <w:right w:val="single" w:sz="4" w:space="0" w:color="B7B7B7"/>
            </w:tcBorders>
          </w:tcPr>
          <w:p w14:paraId="086E1374" w14:textId="77777777" w:rsidR="00355E5A" w:rsidRDefault="003C4050">
            <w:pPr>
              <w:spacing w:before="60" w:after="60" w:line="252" w:lineRule="auto"/>
            </w:pPr>
            <w:r>
              <w:rPr>
                <w:sz w:val="21"/>
              </w:rPr>
              <w:t>01 Salawin</w:t>
            </w:r>
          </w:p>
        </w:tc>
        <w:tc>
          <w:tcPr>
            <w:tcW w:w="1512" w:type="dxa"/>
            <w:tcBorders>
              <w:top w:val="single" w:sz="4" w:space="0" w:color="B7B7B7"/>
              <w:left w:val="single" w:sz="4" w:space="0" w:color="B7B7B7"/>
              <w:bottom w:val="single" w:sz="4" w:space="0" w:color="B7B7B7"/>
              <w:right w:val="single" w:sz="4" w:space="0" w:color="B7B7B7"/>
            </w:tcBorders>
          </w:tcPr>
          <w:p w14:paraId="01ECF188" w14:textId="77777777" w:rsidR="00355E5A" w:rsidRDefault="003C4050">
            <w:pPr>
              <w:spacing w:before="60" w:after="60" w:line="252" w:lineRule="auto"/>
              <w:jc w:val="center"/>
            </w:pPr>
            <w:r>
              <w:rPr>
                <w:sz w:val="21"/>
              </w:rPr>
              <w:t>-3.59</w:t>
            </w:r>
          </w:p>
        </w:tc>
        <w:tc>
          <w:tcPr>
            <w:tcW w:w="1512" w:type="dxa"/>
            <w:tcBorders>
              <w:top w:val="single" w:sz="4" w:space="0" w:color="B7B7B7"/>
              <w:left w:val="single" w:sz="4" w:space="0" w:color="B7B7B7"/>
              <w:bottom w:val="single" w:sz="4" w:space="0" w:color="B7B7B7"/>
              <w:right w:val="single" w:sz="4" w:space="0" w:color="B7B7B7"/>
            </w:tcBorders>
          </w:tcPr>
          <w:p w14:paraId="79FA9E35" w14:textId="77777777" w:rsidR="00355E5A" w:rsidRDefault="003C4050">
            <w:pPr>
              <w:spacing w:before="60" w:after="60" w:line="252" w:lineRule="auto"/>
              <w:jc w:val="center"/>
            </w:pPr>
            <w:r>
              <w:rPr>
                <w:sz w:val="21"/>
              </w:rPr>
              <w:t>-2.88</w:t>
            </w:r>
          </w:p>
        </w:tc>
        <w:tc>
          <w:tcPr>
            <w:tcW w:w="1440" w:type="dxa"/>
            <w:tcBorders>
              <w:top w:val="single" w:sz="4" w:space="0" w:color="B7B7B7"/>
              <w:left w:val="single" w:sz="4" w:space="0" w:color="B7B7B7"/>
              <w:bottom w:val="single" w:sz="4" w:space="0" w:color="B7B7B7"/>
              <w:right w:val="single" w:sz="4" w:space="0" w:color="B7B7B7"/>
            </w:tcBorders>
          </w:tcPr>
          <w:p w14:paraId="1E94531D" w14:textId="77777777" w:rsidR="00355E5A" w:rsidRDefault="003C4050">
            <w:pPr>
              <w:spacing w:before="60" w:after="60" w:line="252" w:lineRule="auto"/>
              <w:jc w:val="center"/>
            </w:pPr>
            <w:r>
              <w:rPr>
                <w:sz w:val="21"/>
              </w:rPr>
              <w:t>4.2</w:t>
            </w:r>
          </w:p>
        </w:tc>
      </w:tr>
      <w:tr w:rsidR="00355E5A" w14:paraId="395CBFE2" w14:textId="77777777">
        <w:tc>
          <w:tcPr>
            <w:tcW w:w="4392" w:type="dxa"/>
            <w:tcBorders>
              <w:top w:val="single" w:sz="4" w:space="0" w:color="B7B7B7"/>
              <w:left w:val="single" w:sz="4" w:space="0" w:color="B7B7B7"/>
              <w:bottom w:val="single" w:sz="4" w:space="0" w:color="B7B7B7"/>
              <w:right w:val="single" w:sz="4" w:space="0" w:color="B7B7B7"/>
            </w:tcBorders>
          </w:tcPr>
          <w:p w14:paraId="6DA81360" w14:textId="77777777" w:rsidR="00355E5A" w:rsidRDefault="003C4050">
            <w:pPr>
              <w:spacing w:before="60" w:after="60" w:line="252" w:lineRule="auto"/>
            </w:pPr>
            <w:r>
              <w:rPr>
                <w:sz w:val="21"/>
              </w:rPr>
              <w:t>02 North Khong</w:t>
            </w:r>
          </w:p>
        </w:tc>
        <w:tc>
          <w:tcPr>
            <w:tcW w:w="1512" w:type="dxa"/>
            <w:tcBorders>
              <w:top w:val="single" w:sz="4" w:space="0" w:color="B7B7B7"/>
              <w:left w:val="single" w:sz="4" w:space="0" w:color="B7B7B7"/>
              <w:bottom w:val="single" w:sz="4" w:space="0" w:color="B7B7B7"/>
              <w:right w:val="single" w:sz="4" w:space="0" w:color="B7B7B7"/>
            </w:tcBorders>
          </w:tcPr>
          <w:p w14:paraId="63FC298E" w14:textId="77777777" w:rsidR="00355E5A" w:rsidRDefault="003C4050">
            <w:pPr>
              <w:spacing w:before="60" w:after="60" w:line="252" w:lineRule="auto"/>
              <w:jc w:val="center"/>
            </w:pPr>
            <w:r>
              <w:rPr>
                <w:sz w:val="21"/>
              </w:rPr>
              <w:t>-1.90</w:t>
            </w:r>
          </w:p>
        </w:tc>
        <w:tc>
          <w:tcPr>
            <w:tcW w:w="1512" w:type="dxa"/>
            <w:tcBorders>
              <w:top w:val="single" w:sz="4" w:space="0" w:color="B7B7B7"/>
              <w:left w:val="single" w:sz="4" w:space="0" w:color="B7B7B7"/>
              <w:bottom w:val="single" w:sz="4" w:space="0" w:color="B7B7B7"/>
              <w:right w:val="single" w:sz="4" w:space="0" w:color="B7B7B7"/>
            </w:tcBorders>
          </w:tcPr>
          <w:p w14:paraId="5BD32B23" w14:textId="77777777" w:rsidR="00355E5A" w:rsidRDefault="003C4050">
            <w:pPr>
              <w:spacing w:before="60" w:after="60" w:line="252" w:lineRule="auto"/>
              <w:jc w:val="center"/>
            </w:pPr>
            <w:r>
              <w:rPr>
                <w:sz w:val="21"/>
              </w:rPr>
              <w:t>-1.83</w:t>
            </w:r>
          </w:p>
        </w:tc>
        <w:tc>
          <w:tcPr>
            <w:tcW w:w="1440" w:type="dxa"/>
            <w:tcBorders>
              <w:top w:val="single" w:sz="4" w:space="0" w:color="B7B7B7"/>
              <w:left w:val="single" w:sz="4" w:space="0" w:color="B7B7B7"/>
              <w:bottom w:val="single" w:sz="4" w:space="0" w:color="B7B7B7"/>
              <w:right w:val="single" w:sz="4" w:space="0" w:color="B7B7B7"/>
            </w:tcBorders>
          </w:tcPr>
          <w:p w14:paraId="4F2AD5E6" w14:textId="77777777" w:rsidR="00355E5A" w:rsidRDefault="003C4050">
            <w:pPr>
              <w:spacing w:before="60" w:after="60" w:line="252" w:lineRule="auto"/>
              <w:jc w:val="center"/>
            </w:pPr>
            <w:r>
              <w:rPr>
                <w:sz w:val="21"/>
              </w:rPr>
              <w:t>3.1</w:t>
            </w:r>
          </w:p>
        </w:tc>
      </w:tr>
      <w:tr w:rsidR="00355E5A" w14:paraId="58BC53BE" w14:textId="77777777">
        <w:tc>
          <w:tcPr>
            <w:tcW w:w="4392" w:type="dxa"/>
            <w:tcBorders>
              <w:top w:val="single" w:sz="4" w:space="0" w:color="B7B7B7"/>
              <w:left w:val="single" w:sz="4" w:space="0" w:color="B7B7B7"/>
              <w:bottom w:val="single" w:sz="4" w:space="0" w:color="B7B7B7"/>
              <w:right w:val="single" w:sz="4" w:space="0" w:color="B7B7B7"/>
            </w:tcBorders>
          </w:tcPr>
          <w:p w14:paraId="363A0716" w14:textId="77777777" w:rsidR="00355E5A" w:rsidRDefault="003C4050">
            <w:pPr>
              <w:spacing w:before="60" w:after="60" w:line="252" w:lineRule="auto"/>
            </w:pPr>
            <w:r>
              <w:rPr>
                <w:sz w:val="21"/>
              </w:rPr>
              <w:t>03 Northeast Khong</w:t>
            </w:r>
          </w:p>
        </w:tc>
        <w:tc>
          <w:tcPr>
            <w:tcW w:w="1512" w:type="dxa"/>
            <w:tcBorders>
              <w:top w:val="single" w:sz="4" w:space="0" w:color="B7B7B7"/>
              <w:left w:val="single" w:sz="4" w:space="0" w:color="B7B7B7"/>
              <w:bottom w:val="single" w:sz="4" w:space="0" w:color="B7B7B7"/>
              <w:right w:val="single" w:sz="4" w:space="0" w:color="B7B7B7"/>
            </w:tcBorders>
          </w:tcPr>
          <w:p w14:paraId="6B2EA37E" w14:textId="77777777" w:rsidR="00355E5A" w:rsidRDefault="003C4050">
            <w:pPr>
              <w:spacing w:before="60" w:after="60" w:line="252" w:lineRule="auto"/>
              <w:jc w:val="center"/>
            </w:pPr>
            <w:r>
              <w:rPr>
                <w:sz w:val="21"/>
              </w:rPr>
              <w:t>-1.32</w:t>
            </w:r>
          </w:p>
        </w:tc>
        <w:tc>
          <w:tcPr>
            <w:tcW w:w="1512" w:type="dxa"/>
            <w:tcBorders>
              <w:top w:val="single" w:sz="4" w:space="0" w:color="B7B7B7"/>
              <w:left w:val="single" w:sz="4" w:space="0" w:color="B7B7B7"/>
              <w:bottom w:val="single" w:sz="4" w:space="0" w:color="B7B7B7"/>
              <w:right w:val="single" w:sz="4" w:space="0" w:color="B7B7B7"/>
            </w:tcBorders>
          </w:tcPr>
          <w:p w14:paraId="77430411" w14:textId="77777777" w:rsidR="00355E5A" w:rsidRDefault="003C4050">
            <w:pPr>
              <w:spacing w:before="60" w:after="60" w:line="252" w:lineRule="auto"/>
              <w:jc w:val="center"/>
            </w:pPr>
            <w:r>
              <w:rPr>
                <w:sz w:val="21"/>
              </w:rPr>
              <w:t>-1.59</w:t>
            </w:r>
          </w:p>
        </w:tc>
        <w:tc>
          <w:tcPr>
            <w:tcW w:w="1440" w:type="dxa"/>
            <w:tcBorders>
              <w:top w:val="single" w:sz="4" w:space="0" w:color="B7B7B7"/>
              <w:left w:val="single" w:sz="4" w:space="0" w:color="B7B7B7"/>
              <w:bottom w:val="single" w:sz="4" w:space="0" w:color="B7B7B7"/>
              <w:right w:val="single" w:sz="4" w:space="0" w:color="B7B7B7"/>
            </w:tcBorders>
          </w:tcPr>
          <w:p w14:paraId="61000493" w14:textId="77777777" w:rsidR="00355E5A" w:rsidRDefault="003C4050">
            <w:pPr>
              <w:spacing w:before="60" w:after="60" w:line="252" w:lineRule="auto"/>
              <w:jc w:val="center"/>
            </w:pPr>
            <w:r>
              <w:rPr>
                <w:sz w:val="21"/>
              </w:rPr>
              <w:t>6.9</w:t>
            </w:r>
          </w:p>
        </w:tc>
      </w:tr>
      <w:tr w:rsidR="00355E5A" w14:paraId="58772D46" w14:textId="77777777">
        <w:tc>
          <w:tcPr>
            <w:tcW w:w="4392" w:type="dxa"/>
            <w:tcBorders>
              <w:top w:val="single" w:sz="4" w:space="0" w:color="B7B7B7"/>
              <w:left w:val="single" w:sz="4" w:space="0" w:color="B7B7B7"/>
              <w:bottom w:val="single" w:sz="4" w:space="0" w:color="B7B7B7"/>
              <w:right w:val="single" w:sz="4" w:space="0" w:color="B7B7B7"/>
            </w:tcBorders>
          </w:tcPr>
          <w:p w14:paraId="4BE57FC8" w14:textId="77777777" w:rsidR="00355E5A" w:rsidRDefault="003C4050">
            <w:pPr>
              <w:spacing w:before="60" w:after="60" w:line="252" w:lineRule="auto"/>
            </w:pPr>
            <w:r>
              <w:rPr>
                <w:sz w:val="21"/>
              </w:rPr>
              <w:t>04 Chi</w:t>
            </w:r>
          </w:p>
        </w:tc>
        <w:tc>
          <w:tcPr>
            <w:tcW w:w="1512" w:type="dxa"/>
            <w:tcBorders>
              <w:top w:val="single" w:sz="4" w:space="0" w:color="B7B7B7"/>
              <w:left w:val="single" w:sz="4" w:space="0" w:color="B7B7B7"/>
              <w:bottom w:val="single" w:sz="4" w:space="0" w:color="B7B7B7"/>
              <w:right w:val="single" w:sz="4" w:space="0" w:color="B7B7B7"/>
            </w:tcBorders>
          </w:tcPr>
          <w:p w14:paraId="3E63FABE" w14:textId="77777777" w:rsidR="00355E5A" w:rsidRDefault="003C4050">
            <w:pPr>
              <w:spacing w:before="60" w:after="60" w:line="252" w:lineRule="auto"/>
              <w:jc w:val="center"/>
            </w:pPr>
            <w:r>
              <w:rPr>
                <w:sz w:val="21"/>
              </w:rPr>
              <w:t>-3.65</w:t>
            </w:r>
          </w:p>
        </w:tc>
        <w:tc>
          <w:tcPr>
            <w:tcW w:w="1512" w:type="dxa"/>
            <w:tcBorders>
              <w:top w:val="single" w:sz="4" w:space="0" w:color="B7B7B7"/>
              <w:left w:val="single" w:sz="4" w:space="0" w:color="B7B7B7"/>
              <w:bottom w:val="single" w:sz="4" w:space="0" w:color="B7B7B7"/>
              <w:right w:val="single" w:sz="4" w:space="0" w:color="B7B7B7"/>
            </w:tcBorders>
          </w:tcPr>
          <w:p w14:paraId="1C9711C2" w14:textId="77777777" w:rsidR="00355E5A" w:rsidRDefault="003C4050">
            <w:pPr>
              <w:spacing w:before="60" w:after="60" w:line="252" w:lineRule="auto"/>
              <w:jc w:val="center"/>
            </w:pPr>
            <w:r>
              <w:rPr>
                <w:sz w:val="21"/>
              </w:rPr>
              <w:t>-3.32</w:t>
            </w:r>
          </w:p>
        </w:tc>
        <w:tc>
          <w:tcPr>
            <w:tcW w:w="1440" w:type="dxa"/>
            <w:tcBorders>
              <w:top w:val="single" w:sz="4" w:space="0" w:color="B7B7B7"/>
              <w:left w:val="single" w:sz="4" w:space="0" w:color="B7B7B7"/>
              <w:bottom w:val="single" w:sz="4" w:space="0" w:color="B7B7B7"/>
              <w:right w:val="single" w:sz="4" w:space="0" w:color="B7B7B7"/>
            </w:tcBorders>
          </w:tcPr>
          <w:p w14:paraId="6A9104EF" w14:textId="77777777" w:rsidR="00355E5A" w:rsidRDefault="003C4050">
            <w:pPr>
              <w:spacing w:before="60" w:after="60" w:line="252" w:lineRule="auto"/>
              <w:jc w:val="center"/>
            </w:pPr>
            <w:r>
              <w:rPr>
                <w:sz w:val="21"/>
              </w:rPr>
              <w:t>6.1</w:t>
            </w:r>
          </w:p>
        </w:tc>
      </w:tr>
      <w:tr w:rsidR="00355E5A" w14:paraId="659C0703" w14:textId="77777777">
        <w:tc>
          <w:tcPr>
            <w:tcW w:w="4392" w:type="dxa"/>
            <w:tcBorders>
              <w:top w:val="single" w:sz="4" w:space="0" w:color="B7B7B7"/>
              <w:left w:val="single" w:sz="4" w:space="0" w:color="B7B7B7"/>
              <w:bottom w:val="single" w:sz="4" w:space="0" w:color="B7B7B7"/>
              <w:right w:val="single" w:sz="4" w:space="0" w:color="B7B7B7"/>
            </w:tcBorders>
          </w:tcPr>
          <w:p w14:paraId="6F10B835" w14:textId="77777777" w:rsidR="00355E5A" w:rsidRDefault="003C4050">
            <w:pPr>
              <w:spacing w:before="60" w:after="60" w:line="252" w:lineRule="auto"/>
            </w:pPr>
            <w:r>
              <w:rPr>
                <w:sz w:val="21"/>
              </w:rPr>
              <w:t>05 Mun</w:t>
            </w:r>
          </w:p>
        </w:tc>
        <w:tc>
          <w:tcPr>
            <w:tcW w:w="1512" w:type="dxa"/>
            <w:tcBorders>
              <w:top w:val="single" w:sz="4" w:space="0" w:color="B7B7B7"/>
              <w:left w:val="single" w:sz="4" w:space="0" w:color="B7B7B7"/>
              <w:bottom w:val="single" w:sz="4" w:space="0" w:color="B7B7B7"/>
              <w:right w:val="single" w:sz="4" w:space="0" w:color="B7B7B7"/>
            </w:tcBorders>
          </w:tcPr>
          <w:p w14:paraId="6F77CB07" w14:textId="77777777" w:rsidR="00355E5A" w:rsidRDefault="003C4050">
            <w:pPr>
              <w:spacing w:before="60" w:after="60" w:line="252" w:lineRule="auto"/>
              <w:jc w:val="center"/>
            </w:pPr>
            <w:r>
              <w:rPr>
                <w:sz w:val="21"/>
              </w:rPr>
              <w:t>-4.42</w:t>
            </w:r>
          </w:p>
        </w:tc>
        <w:tc>
          <w:tcPr>
            <w:tcW w:w="1512" w:type="dxa"/>
            <w:tcBorders>
              <w:top w:val="single" w:sz="4" w:space="0" w:color="B7B7B7"/>
              <w:left w:val="single" w:sz="4" w:space="0" w:color="B7B7B7"/>
              <w:bottom w:val="single" w:sz="4" w:space="0" w:color="B7B7B7"/>
              <w:right w:val="single" w:sz="4" w:space="0" w:color="B7B7B7"/>
            </w:tcBorders>
          </w:tcPr>
          <w:p w14:paraId="61B4BC75" w14:textId="77777777" w:rsidR="00355E5A" w:rsidRDefault="003C4050">
            <w:pPr>
              <w:spacing w:before="60" w:after="60" w:line="252" w:lineRule="auto"/>
              <w:jc w:val="center"/>
            </w:pPr>
            <w:r>
              <w:rPr>
                <w:sz w:val="21"/>
              </w:rPr>
              <w:t>-3.47</w:t>
            </w:r>
          </w:p>
        </w:tc>
        <w:tc>
          <w:tcPr>
            <w:tcW w:w="1440" w:type="dxa"/>
            <w:tcBorders>
              <w:top w:val="single" w:sz="4" w:space="0" w:color="B7B7B7"/>
              <w:left w:val="single" w:sz="4" w:space="0" w:color="B7B7B7"/>
              <w:bottom w:val="single" w:sz="4" w:space="0" w:color="B7B7B7"/>
              <w:right w:val="single" w:sz="4" w:space="0" w:color="B7B7B7"/>
            </w:tcBorders>
          </w:tcPr>
          <w:p w14:paraId="6DAECA83" w14:textId="77777777" w:rsidR="00355E5A" w:rsidRDefault="003C4050">
            <w:pPr>
              <w:spacing w:before="60" w:after="60" w:line="252" w:lineRule="auto"/>
              <w:jc w:val="center"/>
            </w:pPr>
            <w:r>
              <w:rPr>
                <w:sz w:val="21"/>
              </w:rPr>
              <w:t>8.4</w:t>
            </w:r>
          </w:p>
        </w:tc>
      </w:tr>
      <w:tr w:rsidR="00355E5A" w14:paraId="56FD77A7" w14:textId="77777777">
        <w:tc>
          <w:tcPr>
            <w:tcW w:w="4392" w:type="dxa"/>
            <w:tcBorders>
              <w:top w:val="single" w:sz="4" w:space="0" w:color="B7B7B7"/>
              <w:left w:val="single" w:sz="4" w:space="0" w:color="B7B7B7"/>
              <w:bottom w:val="single" w:sz="4" w:space="0" w:color="B7B7B7"/>
              <w:right w:val="single" w:sz="4" w:space="0" w:color="B7B7B7"/>
            </w:tcBorders>
          </w:tcPr>
          <w:p w14:paraId="2DC5EF02" w14:textId="77777777" w:rsidR="00355E5A" w:rsidRDefault="003C4050">
            <w:pPr>
              <w:spacing w:before="60" w:after="60" w:line="252" w:lineRule="auto"/>
            </w:pPr>
            <w:r>
              <w:rPr>
                <w:sz w:val="21"/>
              </w:rPr>
              <w:t>06 Ping</w:t>
            </w:r>
          </w:p>
        </w:tc>
        <w:tc>
          <w:tcPr>
            <w:tcW w:w="1512" w:type="dxa"/>
            <w:tcBorders>
              <w:top w:val="single" w:sz="4" w:space="0" w:color="B7B7B7"/>
              <w:left w:val="single" w:sz="4" w:space="0" w:color="B7B7B7"/>
              <w:bottom w:val="single" w:sz="4" w:space="0" w:color="B7B7B7"/>
              <w:right w:val="single" w:sz="4" w:space="0" w:color="B7B7B7"/>
            </w:tcBorders>
          </w:tcPr>
          <w:p w14:paraId="1D6EEF4E" w14:textId="77777777" w:rsidR="00355E5A" w:rsidRDefault="003C4050">
            <w:pPr>
              <w:spacing w:before="60" w:after="60" w:line="252" w:lineRule="auto"/>
              <w:jc w:val="center"/>
            </w:pPr>
            <w:r>
              <w:rPr>
                <w:sz w:val="21"/>
              </w:rPr>
              <w:t>-3.71</w:t>
            </w:r>
          </w:p>
        </w:tc>
        <w:tc>
          <w:tcPr>
            <w:tcW w:w="1512" w:type="dxa"/>
            <w:tcBorders>
              <w:top w:val="single" w:sz="4" w:space="0" w:color="B7B7B7"/>
              <w:left w:val="single" w:sz="4" w:space="0" w:color="B7B7B7"/>
              <w:bottom w:val="single" w:sz="4" w:space="0" w:color="B7B7B7"/>
              <w:right w:val="single" w:sz="4" w:space="0" w:color="B7B7B7"/>
            </w:tcBorders>
          </w:tcPr>
          <w:p w14:paraId="43DF3311" w14:textId="77777777" w:rsidR="00355E5A" w:rsidRDefault="003C4050">
            <w:pPr>
              <w:spacing w:before="60" w:after="60" w:line="252" w:lineRule="auto"/>
              <w:jc w:val="center"/>
            </w:pPr>
            <w:r>
              <w:rPr>
                <w:sz w:val="21"/>
              </w:rPr>
              <w:t>-3.10</w:t>
            </w:r>
          </w:p>
        </w:tc>
        <w:tc>
          <w:tcPr>
            <w:tcW w:w="1440" w:type="dxa"/>
            <w:tcBorders>
              <w:top w:val="single" w:sz="4" w:space="0" w:color="B7B7B7"/>
              <w:left w:val="single" w:sz="4" w:space="0" w:color="B7B7B7"/>
              <w:bottom w:val="single" w:sz="4" w:space="0" w:color="B7B7B7"/>
              <w:right w:val="single" w:sz="4" w:space="0" w:color="B7B7B7"/>
            </w:tcBorders>
          </w:tcPr>
          <w:p w14:paraId="64B6E1B3" w14:textId="77777777" w:rsidR="00355E5A" w:rsidRDefault="003C4050">
            <w:pPr>
              <w:spacing w:before="60" w:after="60" w:line="252" w:lineRule="auto"/>
              <w:jc w:val="center"/>
            </w:pPr>
            <w:r>
              <w:rPr>
                <w:sz w:val="21"/>
              </w:rPr>
              <w:t>6.0</w:t>
            </w:r>
          </w:p>
        </w:tc>
      </w:tr>
      <w:tr w:rsidR="00355E5A" w14:paraId="5C1A1650" w14:textId="77777777">
        <w:tc>
          <w:tcPr>
            <w:tcW w:w="4392" w:type="dxa"/>
            <w:tcBorders>
              <w:top w:val="single" w:sz="4" w:space="0" w:color="B7B7B7"/>
              <w:left w:val="single" w:sz="4" w:space="0" w:color="B7B7B7"/>
              <w:bottom w:val="single" w:sz="4" w:space="0" w:color="B7B7B7"/>
              <w:right w:val="single" w:sz="4" w:space="0" w:color="B7B7B7"/>
            </w:tcBorders>
          </w:tcPr>
          <w:p w14:paraId="54E42386" w14:textId="77777777" w:rsidR="00355E5A" w:rsidRDefault="003C4050">
            <w:pPr>
              <w:spacing w:before="60" w:after="60" w:line="252" w:lineRule="auto"/>
            </w:pPr>
            <w:r>
              <w:rPr>
                <w:sz w:val="21"/>
              </w:rPr>
              <w:t>07 Wang</w:t>
            </w:r>
          </w:p>
        </w:tc>
        <w:tc>
          <w:tcPr>
            <w:tcW w:w="1512" w:type="dxa"/>
            <w:tcBorders>
              <w:top w:val="single" w:sz="4" w:space="0" w:color="B7B7B7"/>
              <w:left w:val="single" w:sz="4" w:space="0" w:color="B7B7B7"/>
              <w:bottom w:val="single" w:sz="4" w:space="0" w:color="B7B7B7"/>
              <w:right w:val="single" w:sz="4" w:space="0" w:color="B7B7B7"/>
            </w:tcBorders>
          </w:tcPr>
          <w:p w14:paraId="4F33AE0F" w14:textId="77777777" w:rsidR="00355E5A" w:rsidRDefault="003C4050">
            <w:pPr>
              <w:spacing w:before="60" w:after="60" w:line="252" w:lineRule="auto"/>
              <w:jc w:val="center"/>
            </w:pPr>
            <w:r>
              <w:rPr>
                <w:sz w:val="21"/>
              </w:rPr>
              <w:t>-3.21</w:t>
            </w:r>
          </w:p>
        </w:tc>
        <w:tc>
          <w:tcPr>
            <w:tcW w:w="1512" w:type="dxa"/>
            <w:tcBorders>
              <w:top w:val="single" w:sz="4" w:space="0" w:color="B7B7B7"/>
              <w:left w:val="single" w:sz="4" w:space="0" w:color="B7B7B7"/>
              <w:bottom w:val="single" w:sz="4" w:space="0" w:color="B7B7B7"/>
              <w:right w:val="single" w:sz="4" w:space="0" w:color="B7B7B7"/>
            </w:tcBorders>
          </w:tcPr>
          <w:p w14:paraId="0CA96240" w14:textId="77777777" w:rsidR="00355E5A" w:rsidRDefault="003C4050">
            <w:pPr>
              <w:spacing w:before="60" w:after="60" w:line="252" w:lineRule="auto"/>
              <w:jc w:val="center"/>
            </w:pPr>
            <w:r>
              <w:rPr>
                <w:sz w:val="21"/>
              </w:rPr>
              <w:t>-3.32</w:t>
            </w:r>
          </w:p>
        </w:tc>
        <w:tc>
          <w:tcPr>
            <w:tcW w:w="1440" w:type="dxa"/>
            <w:tcBorders>
              <w:top w:val="single" w:sz="4" w:space="0" w:color="B7B7B7"/>
              <w:left w:val="single" w:sz="4" w:space="0" w:color="B7B7B7"/>
              <w:bottom w:val="single" w:sz="4" w:space="0" w:color="B7B7B7"/>
              <w:right w:val="single" w:sz="4" w:space="0" w:color="B7B7B7"/>
            </w:tcBorders>
          </w:tcPr>
          <w:p w14:paraId="592ADAD6" w14:textId="77777777" w:rsidR="00355E5A" w:rsidRDefault="003C4050">
            <w:pPr>
              <w:spacing w:before="60" w:after="60" w:line="252" w:lineRule="auto"/>
              <w:jc w:val="center"/>
            </w:pPr>
            <w:r>
              <w:rPr>
                <w:sz w:val="21"/>
              </w:rPr>
              <w:t>3.7</w:t>
            </w:r>
          </w:p>
        </w:tc>
      </w:tr>
      <w:tr w:rsidR="00355E5A" w14:paraId="50C96A05" w14:textId="77777777">
        <w:tc>
          <w:tcPr>
            <w:tcW w:w="4392" w:type="dxa"/>
            <w:tcBorders>
              <w:top w:val="single" w:sz="4" w:space="0" w:color="B7B7B7"/>
              <w:left w:val="single" w:sz="4" w:space="0" w:color="B7B7B7"/>
              <w:bottom w:val="single" w:sz="4" w:space="0" w:color="B7B7B7"/>
              <w:right w:val="single" w:sz="4" w:space="0" w:color="B7B7B7"/>
            </w:tcBorders>
          </w:tcPr>
          <w:p w14:paraId="6FD6DB58" w14:textId="77777777" w:rsidR="00355E5A" w:rsidRDefault="003C4050">
            <w:pPr>
              <w:spacing w:before="60" w:after="60" w:line="252" w:lineRule="auto"/>
            </w:pPr>
            <w:r>
              <w:rPr>
                <w:sz w:val="21"/>
              </w:rPr>
              <w:t xml:space="preserve">08 </w:t>
            </w:r>
            <w:r>
              <w:rPr>
                <w:sz w:val="21"/>
              </w:rPr>
              <w:t>Yom</w:t>
            </w:r>
          </w:p>
        </w:tc>
        <w:tc>
          <w:tcPr>
            <w:tcW w:w="1512" w:type="dxa"/>
            <w:tcBorders>
              <w:top w:val="single" w:sz="4" w:space="0" w:color="B7B7B7"/>
              <w:left w:val="single" w:sz="4" w:space="0" w:color="B7B7B7"/>
              <w:bottom w:val="single" w:sz="4" w:space="0" w:color="B7B7B7"/>
              <w:right w:val="single" w:sz="4" w:space="0" w:color="B7B7B7"/>
            </w:tcBorders>
          </w:tcPr>
          <w:p w14:paraId="20A9A878" w14:textId="77777777" w:rsidR="00355E5A" w:rsidRDefault="003C4050">
            <w:pPr>
              <w:spacing w:before="60" w:after="60" w:line="252" w:lineRule="auto"/>
              <w:jc w:val="center"/>
            </w:pPr>
            <w:r>
              <w:rPr>
                <w:sz w:val="21"/>
              </w:rPr>
              <w:t>-3.79</w:t>
            </w:r>
          </w:p>
        </w:tc>
        <w:tc>
          <w:tcPr>
            <w:tcW w:w="1512" w:type="dxa"/>
            <w:tcBorders>
              <w:top w:val="single" w:sz="4" w:space="0" w:color="B7B7B7"/>
              <w:left w:val="single" w:sz="4" w:space="0" w:color="B7B7B7"/>
              <w:bottom w:val="single" w:sz="4" w:space="0" w:color="B7B7B7"/>
              <w:right w:val="single" w:sz="4" w:space="0" w:color="B7B7B7"/>
            </w:tcBorders>
          </w:tcPr>
          <w:p w14:paraId="27B0D3D8" w14:textId="77777777" w:rsidR="00355E5A" w:rsidRDefault="003C4050">
            <w:pPr>
              <w:spacing w:before="60" w:after="60" w:line="252" w:lineRule="auto"/>
              <w:jc w:val="center"/>
            </w:pPr>
            <w:r>
              <w:rPr>
                <w:sz w:val="21"/>
              </w:rPr>
              <w:t>-3.97</w:t>
            </w:r>
          </w:p>
        </w:tc>
        <w:tc>
          <w:tcPr>
            <w:tcW w:w="1440" w:type="dxa"/>
            <w:tcBorders>
              <w:top w:val="single" w:sz="4" w:space="0" w:color="B7B7B7"/>
              <w:left w:val="single" w:sz="4" w:space="0" w:color="B7B7B7"/>
              <w:bottom w:val="single" w:sz="4" w:space="0" w:color="B7B7B7"/>
              <w:right w:val="single" w:sz="4" w:space="0" w:color="B7B7B7"/>
            </w:tcBorders>
          </w:tcPr>
          <w:p w14:paraId="45BBCD8D" w14:textId="77777777" w:rsidR="00355E5A" w:rsidRDefault="003C4050">
            <w:pPr>
              <w:spacing w:before="60" w:after="60" w:line="252" w:lineRule="auto"/>
              <w:jc w:val="center"/>
            </w:pPr>
            <w:r>
              <w:rPr>
                <w:sz w:val="21"/>
              </w:rPr>
              <w:t>3.8</w:t>
            </w:r>
          </w:p>
        </w:tc>
      </w:tr>
      <w:tr w:rsidR="00355E5A" w14:paraId="2671226E" w14:textId="77777777">
        <w:tc>
          <w:tcPr>
            <w:tcW w:w="4392" w:type="dxa"/>
            <w:tcBorders>
              <w:top w:val="single" w:sz="4" w:space="0" w:color="B7B7B7"/>
              <w:left w:val="single" w:sz="4" w:space="0" w:color="B7B7B7"/>
              <w:bottom w:val="single" w:sz="4" w:space="0" w:color="B7B7B7"/>
              <w:right w:val="single" w:sz="4" w:space="0" w:color="B7B7B7"/>
            </w:tcBorders>
          </w:tcPr>
          <w:p w14:paraId="59F52CD0" w14:textId="77777777" w:rsidR="00355E5A" w:rsidRDefault="003C4050">
            <w:pPr>
              <w:spacing w:before="60" w:after="60" w:line="252" w:lineRule="auto"/>
            </w:pPr>
            <w:r>
              <w:rPr>
                <w:sz w:val="21"/>
              </w:rPr>
              <w:t>09 Nan</w:t>
            </w:r>
          </w:p>
        </w:tc>
        <w:tc>
          <w:tcPr>
            <w:tcW w:w="1512" w:type="dxa"/>
            <w:tcBorders>
              <w:top w:val="single" w:sz="4" w:space="0" w:color="B7B7B7"/>
              <w:left w:val="single" w:sz="4" w:space="0" w:color="B7B7B7"/>
              <w:bottom w:val="single" w:sz="4" w:space="0" w:color="B7B7B7"/>
              <w:right w:val="single" w:sz="4" w:space="0" w:color="B7B7B7"/>
            </w:tcBorders>
          </w:tcPr>
          <w:p w14:paraId="2DC51017" w14:textId="77777777" w:rsidR="00355E5A" w:rsidRDefault="003C4050">
            <w:pPr>
              <w:spacing w:before="60" w:after="60" w:line="252" w:lineRule="auto"/>
              <w:jc w:val="center"/>
            </w:pPr>
            <w:r>
              <w:rPr>
                <w:sz w:val="21"/>
              </w:rPr>
              <w:t>-3.74</w:t>
            </w:r>
          </w:p>
        </w:tc>
        <w:tc>
          <w:tcPr>
            <w:tcW w:w="1512" w:type="dxa"/>
            <w:tcBorders>
              <w:top w:val="single" w:sz="4" w:space="0" w:color="B7B7B7"/>
              <w:left w:val="single" w:sz="4" w:space="0" w:color="B7B7B7"/>
              <w:bottom w:val="single" w:sz="4" w:space="0" w:color="B7B7B7"/>
              <w:right w:val="single" w:sz="4" w:space="0" w:color="B7B7B7"/>
            </w:tcBorders>
          </w:tcPr>
          <w:p w14:paraId="7C0704BD" w14:textId="77777777" w:rsidR="00355E5A" w:rsidRDefault="003C4050">
            <w:pPr>
              <w:spacing w:before="60" w:after="60" w:line="252" w:lineRule="auto"/>
              <w:jc w:val="center"/>
            </w:pPr>
            <w:r>
              <w:rPr>
                <w:sz w:val="21"/>
              </w:rPr>
              <w:t>-3.94</w:t>
            </w:r>
          </w:p>
        </w:tc>
        <w:tc>
          <w:tcPr>
            <w:tcW w:w="1440" w:type="dxa"/>
            <w:tcBorders>
              <w:top w:val="single" w:sz="4" w:space="0" w:color="B7B7B7"/>
              <w:left w:val="single" w:sz="4" w:space="0" w:color="B7B7B7"/>
              <w:bottom w:val="single" w:sz="4" w:space="0" w:color="B7B7B7"/>
              <w:right w:val="single" w:sz="4" w:space="0" w:color="B7B7B7"/>
            </w:tcBorders>
          </w:tcPr>
          <w:p w14:paraId="344DC451" w14:textId="77777777" w:rsidR="00355E5A" w:rsidRDefault="003C4050">
            <w:pPr>
              <w:spacing w:before="60" w:after="60" w:line="252" w:lineRule="auto"/>
              <w:jc w:val="center"/>
            </w:pPr>
            <w:r>
              <w:rPr>
                <w:sz w:val="21"/>
              </w:rPr>
              <w:t>6.5</w:t>
            </w:r>
          </w:p>
        </w:tc>
      </w:tr>
      <w:tr w:rsidR="00355E5A" w14:paraId="5574C17B" w14:textId="77777777">
        <w:tc>
          <w:tcPr>
            <w:tcW w:w="4392" w:type="dxa"/>
            <w:tcBorders>
              <w:top w:val="single" w:sz="4" w:space="0" w:color="B7B7B7"/>
              <w:left w:val="single" w:sz="4" w:space="0" w:color="B7B7B7"/>
              <w:bottom w:val="single" w:sz="4" w:space="0" w:color="B7B7B7"/>
              <w:right w:val="single" w:sz="4" w:space="0" w:color="B7B7B7"/>
            </w:tcBorders>
          </w:tcPr>
          <w:p w14:paraId="5D42A8FB" w14:textId="77777777" w:rsidR="00355E5A" w:rsidRDefault="003C4050">
            <w:pPr>
              <w:spacing w:before="60" w:after="60" w:line="252" w:lineRule="auto"/>
            </w:pPr>
            <w:r>
              <w:rPr>
                <w:sz w:val="21"/>
              </w:rPr>
              <w:t>10 Chao Phraya</w:t>
            </w:r>
          </w:p>
        </w:tc>
        <w:tc>
          <w:tcPr>
            <w:tcW w:w="1512" w:type="dxa"/>
            <w:tcBorders>
              <w:top w:val="single" w:sz="4" w:space="0" w:color="B7B7B7"/>
              <w:left w:val="single" w:sz="4" w:space="0" w:color="B7B7B7"/>
              <w:bottom w:val="single" w:sz="4" w:space="0" w:color="B7B7B7"/>
              <w:right w:val="single" w:sz="4" w:space="0" w:color="B7B7B7"/>
            </w:tcBorders>
          </w:tcPr>
          <w:p w14:paraId="615988E9" w14:textId="77777777" w:rsidR="00355E5A" w:rsidRDefault="003C4050">
            <w:pPr>
              <w:spacing w:before="60" w:after="60" w:line="252" w:lineRule="auto"/>
              <w:jc w:val="center"/>
            </w:pPr>
            <w:r>
              <w:rPr>
                <w:sz w:val="21"/>
              </w:rPr>
              <w:t>-7.36</w:t>
            </w:r>
          </w:p>
        </w:tc>
        <w:tc>
          <w:tcPr>
            <w:tcW w:w="1512" w:type="dxa"/>
            <w:tcBorders>
              <w:top w:val="single" w:sz="4" w:space="0" w:color="B7B7B7"/>
              <w:left w:val="single" w:sz="4" w:space="0" w:color="B7B7B7"/>
              <w:bottom w:val="single" w:sz="4" w:space="0" w:color="B7B7B7"/>
              <w:right w:val="single" w:sz="4" w:space="0" w:color="B7B7B7"/>
            </w:tcBorders>
          </w:tcPr>
          <w:p w14:paraId="42E649C8" w14:textId="77777777" w:rsidR="00355E5A" w:rsidRDefault="003C4050">
            <w:pPr>
              <w:spacing w:before="60" w:after="60" w:line="252" w:lineRule="auto"/>
              <w:jc w:val="center"/>
            </w:pPr>
            <w:r>
              <w:rPr>
                <w:sz w:val="21"/>
              </w:rPr>
              <w:t>-7.47</w:t>
            </w:r>
          </w:p>
        </w:tc>
        <w:tc>
          <w:tcPr>
            <w:tcW w:w="1440" w:type="dxa"/>
            <w:tcBorders>
              <w:top w:val="single" w:sz="4" w:space="0" w:color="B7B7B7"/>
              <w:left w:val="single" w:sz="4" w:space="0" w:color="B7B7B7"/>
              <w:bottom w:val="single" w:sz="4" w:space="0" w:color="B7B7B7"/>
              <w:right w:val="single" w:sz="4" w:space="0" w:color="B7B7B7"/>
            </w:tcBorders>
          </w:tcPr>
          <w:p w14:paraId="17A95028" w14:textId="77777777" w:rsidR="00355E5A" w:rsidRDefault="003C4050">
            <w:pPr>
              <w:spacing w:before="60" w:after="60" w:line="252" w:lineRule="auto"/>
              <w:jc w:val="center"/>
            </w:pPr>
            <w:r>
              <w:rPr>
                <w:sz w:val="21"/>
              </w:rPr>
              <w:t>4.5</w:t>
            </w:r>
          </w:p>
        </w:tc>
      </w:tr>
      <w:tr w:rsidR="00355E5A" w14:paraId="7A0A084A" w14:textId="77777777">
        <w:tc>
          <w:tcPr>
            <w:tcW w:w="4392" w:type="dxa"/>
            <w:tcBorders>
              <w:top w:val="single" w:sz="4" w:space="0" w:color="B7B7B7"/>
              <w:left w:val="single" w:sz="4" w:space="0" w:color="B7B7B7"/>
              <w:bottom w:val="single" w:sz="4" w:space="0" w:color="B7B7B7"/>
              <w:right w:val="single" w:sz="4" w:space="0" w:color="B7B7B7"/>
            </w:tcBorders>
          </w:tcPr>
          <w:p w14:paraId="7B2F794D" w14:textId="77777777" w:rsidR="00355E5A" w:rsidRDefault="003C4050">
            <w:pPr>
              <w:spacing w:before="60" w:after="60" w:line="252" w:lineRule="auto"/>
            </w:pPr>
            <w:r>
              <w:rPr>
                <w:sz w:val="21"/>
              </w:rPr>
              <w:t>11 Sakae Krang</w:t>
            </w:r>
          </w:p>
        </w:tc>
        <w:tc>
          <w:tcPr>
            <w:tcW w:w="1512" w:type="dxa"/>
            <w:tcBorders>
              <w:top w:val="single" w:sz="4" w:space="0" w:color="B7B7B7"/>
              <w:left w:val="single" w:sz="4" w:space="0" w:color="B7B7B7"/>
              <w:bottom w:val="single" w:sz="4" w:space="0" w:color="B7B7B7"/>
              <w:right w:val="single" w:sz="4" w:space="0" w:color="B7B7B7"/>
            </w:tcBorders>
          </w:tcPr>
          <w:p w14:paraId="674D7535" w14:textId="77777777" w:rsidR="00355E5A" w:rsidRDefault="003C4050">
            <w:pPr>
              <w:spacing w:before="60" w:after="60" w:line="252" w:lineRule="auto"/>
              <w:jc w:val="center"/>
            </w:pPr>
            <w:r>
              <w:rPr>
                <w:sz w:val="21"/>
              </w:rPr>
              <w:t>-5.50</w:t>
            </w:r>
          </w:p>
        </w:tc>
        <w:tc>
          <w:tcPr>
            <w:tcW w:w="1512" w:type="dxa"/>
            <w:tcBorders>
              <w:top w:val="single" w:sz="4" w:space="0" w:color="B7B7B7"/>
              <w:left w:val="single" w:sz="4" w:space="0" w:color="B7B7B7"/>
              <w:bottom w:val="single" w:sz="4" w:space="0" w:color="B7B7B7"/>
              <w:right w:val="single" w:sz="4" w:space="0" w:color="B7B7B7"/>
            </w:tcBorders>
          </w:tcPr>
          <w:p w14:paraId="2196645F" w14:textId="77777777" w:rsidR="00355E5A" w:rsidRDefault="003C4050">
            <w:pPr>
              <w:spacing w:before="60" w:after="60" w:line="252" w:lineRule="auto"/>
              <w:jc w:val="center"/>
            </w:pPr>
            <w:r>
              <w:rPr>
                <w:sz w:val="21"/>
              </w:rPr>
              <w:t>-5.20</w:t>
            </w:r>
          </w:p>
        </w:tc>
        <w:tc>
          <w:tcPr>
            <w:tcW w:w="1440" w:type="dxa"/>
            <w:tcBorders>
              <w:top w:val="single" w:sz="4" w:space="0" w:color="B7B7B7"/>
              <w:left w:val="single" w:sz="4" w:space="0" w:color="B7B7B7"/>
              <w:bottom w:val="single" w:sz="4" w:space="0" w:color="B7B7B7"/>
              <w:right w:val="single" w:sz="4" w:space="0" w:color="B7B7B7"/>
            </w:tcBorders>
          </w:tcPr>
          <w:p w14:paraId="21955C7E" w14:textId="77777777" w:rsidR="00355E5A" w:rsidRDefault="003C4050">
            <w:pPr>
              <w:spacing w:before="60" w:after="60" w:line="252" w:lineRule="auto"/>
              <w:jc w:val="center"/>
            </w:pPr>
            <w:r>
              <w:rPr>
                <w:sz w:val="21"/>
              </w:rPr>
              <w:t>2.7</w:t>
            </w:r>
          </w:p>
        </w:tc>
      </w:tr>
      <w:tr w:rsidR="00355E5A" w14:paraId="4EDD185A" w14:textId="77777777">
        <w:tc>
          <w:tcPr>
            <w:tcW w:w="4392" w:type="dxa"/>
            <w:tcBorders>
              <w:top w:val="single" w:sz="4" w:space="0" w:color="B7B7B7"/>
              <w:left w:val="single" w:sz="4" w:space="0" w:color="B7B7B7"/>
              <w:bottom w:val="single" w:sz="4" w:space="0" w:color="B7B7B7"/>
              <w:right w:val="single" w:sz="4" w:space="0" w:color="B7B7B7"/>
            </w:tcBorders>
          </w:tcPr>
          <w:p w14:paraId="6DECF9C3" w14:textId="77777777" w:rsidR="00355E5A" w:rsidRDefault="003C4050">
            <w:pPr>
              <w:spacing w:before="60" w:after="60" w:line="252" w:lineRule="auto"/>
            </w:pPr>
            <w:r>
              <w:rPr>
                <w:sz w:val="21"/>
              </w:rPr>
              <w:t>12 Pasak</w:t>
            </w:r>
          </w:p>
        </w:tc>
        <w:tc>
          <w:tcPr>
            <w:tcW w:w="1512" w:type="dxa"/>
            <w:tcBorders>
              <w:top w:val="single" w:sz="4" w:space="0" w:color="B7B7B7"/>
              <w:left w:val="single" w:sz="4" w:space="0" w:color="B7B7B7"/>
              <w:bottom w:val="single" w:sz="4" w:space="0" w:color="B7B7B7"/>
              <w:right w:val="single" w:sz="4" w:space="0" w:color="B7B7B7"/>
            </w:tcBorders>
          </w:tcPr>
          <w:p w14:paraId="3736A9D9" w14:textId="77777777" w:rsidR="00355E5A" w:rsidRDefault="003C4050">
            <w:pPr>
              <w:spacing w:before="60" w:after="60" w:line="252" w:lineRule="auto"/>
              <w:jc w:val="center"/>
            </w:pPr>
            <w:r>
              <w:rPr>
                <w:sz w:val="21"/>
              </w:rPr>
              <w:t>-7.06</w:t>
            </w:r>
          </w:p>
        </w:tc>
        <w:tc>
          <w:tcPr>
            <w:tcW w:w="1512" w:type="dxa"/>
            <w:tcBorders>
              <w:top w:val="single" w:sz="4" w:space="0" w:color="B7B7B7"/>
              <w:left w:val="single" w:sz="4" w:space="0" w:color="B7B7B7"/>
              <w:bottom w:val="single" w:sz="4" w:space="0" w:color="B7B7B7"/>
              <w:right w:val="single" w:sz="4" w:space="0" w:color="B7B7B7"/>
            </w:tcBorders>
          </w:tcPr>
          <w:p w14:paraId="471EB4FC" w14:textId="77777777" w:rsidR="00355E5A" w:rsidRDefault="003C4050">
            <w:pPr>
              <w:spacing w:before="60" w:after="60" w:line="252" w:lineRule="auto"/>
              <w:jc w:val="center"/>
            </w:pPr>
            <w:r>
              <w:rPr>
                <w:sz w:val="21"/>
              </w:rPr>
              <w:t>-7.35</w:t>
            </w:r>
          </w:p>
        </w:tc>
        <w:tc>
          <w:tcPr>
            <w:tcW w:w="1440" w:type="dxa"/>
            <w:tcBorders>
              <w:top w:val="single" w:sz="4" w:space="0" w:color="B7B7B7"/>
              <w:left w:val="single" w:sz="4" w:space="0" w:color="B7B7B7"/>
              <w:bottom w:val="single" w:sz="4" w:space="0" w:color="B7B7B7"/>
              <w:right w:val="single" w:sz="4" w:space="0" w:color="B7B7B7"/>
            </w:tcBorders>
          </w:tcPr>
          <w:p w14:paraId="00120882" w14:textId="77777777" w:rsidR="00355E5A" w:rsidRDefault="003C4050">
            <w:pPr>
              <w:spacing w:before="60" w:after="60" w:line="252" w:lineRule="auto"/>
              <w:jc w:val="center"/>
            </w:pPr>
            <w:r>
              <w:rPr>
                <w:sz w:val="21"/>
              </w:rPr>
              <w:t>3.9</w:t>
            </w:r>
          </w:p>
        </w:tc>
      </w:tr>
      <w:tr w:rsidR="00355E5A" w14:paraId="7018EE7D" w14:textId="77777777">
        <w:tc>
          <w:tcPr>
            <w:tcW w:w="4392" w:type="dxa"/>
            <w:tcBorders>
              <w:top w:val="single" w:sz="4" w:space="0" w:color="B7B7B7"/>
              <w:left w:val="single" w:sz="4" w:space="0" w:color="B7B7B7"/>
              <w:bottom w:val="single" w:sz="4" w:space="0" w:color="B7B7B7"/>
              <w:right w:val="single" w:sz="4" w:space="0" w:color="B7B7B7"/>
            </w:tcBorders>
          </w:tcPr>
          <w:p w14:paraId="12FC0639" w14:textId="77777777" w:rsidR="00355E5A" w:rsidRDefault="003C4050">
            <w:pPr>
              <w:spacing w:before="60" w:after="60" w:line="252" w:lineRule="auto"/>
            </w:pPr>
            <w:r>
              <w:rPr>
                <w:sz w:val="21"/>
              </w:rPr>
              <w:t>13 Tha Chin</w:t>
            </w:r>
          </w:p>
        </w:tc>
        <w:tc>
          <w:tcPr>
            <w:tcW w:w="1512" w:type="dxa"/>
            <w:tcBorders>
              <w:top w:val="single" w:sz="4" w:space="0" w:color="B7B7B7"/>
              <w:left w:val="single" w:sz="4" w:space="0" w:color="B7B7B7"/>
              <w:bottom w:val="single" w:sz="4" w:space="0" w:color="B7B7B7"/>
              <w:right w:val="single" w:sz="4" w:space="0" w:color="B7B7B7"/>
            </w:tcBorders>
          </w:tcPr>
          <w:p w14:paraId="69876B6E" w14:textId="77777777" w:rsidR="00355E5A" w:rsidRDefault="003C4050">
            <w:pPr>
              <w:spacing w:before="60" w:after="60" w:line="252" w:lineRule="auto"/>
              <w:jc w:val="center"/>
            </w:pPr>
            <w:r>
              <w:rPr>
                <w:sz w:val="21"/>
              </w:rPr>
              <w:t>-6.89</w:t>
            </w:r>
          </w:p>
        </w:tc>
        <w:tc>
          <w:tcPr>
            <w:tcW w:w="1512" w:type="dxa"/>
            <w:tcBorders>
              <w:top w:val="single" w:sz="4" w:space="0" w:color="B7B7B7"/>
              <w:left w:val="single" w:sz="4" w:space="0" w:color="B7B7B7"/>
              <w:bottom w:val="single" w:sz="4" w:space="0" w:color="B7B7B7"/>
              <w:right w:val="single" w:sz="4" w:space="0" w:color="B7B7B7"/>
            </w:tcBorders>
          </w:tcPr>
          <w:p w14:paraId="0B315A0B" w14:textId="77777777" w:rsidR="00355E5A" w:rsidRDefault="003C4050">
            <w:pPr>
              <w:spacing w:before="60" w:after="60" w:line="252" w:lineRule="auto"/>
              <w:jc w:val="center"/>
            </w:pPr>
            <w:r>
              <w:rPr>
                <w:sz w:val="21"/>
              </w:rPr>
              <w:t>-6.36</w:t>
            </w:r>
          </w:p>
        </w:tc>
        <w:tc>
          <w:tcPr>
            <w:tcW w:w="1440" w:type="dxa"/>
            <w:tcBorders>
              <w:top w:val="single" w:sz="4" w:space="0" w:color="B7B7B7"/>
              <w:left w:val="single" w:sz="4" w:space="0" w:color="B7B7B7"/>
              <w:bottom w:val="single" w:sz="4" w:space="0" w:color="B7B7B7"/>
              <w:right w:val="single" w:sz="4" w:space="0" w:color="B7B7B7"/>
            </w:tcBorders>
          </w:tcPr>
          <w:p w14:paraId="7F580DDE" w14:textId="77777777" w:rsidR="00355E5A" w:rsidRDefault="003C4050">
            <w:pPr>
              <w:spacing w:before="60" w:after="60" w:line="252" w:lineRule="auto"/>
              <w:jc w:val="center"/>
            </w:pPr>
            <w:r>
              <w:rPr>
                <w:sz w:val="21"/>
              </w:rPr>
              <w:t>2.2</w:t>
            </w:r>
          </w:p>
        </w:tc>
      </w:tr>
      <w:tr w:rsidR="00355E5A" w14:paraId="79C17AF1" w14:textId="77777777">
        <w:tc>
          <w:tcPr>
            <w:tcW w:w="4392" w:type="dxa"/>
            <w:tcBorders>
              <w:top w:val="single" w:sz="4" w:space="0" w:color="B7B7B7"/>
              <w:left w:val="single" w:sz="4" w:space="0" w:color="B7B7B7"/>
              <w:bottom w:val="single" w:sz="4" w:space="0" w:color="B7B7B7"/>
              <w:right w:val="single" w:sz="4" w:space="0" w:color="B7B7B7"/>
            </w:tcBorders>
          </w:tcPr>
          <w:p w14:paraId="07822088" w14:textId="77777777" w:rsidR="00355E5A" w:rsidRDefault="003C4050">
            <w:pPr>
              <w:spacing w:before="60" w:after="60" w:line="252" w:lineRule="auto"/>
            </w:pPr>
            <w:r>
              <w:rPr>
                <w:sz w:val="21"/>
              </w:rPr>
              <w:t>14 Mae Klong</w:t>
            </w:r>
          </w:p>
        </w:tc>
        <w:tc>
          <w:tcPr>
            <w:tcW w:w="1512" w:type="dxa"/>
            <w:tcBorders>
              <w:top w:val="single" w:sz="4" w:space="0" w:color="B7B7B7"/>
              <w:left w:val="single" w:sz="4" w:space="0" w:color="B7B7B7"/>
              <w:bottom w:val="single" w:sz="4" w:space="0" w:color="B7B7B7"/>
              <w:right w:val="single" w:sz="4" w:space="0" w:color="B7B7B7"/>
            </w:tcBorders>
          </w:tcPr>
          <w:p w14:paraId="2626C345" w14:textId="77777777" w:rsidR="00355E5A" w:rsidRDefault="003C4050">
            <w:pPr>
              <w:spacing w:before="60" w:after="60" w:line="252" w:lineRule="auto"/>
              <w:jc w:val="center"/>
            </w:pPr>
            <w:r>
              <w:rPr>
                <w:sz w:val="21"/>
              </w:rPr>
              <w:t>-5.25</w:t>
            </w:r>
          </w:p>
        </w:tc>
        <w:tc>
          <w:tcPr>
            <w:tcW w:w="1512" w:type="dxa"/>
            <w:tcBorders>
              <w:top w:val="single" w:sz="4" w:space="0" w:color="B7B7B7"/>
              <w:left w:val="single" w:sz="4" w:space="0" w:color="B7B7B7"/>
              <w:bottom w:val="single" w:sz="4" w:space="0" w:color="B7B7B7"/>
              <w:right w:val="single" w:sz="4" w:space="0" w:color="B7B7B7"/>
            </w:tcBorders>
          </w:tcPr>
          <w:p w14:paraId="381DFAF2" w14:textId="77777777" w:rsidR="00355E5A" w:rsidRDefault="003C4050">
            <w:pPr>
              <w:spacing w:before="60" w:after="60" w:line="252" w:lineRule="auto"/>
              <w:jc w:val="center"/>
            </w:pPr>
            <w:r>
              <w:rPr>
                <w:sz w:val="21"/>
              </w:rPr>
              <w:t>-5.48</w:t>
            </w:r>
          </w:p>
        </w:tc>
        <w:tc>
          <w:tcPr>
            <w:tcW w:w="1440" w:type="dxa"/>
            <w:tcBorders>
              <w:top w:val="single" w:sz="4" w:space="0" w:color="B7B7B7"/>
              <w:left w:val="single" w:sz="4" w:space="0" w:color="B7B7B7"/>
              <w:bottom w:val="single" w:sz="4" w:space="0" w:color="B7B7B7"/>
              <w:right w:val="single" w:sz="4" w:space="0" w:color="B7B7B7"/>
            </w:tcBorders>
          </w:tcPr>
          <w:p w14:paraId="7130D753" w14:textId="77777777" w:rsidR="00355E5A" w:rsidRDefault="003C4050">
            <w:pPr>
              <w:spacing w:before="60" w:after="60" w:line="252" w:lineRule="auto"/>
              <w:jc w:val="center"/>
            </w:pPr>
            <w:r>
              <w:rPr>
                <w:sz w:val="21"/>
              </w:rPr>
              <w:t>4.3</w:t>
            </w:r>
          </w:p>
        </w:tc>
      </w:tr>
      <w:tr w:rsidR="00355E5A" w14:paraId="1E8BDFF2" w14:textId="77777777">
        <w:tc>
          <w:tcPr>
            <w:tcW w:w="4392" w:type="dxa"/>
            <w:tcBorders>
              <w:top w:val="single" w:sz="4" w:space="0" w:color="B7B7B7"/>
              <w:left w:val="single" w:sz="4" w:space="0" w:color="B7B7B7"/>
              <w:bottom w:val="single" w:sz="4" w:space="0" w:color="B7B7B7"/>
              <w:right w:val="single" w:sz="4" w:space="0" w:color="B7B7B7"/>
            </w:tcBorders>
          </w:tcPr>
          <w:p w14:paraId="0E96700E" w14:textId="77777777" w:rsidR="00355E5A" w:rsidRDefault="003C4050">
            <w:pPr>
              <w:spacing w:before="60" w:after="60" w:line="252" w:lineRule="auto"/>
            </w:pPr>
            <w:r>
              <w:rPr>
                <w:sz w:val="21"/>
              </w:rPr>
              <w:t>15 Bang Pakong</w:t>
            </w:r>
          </w:p>
        </w:tc>
        <w:tc>
          <w:tcPr>
            <w:tcW w:w="1512" w:type="dxa"/>
            <w:tcBorders>
              <w:top w:val="single" w:sz="4" w:space="0" w:color="B7B7B7"/>
              <w:left w:val="single" w:sz="4" w:space="0" w:color="B7B7B7"/>
              <w:bottom w:val="single" w:sz="4" w:space="0" w:color="B7B7B7"/>
              <w:right w:val="single" w:sz="4" w:space="0" w:color="B7B7B7"/>
            </w:tcBorders>
          </w:tcPr>
          <w:p w14:paraId="3C559058" w14:textId="77777777" w:rsidR="00355E5A" w:rsidRDefault="003C4050">
            <w:pPr>
              <w:spacing w:before="60" w:after="60" w:line="252" w:lineRule="auto"/>
              <w:jc w:val="center"/>
            </w:pPr>
            <w:r>
              <w:rPr>
                <w:sz w:val="21"/>
              </w:rPr>
              <w:t>-8.64</w:t>
            </w:r>
          </w:p>
        </w:tc>
        <w:tc>
          <w:tcPr>
            <w:tcW w:w="1512" w:type="dxa"/>
            <w:tcBorders>
              <w:top w:val="single" w:sz="4" w:space="0" w:color="B7B7B7"/>
              <w:left w:val="single" w:sz="4" w:space="0" w:color="B7B7B7"/>
              <w:bottom w:val="single" w:sz="4" w:space="0" w:color="B7B7B7"/>
              <w:right w:val="single" w:sz="4" w:space="0" w:color="B7B7B7"/>
            </w:tcBorders>
          </w:tcPr>
          <w:p w14:paraId="398F4FD8" w14:textId="77777777" w:rsidR="00355E5A" w:rsidRDefault="003C4050">
            <w:pPr>
              <w:spacing w:before="60" w:after="60" w:line="252" w:lineRule="auto"/>
              <w:jc w:val="center"/>
            </w:pPr>
            <w:r>
              <w:rPr>
                <w:sz w:val="21"/>
              </w:rPr>
              <w:t>-8.12</w:t>
            </w:r>
          </w:p>
        </w:tc>
        <w:tc>
          <w:tcPr>
            <w:tcW w:w="1440" w:type="dxa"/>
            <w:tcBorders>
              <w:top w:val="single" w:sz="4" w:space="0" w:color="B7B7B7"/>
              <w:left w:val="single" w:sz="4" w:space="0" w:color="B7B7B7"/>
              <w:bottom w:val="single" w:sz="4" w:space="0" w:color="B7B7B7"/>
              <w:right w:val="single" w:sz="4" w:space="0" w:color="B7B7B7"/>
            </w:tcBorders>
          </w:tcPr>
          <w:p w14:paraId="49F6DD12" w14:textId="77777777" w:rsidR="00355E5A" w:rsidRDefault="003C4050">
            <w:pPr>
              <w:spacing w:before="60" w:after="60" w:line="252" w:lineRule="auto"/>
              <w:jc w:val="center"/>
            </w:pPr>
            <w:r>
              <w:rPr>
                <w:sz w:val="21"/>
              </w:rPr>
              <w:t>3.6</w:t>
            </w:r>
          </w:p>
        </w:tc>
      </w:tr>
      <w:tr w:rsidR="00355E5A" w14:paraId="3B516965" w14:textId="77777777">
        <w:tc>
          <w:tcPr>
            <w:tcW w:w="4392" w:type="dxa"/>
            <w:tcBorders>
              <w:top w:val="single" w:sz="4" w:space="0" w:color="B7B7B7"/>
              <w:left w:val="single" w:sz="4" w:space="0" w:color="B7B7B7"/>
              <w:bottom w:val="single" w:sz="4" w:space="0" w:color="B7B7B7"/>
              <w:right w:val="single" w:sz="4" w:space="0" w:color="B7B7B7"/>
            </w:tcBorders>
          </w:tcPr>
          <w:p w14:paraId="771B09AC" w14:textId="77777777" w:rsidR="00355E5A" w:rsidRDefault="003C4050">
            <w:pPr>
              <w:spacing w:before="60" w:after="60" w:line="252" w:lineRule="auto"/>
            </w:pPr>
            <w:r>
              <w:rPr>
                <w:sz w:val="21"/>
              </w:rPr>
              <w:t>16 Tonle Sap</w:t>
            </w:r>
          </w:p>
        </w:tc>
        <w:tc>
          <w:tcPr>
            <w:tcW w:w="1512" w:type="dxa"/>
            <w:tcBorders>
              <w:top w:val="single" w:sz="4" w:space="0" w:color="B7B7B7"/>
              <w:left w:val="single" w:sz="4" w:space="0" w:color="B7B7B7"/>
              <w:bottom w:val="single" w:sz="4" w:space="0" w:color="B7B7B7"/>
              <w:right w:val="single" w:sz="4" w:space="0" w:color="B7B7B7"/>
            </w:tcBorders>
          </w:tcPr>
          <w:p w14:paraId="634F059E" w14:textId="77777777" w:rsidR="00355E5A" w:rsidRDefault="003C4050">
            <w:pPr>
              <w:spacing w:before="60" w:after="60" w:line="252" w:lineRule="auto"/>
              <w:jc w:val="center"/>
            </w:pPr>
            <w:r>
              <w:rPr>
                <w:sz w:val="21"/>
              </w:rPr>
              <w:t>-7.68</w:t>
            </w:r>
          </w:p>
        </w:tc>
        <w:tc>
          <w:tcPr>
            <w:tcW w:w="1512" w:type="dxa"/>
            <w:tcBorders>
              <w:top w:val="single" w:sz="4" w:space="0" w:color="B7B7B7"/>
              <w:left w:val="single" w:sz="4" w:space="0" w:color="B7B7B7"/>
              <w:bottom w:val="single" w:sz="4" w:space="0" w:color="B7B7B7"/>
              <w:right w:val="single" w:sz="4" w:space="0" w:color="B7B7B7"/>
            </w:tcBorders>
          </w:tcPr>
          <w:p w14:paraId="69975B3B" w14:textId="77777777" w:rsidR="00355E5A" w:rsidRDefault="003C4050">
            <w:pPr>
              <w:spacing w:before="60" w:after="60" w:line="252" w:lineRule="auto"/>
              <w:jc w:val="center"/>
            </w:pPr>
            <w:r>
              <w:rPr>
                <w:sz w:val="21"/>
              </w:rPr>
              <w:t>-7.30</w:t>
            </w:r>
          </w:p>
        </w:tc>
        <w:tc>
          <w:tcPr>
            <w:tcW w:w="1440" w:type="dxa"/>
            <w:tcBorders>
              <w:top w:val="single" w:sz="4" w:space="0" w:color="B7B7B7"/>
              <w:left w:val="single" w:sz="4" w:space="0" w:color="B7B7B7"/>
              <w:bottom w:val="single" w:sz="4" w:space="0" w:color="B7B7B7"/>
              <w:right w:val="single" w:sz="4" w:space="0" w:color="B7B7B7"/>
            </w:tcBorders>
          </w:tcPr>
          <w:p w14:paraId="6E93E8A8" w14:textId="77777777" w:rsidR="00355E5A" w:rsidRDefault="003C4050">
            <w:pPr>
              <w:spacing w:before="60" w:after="60" w:line="252" w:lineRule="auto"/>
              <w:jc w:val="center"/>
            </w:pPr>
            <w:r>
              <w:rPr>
                <w:sz w:val="21"/>
              </w:rPr>
              <w:t>1.9</w:t>
            </w:r>
          </w:p>
        </w:tc>
      </w:tr>
      <w:tr w:rsidR="00355E5A" w14:paraId="5C2919DA" w14:textId="77777777">
        <w:tc>
          <w:tcPr>
            <w:tcW w:w="4392" w:type="dxa"/>
            <w:tcBorders>
              <w:top w:val="single" w:sz="4" w:space="0" w:color="B7B7B7"/>
              <w:left w:val="single" w:sz="4" w:space="0" w:color="B7B7B7"/>
              <w:bottom w:val="single" w:sz="4" w:space="0" w:color="B7B7B7"/>
              <w:right w:val="single" w:sz="4" w:space="0" w:color="B7B7B7"/>
            </w:tcBorders>
          </w:tcPr>
          <w:p w14:paraId="3D4524FA" w14:textId="77777777" w:rsidR="00355E5A" w:rsidRDefault="003C4050">
            <w:pPr>
              <w:spacing w:before="60" w:after="60" w:line="252" w:lineRule="auto"/>
            </w:pPr>
            <w:r>
              <w:rPr>
                <w:sz w:val="21"/>
              </w:rPr>
              <w:t>17 East Coast Gulf</w:t>
            </w:r>
          </w:p>
        </w:tc>
        <w:tc>
          <w:tcPr>
            <w:tcW w:w="1512" w:type="dxa"/>
            <w:tcBorders>
              <w:top w:val="single" w:sz="4" w:space="0" w:color="B7B7B7"/>
              <w:left w:val="single" w:sz="4" w:space="0" w:color="B7B7B7"/>
              <w:bottom w:val="single" w:sz="4" w:space="0" w:color="B7B7B7"/>
              <w:right w:val="single" w:sz="4" w:space="0" w:color="B7B7B7"/>
            </w:tcBorders>
          </w:tcPr>
          <w:p w14:paraId="20A86A22" w14:textId="77777777" w:rsidR="00355E5A" w:rsidRDefault="003C4050">
            <w:pPr>
              <w:spacing w:before="60" w:after="60" w:line="252" w:lineRule="auto"/>
              <w:jc w:val="center"/>
            </w:pPr>
            <w:r>
              <w:rPr>
                <w:sz w:val="21"/>
              </w:rPr>
              <w:t>-7.51</w:t>
            </w:r>
          </w:p>
        </w:tc>
        <w:tc>
          <w:tcPr>
            <w:tcW w:w="1512" w:type="dxa"/>
            <w:tcBorders>
              <w:top w:val="single" w:sz="4" w:space="0" w:color="B7B7B7"/>
              <w:left w:val="single" w:sz="4" w:space="0" w:color="B7B7B7"/>
              <w:bottom w:val="single" w:sz="4" w:space="0" w:color="B7B7B7"/>
              <w:right w:val="single" w:sz="4" w:space="0" w:color="B7B7B7"/>
            </w:tcBorders>
          </w:tcPr>
          <w:p w14:paraId="77FC4F9F" w14:textId="77777777" w:rsidR="00355E5A" w:rsidRDefault="003C4050">
            <w:pPr>
              <w:spacing w:before="60" w:after="60" w:line="252" w:lineRule="auto"/>
              <w:jc w:val="center"/>
            </w:pPr>
            <w:r>
              <w:rPr>
                <w:sz w:val="21"/>
              </w:rPr>
              <w:t>-7.92</w:t>
            </w:r>
          </w:p>
        </w:tc>
        <w:tc>
          <w:tcPr>
            <w:tcW w:w="1440" w:type="dxa"/>
            <w:tcBorders>
              <w:top w:val="single" w:sz="4" w:space="0" w:color="B7B7B7"/>
              <w:left w:val="single" w:sz="4" w:space="0" w:color="B7B7B7"/>
              <w:bottom w:val="single" w:sz="4" w:space="0" w:color="B7B7B7"/>
              <w:right w:val="single" w:sz="4" w:space="0" w:color="B7B7B7"/>
            </w:tcBorders>
          </w:tcPr>
          <w:p w14:paraId="25878C96" w14:textId="77777777" w:rsidR="00355E5A" w:rsidRDefault="003C4050">
            <w:pPr>
              <w:spacing w:before="60" w:after="60" w:line="252" w:lineRule="auto"/>
              <w:jc w:val="center"/>
            </w:pPr>
            <w:r>
              <w:rPr>
                <w:sz w:val="21"/>
              </w:rPr>
              <w:t>3.0</w:t>
            </w:r>
          </w:p>
        </w:tc>
      </w:tr>
      <w:tr w:rsidR="00355E5A" w14:paraId="05EBB7C5" w14:textId="77777777">
        <w:tc>
          <w:tcPr>
            <w:tcW w:w="4392" w:type="dxa"/>
            <w:tcBorders>
              <w:top w:val="single" w:sz="4" w:space="0" w:color="B7B7B7"/>
              <w:left w:val="single" w:sz="4" w:space="0" w:color="B7B7B7"/>
              <w:bottom w:val="single" w:sz="4" w:space="0" w:color="B7B7B7"/>
              <w:right w:val="single" w:sz="4" w:space="0" w:color="B7B7B7"/>
            </w:tcBorders>
          </w:tcPr>
          <w:p w14:paraId="2FD1A55A" w14:textId="77777777" w:rsidR="00355E5A" w:rsidRDefault="003C4050">
            <w:pPr>
              <w:spacing w:before="60" w:after="60" w:line="252" w:lineRule="auto"/>
            </w:pPr>
            <w:r>
              <w:rPr>
                <w:sz w:val="21"/>
              </w:rPr>
              <w:t>18 Phetchaburi - Prachuap Khiri Khan</w:t>
            </w:r>
          </w:p>
        </w:tc>
        <w:tc>
          <w:tcPr>
            <w:tcW w:w="1512" w:type="dxa"/>
            <w:tcBorders>
              <w:top w:val="single" w:sz="4" w:space="0" w:color="B7B7B7"/>
              <w:left w:val="single" w:sz="4" w:space="0" w:color="B7B7B7"/>
              <w:bottom w:val="single" w:sz="4" w:space="0" w:color="B7B7B7"/>
              <w:right w:val="single" w:sz="4" w:space="0" w:color="B7B7B7"/>
            </w:tcBorders>
          </w:tcPr>
          <w:p w14:paraId="18C1296A" w14:textId="77777777" w:rsidR="00355E5A" w:rsidRDefault="003C4050">
            <w:pPr>
              <w:spacing w:before="60" w:after="60" w:line="252" w:lineRule="auto"/>
              <w:jc w:val="center"/>
            </w:pPr>
            <w:r>
              <w:rPr>
                <w:sz w:val="21"/>
              </w:rPr>
              <w:t>-5.85</w:t>
            </w:r>
          </w:p>
        </w:tc>
        <w:tc>
          <w:tcPr>
            <w:tcW w:w="1512" w:type="dxa"/>
            <w:tcBorders>
              <w:top w:val="single" w:sz="4" w:space="0" w:color="B7B7B7"/>
              <w:left w:val="single" w:sz="4" w:space="0" w:color="B7B7B7"/>
              <w:bottom w:val="single" w:sz="4" w:space="0" w:color="B7B7B7"/>
              <w:right w:val="single" w:sz="4" w:space="0" w:color="B7B7B7"/>
            </w:tcBorders>
          </w:tcPr>
          <w:p w14:paraId="455E986E" w14:textId="77777777" w:rsidR="00355E5A" w:rsidRDefault="003C4050">
            <w:pPr>
              <w:spacing w:before="60" w:after="60" w:line="252" w:lineRule="auto"/>
              <w:jc w:val="center"/>
            </w:pPr>
            <w:r>
              <w:rPr>
                <w:sz w:val="21"/>
              </w:rPr>
              <w:t>-4.75</w:t>
            </w:r>
          </w:p>
        </w:tc>
        <w:tc>
          <w:tcPr>
            <w:tcW w:w="1440" w:type="dxa"/>
            <w:tcBorders>
              <w:top w:val="single" w:sz="4" w:space="0" w:color="B7B7B7"/>
              <w:left w:val="single" w:sz="4" w:space="0" w:color="B7B7B7"/>
              <w:bottom w:val="single" w:sz="4" w:space="0" w:color="B7B7B7"/>
              <w:right w:val="single" w:sz="4" w:space="0" w:color="B7B7B7"/>
            </w:tcBorders>
          </w:tcPr>
          <w:p w14:paraId="590A9464" w14:textId="77777777" w:rsidR="00355E5A" w:rsidRDefault="003C4050">
            <w:pPr>
              <w:spacing w:before="60" w:after="60" w:line="252" w:lineRule="auto"/>
              <w:jc w:val="center"/>
            </w:pPr>
            <w:r>
              <w:rPr>
                <w:sz w:val="21"/>
              </w:rPr>
              <w:t>2.4</w:t>
            </w:r>
          </w:p>
        </w:tc>
      </w:tr>
      <w:tr w:rsidR="00355E5A" w14:paraId="47B75EBA" w14:textId="77777777">
        <w:tc>
          <w:tcPr>
            <w:tcW w:w="4392" w:type="dxa"/>
            <w:tcBorders>
              <w:top w:val="single" w:sz="4" w:space="0" w:color="B7B7B7"/>
              <w:left w:val="single" w:sz="4" w:space="0" w:color="B7B7B7"/>
              <w:bottom w:val="single" w:sz="4" w:space="0" w:color="B7B7B7"/>
              <w:right w:val="single" w:sz="4" w:space="0" w:color="B7B7B7"/>
            </w:tcBorders>
          </w:tcPr>
          <w:p w14:paraId="3EF5A236" w14:textId="77777777" w:rsidR="00355E5A" w:rsidRDefault="003C4050">
            <w:pPr>
              <w:spacing w:before="60" w:after="60" w:line="252" w:lineRule="auto"/>
            </w:pPr>
            <w:r>
              <w:rPr>
                <w:sz w:val="21"/>
              </w:rPr>
              <w:t>19 Peninsula - Upper East Coast</w:t>
            </w:r>
          </w:p>
        </w:tc>
        <w:tc>
          <w:tcPr>
            <w:tcW w:w="1512" w:type="dxa"/>
            <w:tcBorders>
              <w:top w:val="single" w:sz="4" w:space="0" w:color="B7B7B7"/>
              <w:left w:val="single" w:sz="4" w:space="0" w:color="B7B7B7"/>
              <w:bottom w:val="single" w:sz="4" w:space="0" w:color="B7B7B7"/>
              <w:right w:val="single" w:sz="4" w:space="0" w:color="B7B7B7"/>
            </w:tcBorders>
          </w:tcPr>
          <w:p w14:paraId="705CBA72" w14:textId="77777777" w:rsidR="00355E5A" w:rsidRDefault="003C4050">
            <w:pPr>
              <w:spacing w:before="60" w:after="60" w:line="252" w:lineRule="auto"/>
              <w:jc w:val="center"/>
            </w:pPr>
            <w:r>
              <w:rPr>
                <w:sz w:val="21"/>
              </w:rPr>
              <w:t>-34.37</w:t>
            </w:r>
          </w:p>
        </w:tc>
        <w:tc>
          <w:tcPr>
            <w:tcW w:w="1512" w:type="dxa"/>
            <w:tcBorders>
              <w:top w:val="single" w:sz="4" w:space="0" w:color="B7B7B7"/>
              <w:left w:val="single" w:sz="4" w:space="0" w:color="B7B7B7"/>
              <w:bottom w:val="single" w:sz="4" w:space="0" w:color="B7B7B7"/>
              <w:right w:val="single" w:sz="4" w:space="0" w:color="B7B7B7"/>
            </w:tcBorders>
          </w:tcPr>
          <w:p w14:paraId="30699689" w14:textId="77777777" w:rsidR="00355E5A" w:rsidRDefault="003C4050">
            <w:pPr>
              <w:spacing w:before="60" w:after="60" w:line="252" w:lineRule="auto"/>
              <w:jc w:val="center"/>
            </w:pPr>
            <w:r>
              <w:rPr>
                <w:sz w:val="21"/>
              </w:rPr>
              <w:t>-36.08</w:t>
            </w:r>
          </w:p>
        </w:tc>
        <w:tc>
          <w:tcPr>
            <w:tcW w:w="1440" w:type="dxa"/>
            <w:tcBorders>
              <w:top w:val="single" w:sz="4" w:space="0" w:color="B7B7B7"/>
              <w:left w:val="single" w:sz="4" w:space="0" w:color="B7B7B7"/>
              <w:bottom w:val="single" w:sz="4" w:space="0" w:color="B7B7B7"/>
              <w:right w:val="single" w:sz="4" w:space="0" w:color="B7B7B7"/>
            </w:tcBorders>
          </w:tcPr>
          <w:p w14:paraId="5DC0C7A1" w14:textId="77777777" w:rsidR="00355E5A" w:rsidRDefault="003C4050">
            <w:pPr>
              <w:spacing w:before="60" w:after="60" w:line="252" w:lineRule="auto"/>
              <w:jc w:val="center"/>
            </w:pPr>
            <w:r>
              <w:rPr>
                <w:sz w:val="21"/>
              </w:rPr>
              <w:t>4.9</w:t>
            </w:r>
          </w:p>
        </w:tc>
      </w:tr>
      <w:tr w:rsidR="00355E5A" w14:paraId="2B736D0E" w14:textId="77777777">
        <w:tc>
          <w:tcPr>
            <w:tcW w:w="4392" w:type="dxa"/>
            <w:tcBorders>
              <w:top w:val="single" w:sz="4" w:space="0" w:color="B7B7B7"/>
              <w:left w:val="single" w:sz="4" w:space="0" w:color="B7B7B7"/>
              <w:bottom w:val="single" w:sz="4" w:space="0" w:color="B7B7B7"/>
              <w:right w:val="single" w:sz="4" w:space="0" w:color="B7B7B7"/>
            </w:tcBorders>
          </w:tcPr>
          <w:p w14:paraId="60B9ED58" w14:textId="77777777" w:rsidR="00355E5A" w:rsidRDefault="003C4050">
            <w:pPr>
              <w:spacing w:before="60" w:after="60" w:line="252" w:lineRule="auto"/>
            </w:pPr>
            <w:r>
              <w:rPr>
                <w:sz w:val="21"/>
              </w:rPr>
              <w:t>20 Thale Sap Songkhla</w:t>
            </w:r>
          </w:p>
        </w:tc>
        <w:tc>
          <w:tcPr>
            <w:tcW w:w="1512" w:type="dxa"/>
            <w:tcBorders>
              <w:top w:val="single" w:sz="4" w:space="0" w:color="B7B7B7"/>
              <w:left w:val="single" w:sz="4" w:space="0" w:color="B7B7B7"/>
              <w:bottom w:val="single" w:sz="4" w:space="0" w:color="B7B7B7"/>
              <w:right w:val="single" w:sz="4" w:space="0" w:color="B7B7B7"/>
            </w:tcBorders>
          </w:tcPr>
          <w:p w14:paraId="57D338C3" w14:textId="77777777" w:rsidR="00355E5A" w:rsidRDefault="003C4050">
            <w:pPr>
              <w:spacing w:before="60" w:after="60" w:line="252" w:lineRule="auto"/>
              <w:jc w:val="center"/>
            </w:pPr>
            <w:r>
              <w:rPr>
                <w:sz w:val="21"/>
              </w:rPr>
              <w:t>-6.25</w:t>
            </w:r>
          </w:p>
        </w:tc>
        <w:tc>
          <w:tcPr>
            <w:tcW w:w="1512" w:type="dxa"/>
            <w:tcBorders>
              <w:top w:val="single" w:sz="4" w:space="0" w:color="B7B7B7"/>
              <w:left w:val="single" w:sz="4" w:space="0" w:color="B7B7B7"/>
              <w:bottom w:val="single" w:sz="4" w:space="0" w:color="B7B7B7"/>
              <w:right w:val="single" w:sz="4" w:space="0" w:color="B7B7B7"/>
            </w:tcBorders>
          </w:tcPr>
          <w:p w14:paraId="5D356AFA" w14:textId="77777777" w:rsidR="00355E5A" w:rsidRDefault="003C4050">
            <w:pPr>
              <w:spacing w:before="60" w:after="60" w:line="252" w:lineRule="auto"/>
              <w:jc w:val="center"/>
            </w:pPr>
            <w:r>
              <w:rPr>
                <w:sz w:val="21"/>
              </w:rPr>
              <w:t>-7.45</w:t>
            </w:r>
          </w:p>
        </w:tc>
        <w:tc>
          <w:tcPr>
            <w:tcW w:w="1440" w:type="dxa"/>
            <w:tcBorders>
              <w:top w:val="single" w:sz="4" w:space="0" w:color="B7B7B7"/>
              <w:left w:val="single" w:sz="4" w:space="0" w:color="B7B7B7"/>
              <w:bottom w:val="single" w:sz="4" w:space="0" w:color="B7B7B7"/>
              <w:right w:val="single" w:sz="4" w:space="0" w:color="B7B7B7"/>
            </w:tcBorders>
          </w:tcPr>
          <w:p w14:paraId="6555E65D" w14:textId="77777777" w:rsidR="00355E5A" w:rsidRDefault="003C4050">
            <w:pPr>
              <w:spacing w:before="60" w:after="60" w:line="252" w:lineRule="auto"/>
              <w:jc w:val="center"/>
            </w:pPr>
            <w:r>
              <w:rPr>
                <w:sz w:val="21"/>
              </w:rPr>
              <w:t>2.8</w:t>
            </w:r>
          </w:p>
        </w:tc>
      </w:tr>
      <w:tr w:rsidR="00355E5A" w14:paraId="5C7C535F" w14:textId="77777777">
        <w:tc>
          <w:tcPr>
            <w:tcW w:w="4392" w:type="dxa"/>
            <w:tcBorders>
              <w:top w:val="single" w:sz="4" w:space="0" w:color="B7B7B7"/>
              <w:left w:val="single" w:sz="4" w:space="0" w:color="B7B7B7"/>
              <w:bottom w:val="single" w:sz="4" w:space="0" w:color="B7B7B7"/>
              <w:right w:val="single" w:sz="4" w:space="0" w:color="B7B7B7"/>
            </w:tcBorders>
          </w:tcPr>
          <w:p w14:paraId="062B81D0" w14:textId="77777777" w:rsidR="00355E5A" w:rsidRDefault="003C4050">
            <w:pPr>
              <w:spacing w:before="60" w:after="60" w:line="252" w:lineRule="auto"/>
            </w:pPr>
            <w:r>
              <w:rPr>
                <w:sz w:val="21"/>
              </w:rPr>
              <w:t>21 Peninsula - Lower East Coast</w:t>
            </w:r>
          </w:p>
        </w:tc>
        <w:tc>
          <w:tcPr>
            <w:tcW w:w="1512" w:type="dxa"/>
            <w:tcBorders>
              <w:top w:val="single" w:sz="4" w:space="0" w:color="B7B7B7"/>
              <w:left w:val="single" w:sz="4" w:space="0" w:color="B7B7B7"/>
              <w:bottom w:val="single" w:sz="4" w:space="0" w:color="B7B7B7"/>
              <w:right w:val="single" w:sz="4" w:space="0" w:color="B7B7B7"/>
            </w:tcBorders>
          </w:tcPr>
          <w:p w14:paraId="4E1FC63A" w14:textId="77777777" w:rsidR="00355E5A" w:rsidRDefault="003C4050">
            <w:pPr>
              <w:spacing w:before="60" w:after="60" w:line="252" w:lineRule="auto"/>
              <w:jc w:val="center"/>
            </w:pPr>
            <w:r>
              <w:rPr>
                <w:sz w:val="21"/>
              </w:rPr>
              <w:t>-1.62</w:t>
            </w:r>
          </w:p>
        </w:tc>
        <w:tc>
          <w:tcPr>
            <w:tcW w:w="1512" w:type="dxa"/>
            <w:tcBorders>
              <w:top w:val="single" w:sz="4" w:space="0" w:color="B7B7B7"/>
              <w:left w:val="single" w:sz="4" w:space="0" w:color="B7B7B7"/>
              <w:bottom w:val="single" w:sz="4" w:space="0" w:color="B7B7B7"/>
              <w:right w:val="single" w:sz="4" w:space="0" w:color="B7B7B7"/>
            </w:tcBorders>
          </w:tcPr>
          <w:p w14:paraId="34048BB8" w14:textId="77777777" w:rsidR="00355E5A" w:rsidRDefault="003C4050">
            <w:pPr>
              <w:spacing w:before="60" w:after="60" w:line="252" w:lineRule="auto"/>
              <w:jc w:val="center"/>
            </w:pPr>
            <w:r>
              <w:rPr>
                <w:sz w:val="21"/>
              </w:rPr>
              <w:t>-3.16</w:t>
            </w:r>
          </w:p>
        </w:tc>
        <w:tc>
          <w:tcPr>
            <w:tcW w:w="1440" w:type="dxa"/>
            <w:tcBorders>
              <w:top w:val="single" w:sz="4" w:space="0" w:color="B7B7B7"/>
              <w:left w:val="single" w:sz="4" w:space="0" w:color="B7B7B7"/>
              <w:bottom w:val="single" w:sz="4" w:space="0" w:color="B7B7B7"/>
              <w:right w:val="single" w:sz="4" w:space="0" w:color="B7B7B7"/>
            </w:tcBorders>
          </w:tcPr>
          <w:p w14:paraId="2D70D3DB" w14:textId="77777777" w:rsidR="00355E5A" w:rsidRDefault="003C4050">
            <w:pPr>
              <w:spacing w:before="60" w:after="60" w:line="252" w:lineRule="auto"/>
              <w:jc w:val="center"/>
            </w:pPr>
            <w:r>
              <w:rPr>
                <w:sz w:val="21"/>
              </w:rPr>
              <w:t>1.7</w:t>
            </w:r>
          </w:p>
        </w:tc>
      </w:tr>
      <w:tr w:rsidR="00355E5A" w14:paraId="5D7C8B37" w14:textId="77777777">
        <w:tc>
          <w:tcPr>
            <w:tcW w:w="4392" w:type="dxa"/>
            <w:tcBorders>
              <w:top w:val="single" w:sz="4" w:space="0" w:color="B7B7B7"/>
              <w:left w:val="single" w:sz="4" w:space="0" w:color="B7B7B7"/>
              <w:bottom w:val="single" w:sz="4" w:space="0" w:color="B7B7B7"/>
              <w:right w:val="single" w:sz="4" w:space="0" w:color="B7B7B7"/>
            </w:tcBorders>
          </w:tcPr>
          <w:p w14:paraId="2897430C" w14:textId="77777777" w:rsidR="00355E5A" w:rsidRDefault="003C4050">
            <w:pPr>
              <w:spacing w:before="60" w:after="60" w:line="252" w:lineRule="auto"/>
            </w:pPr>
            <w:r>
              <w:rPr>
                <w:sz w:val="21"/>
              </w:rPr>
              <w:t xml:space="preserve">22 Peninsula - </w:t>
            </w:r>
            <w:r>
              <w:rPr>
                <w:sz w:val="21"/>
              </w:rPr>
              <w:t>West Coast</w:t>
            </w:r>
          </w:p>
        </w:tc>
        <w:tc>
          <w:tcPr>
            <w:tcW w:w="1512" w:type="dxa"/>
            <w:tcBorders>
              <w:top w:val="single" w:sz="4" w:space="0" w:color="B7B7B7"/>
              <w:left w:val="single" w:sz="4" w:space="0" w:color="B7B7B7"/>
              <w:bottom w:val="single" w:sz="4" w:space="0" w:color="B7B7B7"/>
              <w:right w:val="single" w:sz="4" w:space="0" w:color="B7B7B7"/>
            </w:tcBorders>
          </w:tcPr>
          <w:p w14:paraId="4DF3ED8A" w14:textId="77777777" w:rsidR="00355E5A" w:rsidRDefault="003C4050">
            <w:pPr>
              <w:spacing w:before="60" w:after="60" w:line="252" w:lineRule="auto"/>
              <w:jc w:val="center"/>
            </w:pPr>
            <w:r>
              <w:rPr>
                <w:sz w:val="21"/>
              </w:rPr>
              <w:t>-21.48</w:t>
            </w:r>
          </w:p>
        </w:tc>
        <w:tc>
          <w:tcPr>
            <w:tcW w:w="1512" w:type="dxa"/>
            <w:tcBorders>
              <w:top w:val="single" w:sz="4" w:space="0" w:color="B7B7B7"/>
              <w:left w:val="single" w:sz="4" w:space="0" w:color="B7B7B7"/>
              <w:bottom w:val="single" w:sz="4" w:space="0" w:color="B7B7B7"/>
              <w:right w:val="single" w:sz="4" w:space="0" w:color="B7B7B7"/>
            </w:tcBorders>
          </w:tcPr>
          <w:p w14:paraId="21EC9A3B" w14:textId="77777777" w:rsidR="00355E5A" w:rsidRDefault="003C4050">
            <w:pPr>
              <w:spacing w:before="60" w:after="60" w:line="252" w:lineRule="auto"/>
              <w:jc w:val="center"/>
            </w:pPr>
            <w:r>
              <w:rPr>
                <w:sz w:val="21"/>
              </w:rPr>
              <w:t>-20.95</w:t>
            </w:r>
          </w:p>
        </w:tc>
        <w:tc>
          <w:tcPr>
            <w:tcW w:w="1440" w:type="dxa"/>
            <w:tcBorders>
              <w:top w:val="single" w:sz="4" w:space="0" w:color="B7B7B7"/>
              <w:left w:val="single" w:sz="4" w:space="0" w:color="B7B7B7"/>
              <w:bottom w:val="single" w:sz="4" w:space="0" w:color="B7B7B7"/>
              <w:right w:val="single" w:sz="4" w:space="0" w:color="B7B7B7"/>
            </w:tcBorders>
          </w:tcPr>
          <w:p w14:paraId="0CE58DC6" w14:textId="77777777" w:rsidR="00355E5A" w:rsidRDefault="003C4050">
            <w:pPr>
              <w:spacing w:before="60" w:after="60" w:line="252" w:lineRule="auto"/>
              <w:jc w:val="center"/>
            </w:pPr>
            <w:r>
              <w:rPr>
                <w:sz w:val="21"/>
              </w:rPr>
              <w:t>4.8</w:t>
            </w:r>
          </w:p>
        </w:tc>
      </w:tr>
    </w:tbl>
    <w:p w14:paraId="0DF5B638" w14:textId="77777777" w:rsidR="00355E5A" w:rsidRDefault="003C4050">
      <w:pPr>
        <w:spacing w:after="80" w:line="276" w:lineRule="auto"/>
        <w:jc w:val="both"/>
      </w:pPr>
      <w:r>
        <w:rPr>
          <w:sz w:val="21"/>
        </w:rPr>
        <w:t>Native concentration is inverse weight concentration, not an independent sample count. All principal basins retain the provider small-support caution. Complete tests, intervals, coverage and groundwater evidence are in the ver</w:t>
      </w:r>
      <w:r>
        <w:rPr>
          <w:sz w:val="21"/>
        </w:rPr>
        <w:t>sioned CSV tables.</w:t>
      </w:r>
    </w:p>
    <w:p w14:paraId="265C31C6" w14:textId="77777777" w:rsidR="00355E5A" w:rsidRDefault="003C4050">
      <w:pPr>
        <w:pStyle w:val="Heading2"/>
        <w:pageBreakBefore/>
        <w:numPr>
          <w:ilvl w:val="1"/>
          <w:numId w:val="0"/>
        </w:numPr>
        <w:spacing w:after="160" w:line="240" w:lineRule="auto"/>
      </w:pPr>
      <w:bookmarkStart w:id="63" w:name="_Toc243829239"/>
      <w:r>
        <w:lastRenderedPageBreak/>
        <w:t>APPENDIX B</w:t>
      </w:r>
      <w:r>
        <w:br/>
        <w:t>REPRODUCIBILITY AND INTERPRETATION CONTRACT</w:t>
      </w:r>
      <w:bookmarkEnd w:id="63"/>
    </w:p>
    <w:p w14:paraId="39EE51F2" w14:textId="77777777" w:rsidR="00355E5A" w:rsidRDefault="003C4050">
      <w:pPr>
        <w:spacing w:after="80" w:line="360" w:lineRule="auto"/>
        <w:jc w:val="both"/>
      </w:pPr>
      <w:r>
        <w:t>The extended numerical study is implemented in numbered acquisition, storage, robustness, climate, groundwater and synthesis scripts. Compact regional inputs and their provenance are</w:t>
      </w:r>
      <w:r>
        <w:t xml:space="preserve"> retained. The documented CSR record is a new primary input, while the earlier supplied export remains a sensitivity. No original research output is silently overwritten; the extended study occupies its own versioned directory.</w:t>
      </w:r>
    </w:p>
    <w:p w14:paraId="06CA82AA" w14:textId="77777777" w:rsidR="00355E5A" w:rsidRDefault="003C4050">
      <w:pPr>
        <w:spacing w:after="80" w:line="360" w:lineRule="auto"/>
        <w:jc w:val="both"/>
      </w:pPr>
      <w:r>
        <w:t xml:space="preserve">A reproducible run verifies </w:t>
      </w:r>
      <w:r>
        <w:t>input checksums, rebuilds the scientific tables and figures, and checks the accounting identities, model split rules, observation counts and table schemas. Frozen reference outputs are used for comparison only. They are not substituted for recomputed scien</w:t>
      </w:r>
      <w:r>
        <w:t>tific results. The repository documentation distinguishes the original executable release from the extended analyses and records the environment used.</w:t>
      </w:r>
    </w:p>
    <w:p w14:paraId="22036DC1" w14:textId="77777777" w:rsidR="00355E5A" w:rsidRDefault="003C4050">
      <w:pPr>
        <w:spacing w:after="80" w:line="360" w:lineRule="auto"/>
        <w:jc w:val="both"/>
      </w:pPr>
      <w:r>
        <w:t>Interpretation follows the same contract as execution: groundwater heads remain heads, model-emulation sk</w:t>
      </w:r>
      <w:r>
        <w:t>ill remains model-emulation skill, and a residual remains the sum of the represented human perturbation and unresolved discrepancy. Conditional bootstrap intervals do not become full product uncertainties, and native support concentration does not become a</w:t>
      </w:r>
      <w:r>
        <w:t xml:space="preserve"> count of independent observations. Keeping those meanings intact is necessary for a reader to reproduce the scientific argument as well as the numerical tables.</w:t>
      </w:r>
    </w:p>
    <w:p w14:paraId="78964F37" w14:textId="77777777" w:rsidR="00355E5A" w:rsidRDefault="003C4050">
      <w:pPr>
        <w:spacing w:after="80" w:line="360" w:lineRule="auto"/>
        <w:jc w:val="both"/>
      </w:pPr>
      <w:r>
        <w:t>The accompanying manuscript focuses on product dependence, climate memory and network uncertai</w:t>
      </w:r>
      <w:r>
        <w:t>nty; the thesis provides the fuller data, methods and basin context. The Beamer source and presentation summarize the same checked results. All author information uses Farzeen Khan, with academic supervision acknowledged to Dr. Natthachet Tangdamrongsub. O</w:t>
      </w:r>
      <w:r>
        <w:t>riginal dataset attributions and source-specific reuse terms remain attached to the released material.</w:t>
      </w:r>
    </w:p>
    <w:p w14:paraId="3969E379" w14:textId="77777777" w:rsidR="00355E5A" w:rsidRDefault="003C4050">
      <w:pPr>
        <w:spacing w:after="80" w:line="360" w:lineRule="auto"/>
      </w:pPr>
      <w:r>
        <w:rPr>
          <w:sz w:val="22"/>
        </w:rPr>
        <w:t>Code and data access: https://github.com/pratikkhanal16/thailand-water-storage-dss</w:t>
      </w:r>
    </w:p>
    <w:sectPr w:rsidR="00355E5A" w:rsidSect="00E16441">
      <w:footerReference w:type="default" r:id="rId35"/>
      <w:pgSz w:w="11909" w:h="16834"/>
      <w:pgMar w:top="1440" w:right="1440" w:bottom="1440" w:left="1440" w:header="706" w:footer="706"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EBCB7A" w14:textId="77777777" w:rsidR="00D24FC0" w:rsidRDefault="00D24FC0">
      <w:r>
        <w:separator/>
      </w:r>
    </w:p>
  </w:endnote>
  <w:endnote w:type="continuationSeparator" w:id="0">
    <w:p w14:paraId="2AACEA67" w14:textId="77777777" w:rsidR="00D24FC0" w:rsidRDefault="00D24F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CD36D" w14:textId="77777777" w:rsidR="00E16441" w:rsidRDefault="00E16441">
    <w:pPr>
      <w:pStyle w:val="Footer"/>
      <w:framePr w:wrap="auto"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ii</w:t>
    </w:r>
    <w:r>
      <w:rPr>
        <w:rStyle w:val="PageNumber"/>
      </w:rPr>
      <w:fldChar w:fldCharType="end"/>
    </w:r>
  </w:p>
  <w:p w14:paraId="3817EBB8" w14:textId="77777777" w:rsidR="00E16441" w:rsidRDefault="00E1644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Fonts w:cs="Times New Roman"/>
        <w:szCs w:val="24"/>
      </w:rPr>
      <w:id w:val="442585641"/>
      <w:docPartObj>
        <w:docPartGallery w:val="AutoText"/>
      </w:docPartObj>
    </w:sdtPr>
    <w:sdtEndPr>
      <w:rPr>
        <w:rStyle w:val="PageNumber"/>
      </w:rPr>
    </w:sdtEndPr>
    <w:sdtContent>
      <w:p w14:paraId="7D8A13C2" w14:textId="77777777" w:rsidR="00E16441" w:rsidRDefault="00E16441">
        <w:pPr>
          <w:pStyle w:val="Footer"/>
          <w:framePr w:wrap="auto" w:vAnchor="text" w:hAnchor="margin" w:xAlign="center" w:y="1"/>
          <w:rPr>
            <w:rStyle w:val="PageNumber"/>
            <w:rFonts w:cs="Times New Roman"/>
            <w:szCs w:val="24"/>
          </w:rPr>
        </w:pPr>
        <w:r>
          <w:rPr>
            <w:rStyle w:val="PageNumber"/>
            <w:rFonts w:cs="Times New Roman"/>
            <w:szCs w:val="24"/>
          </w:rPr>
          <w:fldChar w:fldCharType="begin"/>
        </w:r>
        <w:r>
          <w:rPr>
            <w:rStyle w:val="PageNumber"/>
            <w:rFonts w:cs="Times New Roman"/>
            <w:szCs w:val="24"/>
          </w:rPr>
          <w:instrText xml:space="preserve"> PAGE </w:instrText>
        </w:r>
        <w:r>
          <w:rPr>
            <w:rStyle w:val="PageNumber"/>
            <w:rFonts w:cs="Times New Roman"/>
            <w:szCs w:val="24"/>
          </w:rPr>
          <w:fldChar w:fldCharType="separate"/>
        </w:r>
        <w:r>
          <w:rPr>
            <w:rStyle w:val="PageNumber"/>
            <w:rFonts w:cs="Times New Roman"/>
            <w:noProof/>
            <w:szCs w:val="24"/>
          </w:rPr>
          <w:t>ix</w:t>
        </w:r>
        <w:r>
          <w:rPr>
            <w:rStyle w:val="PageNumber"/>
            <w:rFonts w:cs="Times New Roman"/>
            <w:szCs w:val="24"/>
          </w:rPr>
          <w:fldChar w:fldCharType="end"/>
        </w:r>
      </w:p>
    </w:sdtContent>
  </w:sdt>
  <w:p w14:paraId="3524E560" w14:textId="77777777" w:rsidR="00E16441" w:rsidRDefault="00E1644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9F41F" w14:textId="77777777" w:rsidR="00E16441" w:rsidRDefault="00E1644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2AC1" w14:textId="735B1086" w:rsidR="00355E5A" w:rsidRDefault="003C4050">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084EEE" w14:textId="77777777" w:rsidR="00D24FC0" w:rsidRDefault="00D24FC0">
      <w:r>
        <w:separator/>
      </w:r>
    </w:p>
  </w:footnote>
  <w:footnote w:type="continuationSeparator" w:id="0">
    <w:p w14:paraId="013B5DE3" w14:textId="77777777" w:rsidR="00D24FC0" w:rsidRDefault="00D24F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6557E"/>
    <w:multiLevelType w:val="multilevel"/>
    <w:tmpl w:val="0516557E"/>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1D1E4C87"/>
    <w:multiLevelType w:val="multilevel"/>
    <w:tmpl w:val="21C49E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0707D86"/>
    <w:multiLevelType w:val="multilevel"/>
    <w:tmpl w:val="30707D86"/>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52FC45E0"/>
    <w:multiLevelType w:val="multilevel"/>
    <w:tmpl w:val="B31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D2320B"/>
    <w:multiLevelType w:val="multilevel"/>
    <w:tmpl w:val="67D2320B"/>
    <w:lvl w:ilvl="0">
      <w:start w:val="1"/>
      <w:numFmt w:val="decimal"/>
      <w:pStyle w:val="Heading1"/>
      <w:suff w:val="nothing"/>
      <w:lvlText w:val="CHAPTER %1"/>
      <w:lvlJc w:val="left"/>
      <w:pPr>
        <w:ind w:left="0" w:firstLine="0"/>
      </w:pPr>
      <w:rPr>
        <w:rFonts w:ascii="Times New Roman" w:hAnsi="Times New Roman" w:cs="Times New Roman" w:hint="eastAsia"/>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eastAsia"/>
        <w:color w:val="auto"/>
        <w:sz w:val="24"/>
        <w:szCs w:val="24"/>
      </w:rPr>
    </w:lvl>
    <w:lvl w:ilvl="3">
      <w:start w:val="1"/>
      <w:numFmt w:val="decimal"/>
      <w:pStyle w:val="Heading4"/>
      <w:lvlText w:val="%1.%2.%3.%4"/>
      <w:lvlJc w:val="left"/>
      <w:pPr>
        <w:ind w:left="0" w:firstLine="0"/>
      </w:pPr>
      <w:rPr>
        <w:b/>
        <w:bCs/>
        <w:i/>
        <w:iCs/>
        <w:caps w:val="0"/>
        <w:smallCaps w:val="0"/>
        <w:strike w:val="0"/>
        <w:dstrike w:val="0"/>
        <w:outline w:val="0"/>
        <w:shadow w:val="0"/>
        <w:emboss w:val="0"/>
        <w:imprint w:val="0"/>
        <w:vanish w:val="0"/>
        <w:color w:val="000000" w:themeColor="text1"/>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pStyle w:val="Heading5"/>
      <w:lvlText w:val="%1.%2.%3.%4.%5"/>
      <w:lvlJc w:val="left"/>
      <w:pPr>
        <w:ind w:left="0" w:firstLine="0"/>
      </w:pPr>
      <w:rPr>
        <w:b/>
        <w:bCs/>
        <w:i/>
        <w:iCs/>
        <w:caps w:val="0"/>
        <w:smallCaps w:val="0"/>
        <w:strike w:val="0"/>
        <w:dstrike w:val="0"/>
        <w:outline w:val="0"/>
        <w:shadow w:val="0"/>
        <w:emboss w:val="0"/>
        <w:imprint w:val="0"/>
        <w:vanish w:val="0"/>
        <w:color w:val="000000" w:themeColor="text1"/>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274"/>
  <w:drawingGridHorizontalSpacing w:val="144"/>
  <w:drawingGridVerticalSpacing w:val="720"/>
  <w:displayHorizontalDrawingGridEvery w:val="0"/>
  <w:displayVerticalDrawingGridEvery w:val="0"/>
  <w:noPunctuationKerning/>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FC0"/>
    <w:rsid w:val="000041AA"/>
    <w:rsid w:val="00006DA6"/>
    <w:rsid w:val="00011BF1"/>
    <w:rsid w:val="00013874"/>
    <w:rsid w:val="00017CAD"/>
    <w:rsid w:val="000238D3"/>
    <w:rsid w:val="0003175A"/>
    <w:rsid w:val="00037B60"/>
    <w:rsid w:val="00040337"/>
    <w:rsid w:val="00044608"/>
    <w:rsid w:val="00044843"/>
    <w:rsid w:val="00054D5D"/>
    <w:rsid w:val="000575F1"/>
    <w:rsid w:val="000726EC"/>
    <w:rsid w:val="00080498"/>
    <w:rsid w:val="0009441C"/>
    <w:rsid w:val="00095773"/>
    <w:rsid w:val="00096EC5"/>
    <w:rsid w:val="000A06A8"/>
    <w:rsid w:val="000A1978"/>
    <w:rsid w:val="000A2356"/>
    <w:rsid w:val="000A666F"/>
    <w:rsid w:val="000A7AE2"/>
    <w:rsid w:val="000C0DDF"/>
    <w:rsid w:val="000C7FD8"/>
    <w:rsid w:val="000D2406"/>
    <w:rsid w:val="000E4CB1"/>
    <w:rsid w:val="00101740"/>
    <w:rsid w:val="0010275E"/>
    <w:rsid w:val="00106D61"/>
    <w:rsid w:val="001115F6"/>
    <w:rsid w:val="0011187E"/>
    <w:rsid w:val="001144EB"/>
    <w:rsid w:val="00121476"/>
    <w:rsid w:val="001355E1"/>
    <w:rsid w:val="00142DDC"/>
    <w:rsid w:val="00145C1E"/>
    <w:rsid w:val="00147D8E"/>
    <w:rsid w:val="00151F01"/>
    <w:rsid w:val="001552F5"/>
    <w:rsid w:val="00155EE9"/>
    <w:rsid w:val="00161E98"/>
    <w:rsid w:val="00173AEC"/>
    <w:rsid w:val="0017514C"/>
    <w:rsid w:val="00177C17"/>
    <w:rsid w:val="00181A22"/>
    <w:rsid w:val="00192CCD"/>
    <w:rsid w:val="00194306"/>
    <w:rsid w:val="00195181"/>
    <w:rsid w:val="00197341"/>
    <w:rsid w:val="001D1639"/>
    <w:rsid w:val="001D2FA7"/>
    <w:rsid w:val="001E30DC"/>
    <w:rsid w:val="00202933"/>
    <w:rsid w:val="00204634"/>
    <w:rsid w:val="002235F8"/>
    <w:rsid w:val="00230F56"/>
    <w:rsid w:val="0023179E"/>
    <w:rsid w:val="00237C32"/>
    <w:rsid w:val="00245E66"/>
    <w:rsid w:val="0025714D"/>
    <w:rsid w:val="00260617"/>
    <w:rsid w:val="0026378A"/>
    <w:rsid w:val="00270484"/>
    <w:rsid w:val="002811C6"/>
    <w:rsid w:val="0028750F"/>
    <w:rsid w:val="00297E7A"/>
    <w:rsid w:val="002A1CCC"/>
    <w:rsid w:val="002A3451"/>
    <w:rsid w:val="002B06EF"/>
    <w:rsid w:val="002B685D"/>
    <w:rsid w:val="002C182D"/>
    <w:rsid w:val="002C7249"/>
    <w:rsid w:val="002D2FBF"/>
    <w:rsid w:val="002E1B04"/>
    <w:rsid w:val="002E67BD"/>
    <w:rsid w:val="0031050A"/>
    <w:rsid w:val="00315026"/>
    <w:rsid w:val="0032047C"/>
    <w:rsid w:val="00321B79"/>
    <w:rsid w:val="003232F2"/>
    <w:rsid w:val="00324289"/>
    <w:rsid w:val="00324EF3"/>
    <w:rsid w:val="0033614A"/>
    <w:rsid w:val="00355E5A"/>
    <w:rsid w:val="00357232"/>
    <w:rsid w:val="00357CB5"/>
    <w:rsid w:val="00360342"/>
    <w:rsid w:val="00363CE0"/>
    <w:rsid w:val="00392369"/>
    <w:rsid w:val="00393EC3"/>
    <w:rsid w:val="003A6044"/>
    <w:rsid w:val="003B1362"/>
    <w:rsid w:val="003B29FB"/>
    <w:rsid w:val="003C4050"/>
    <w:rsid w:val="003C4D15"/>
    <w:rsid w:val="003C774B"/>
    <w:rsid w:val="003D44DE"/>
    <w:rsid w:val="003E26C1"/>
    <w:rsid w:val="003E380C"/>
    <w:rsid w:val="00400BDF"/>
    <w:rsid w:val="0040258B"/>
    <w:rsid w:val="00406AB7"/>
    <w:rsid w:val="004071B3"/>
    <w:rsid w:val="0041164A"/>
    <w:rsid w:val="00417BDF"/>
    <w:rsid w:val="00432A76"/>
    <w:rsid w:val="00433D87"/>
    <w:rsid w:val="00467554"/>
    <w:rsid w:val="00477701"/>
    <w:rsid w:val="00483880"/>
    <w:rsid w:val="00483A92"/>
    <w:rsid w:val="00487EE0"/>
    <w:rsid w:val="0049571D"/>
    <w:rsid w:val="0049729F"/>
    <w:rsid w:val="004A48F2"/>
    <w:rsid w:val="004A7904"/>
    <w:rsid w:val="004A7D1F"/>
    <w:rsid w:val="004C24A9"/>
    <w:rsid w:val="00502208"/>
    <w:rsid w:val="0050663B"/>
    <w:rsid w:val="0051389C"/>
    <w:rsid w:val="00515A05"/>
    <w:rsid w:val="005429AB"/>
    <w:rsid w:val="0054667C"/>
    <w:rsid w:val="00547396"/>
    <w:rsid w:val="00553CE7"/>
    <w:rsid w:val="00554F49"/>
    <w:rsid w:val="00556D01"/>
    <w:rsid w:val="00557D6E"/>
    <w:rsid w:val="00565B62"/>
    <w:rsid w:val="00572DE4"/>
    <w:rsid w:val="005749AB"/>
    <w:rsid w:val="00574DD4"/>
    <w:rsid w:val="00575449"/>
    <w:rsid w:val="00580485"/>
    <w:rsid w:val="00583A25"/>
    <w:rsid w:val="005842EE"/>
    <w:rsid w:val="00595E78"/>
    <w:rsid w:val="005A02AA"/>
    <w:rsid w:val="005A2D6C"/>
    <w:rsid w:val="005A650A"/>
    <w:rsid w:val="005B0118"/>
    <w:rsid w:val="005B4B78"/>
    <w:rsid w:val="005C0DB3"/>
    <w:rsid w:val="005D2661"/>
    <w:rsid w:val="005D4184"/>
    <w:rsid w:val="005D560E"/>
    <w:rsid w:val="005E1B10"/>
    <w:rsid w:val="005E22DB"/>
    <w:rsid w:val="005F2D53"/>
    <w:rsid w:val="005F580B"/>
    <w:rsid w:val="00604596"/>
    <w:rsid w:val="00606A1D"/>
    <w:rsid w:val="00606BAF"/>
    <w:rsid w:val="00610171"/>
    <w:rsid w:val="00614729"/>
    <w:rsid w:val="00640609"/>
    <w:rsid w:val="00644F10"/>
    <w:rsid w:val="00650F6B"/>
    <w:rsid w:val="00656BF6"/>
    <w:rsid w:val="00661AAD"/>
    <w:rsid w:val="006667A6"/>
    <w:rsid w:val="00683B5F"/>
    <w:rsid w:val="00683C42"/>
    <w:rsid w:val="00684B9A"/>
    <w:rsid w:val="006856D0"/>
    <w:rsid w:val="006A4B5F"/>
    <w:rsid w:val="006B0378"/>
    <w:rsid w:val="006B7818"/>
    <w:rsid w:val="006C6122"/>
    <w:rsid w:val="006C6350"/>
    <w:rsid w:val="006D0165"/>
    <w:rsid w:val="006D3F95"/>
    <w:rsid w:val="006E1C8D"/>
    <w:rsid w:val="006F0F57"/>
    <w:rsid w:val="00701C45"/>
    <w:rsid w:val="00704A5F"/>
    <w:rsid w:val="007071D2"/>
    <w:rsid w:val="0071172B"/>
    <w:rsid w:val="0071217F"/>
    <w:rsid w:val="00715E25"/>
    <w:rsid w:val="007255D4"/>
    <w:rsid w:val="007263FB"/>
    <w:rsid w:val="0072717D"/>
    <w:rsid w:val="007304BA"/>
    <w:rsid w:val="00732298"/>
    <w:rsid w:val="00750DB6"/>
    <w:rsid w:val="00763DCB"/>
    <w:rsid w:val="00770C31"/>
    <w:rsid w:val="00771338"/>
    <w:rsid w:val="00785F6A"/>
    <w:rsid w:val="0079156B"/>
    <w:rsid w:val="007B09B1"/>
    <w:rsid w:val="007B436C"/>
    <w:rsid w:val="007B7AEB"/>
    <w:rsid w:val="007C0049"/>
    <w:rsid w:val="007C0CDB"/>
    <w:rsid w:val="007C1089"/>
    <w:rsid w:val="007C1C50"/>
    <w:rsid w:val="007D50BF"/>
    <w:rsid w:val="007D569A"/>
    <w:rsid w:val="007D62B8"/>
    <w:rsid w:val="007E470A"/>
    <w:rsid w:val="007F1AED"/>
    <w:rsid w:val="007F69BE"/>
    <w:rsid w:val="00815B63"/>
    <w:rsid w:val="00816C5E"/>
    <w:rsid w:val="008227B8"/>
    <w:rsid w:val="00834029"/>
    <w:rsid w:val="00837454"/>
    <w:rsid w:val="00842290"/>
    <w:rsid w:val="0085099E"/>
    <w:rsid w:val="00857E9F"/>
    <w:rsid w:val="008635F3"/>
    <w:rsid w:val="00874F13"/>
    <w:rsid w:val="00894AFE"/>
    <w:rsid w:val="008A3597"/>
    <w:rsid w:val="008B0EFE"/>
    <w:rsid w:val="008B2E19"/>
    <w:rsid w:val="008B4356"/>
    <w:rsid w:val="008C29A5"/>
    <w:rsid w:val="008D4464"/>
    <w:rsid w:val="008D49BA"/>
    <w:rsid w:val="008D4CB0"/>
    <w:rsid w:val="008E70A2"/>
    <w:rsid w:val="008E7185"/>
    <w:rsid w:val="00912755"/>
    <w:rsid w:val="00913E6C"/>
    <w:rsid w:val="0093030E"/>
    <w:rsid w:val="00936544"/>
    <w:rsid w:val="00946491"/>
    <w:rsid w:val="00955D39"/>
    <w:rsid w:val="00967AA0"/>
    <w:rsid w:val="00970EAC"/>
    <w:rsid w:val="00975C31"/>
    <w:rsid w:val="00981757"/>
    <w:rsid w:val="00984050"/>
    <w:rsid w:val="00984A9D"/>
    <w:rsid w:val="00987C3E"/>
    <w:rsid w:val="009C1C07"/>
    <w:rsid w:val="009C59EC"/>
    <w:rsid w:val="009E4C90"/>
    <w:rsid w:val="009E716F"/>
    <w:rsid w:val="00A019A0"/>
    <w:rsid w:val="00A07D0F"/>
    <w:rsid w:val="00A44173"/>
    <w:rsid w:val="00A454E9"/>
    <w:rsid w:val="00A45D93"/>
    <w:rsid w:val="00A50FE2"/>
    <w:rsid w:val="00A522EE"/>
    <w:rsid w:val="00A54250"/>
    <w:rsid w:val="00A6729A"/>
    <w:rsid w:val="00A83932"/>
    <w:rsid w:val="00A86339"/>
    <w:rsid w:val="00A86964"/>
    <w:rsid w:val="00A91834"/>
    <w:rsid w:val="00A95CD1"/>
    <w:rsid w:val="00AA5F5F"/>
    <w:rsid w:val="00AB22B1"/>
    <w:rsid w:val="00AC5ADF"/>
    <w:rsid w:val="00AC607A"/>
    <w:rsid w:val="00AC69B5"/>
    <w:rsid w:val="00AC776A"/>
    <w:rsid w:val="00AD04DA"/>
    <w:rsid w:val="00AD21FA"/>
    <w:rsid w:val="00AD4CF7"/>
    <w:rsid w:val="00AD7996"/>
    <w:rsid w:val="00AE2721"/>
    <w:rsid w:val="00AE3603"/>
    <w:rsid w:val="00AE363D"/>
    <w:rsid w:val="00AE5789"/>
    <w:rsid w:val="00AE6726"/>
    <w:rsid w:val="00AF5E92"/>
    <w:rsid w:val="00B01FFB"/>
    <w:rsid w:val="00B1474A"/>
    <w:rsid w:val="00B2234B"/>
    <w:rsid w:val="00B269A1"/>
    <w:rsid w:val="00B269B2"/>
    <w:rsid w:val="00B309C3"/>
    <w:rsid w:val="00B31E8C"/>
    <w:rsid w:val="00B36912"/>
    <w:rsid w:val="00B36F66"/>
    <w:rsid w:val="00B40589"/>
    <w:rsid w:val="00B412CC"/>
    <w:rsid w:val="00B42D17"/>
    <w:rsid w:val="00B51BC5"/>
    <w:rsid w:val="00B55ACF"/>
    <w:rsid w:val="00B67D75"/>
    <w:rsid w:val="00B731A8"/>
    <w:rsid w:val="00B95061"/>
    <w:rsid w:val="00BA1DDC"/>
    <w:rsid w:val="00BB2185"/>
    <w:rsid w:val="00BB68CB"/>
    <w:rsid w:val="00BB6B28"/>
    <w:rsid w:val="00BC1E8F"/>
    <w:rsid w:val="00BC2367"/>
    <w:rsid w:val="00BC3DC4"/>
    <w:rsid w:val="00BC48CA"/>
    <w:rsid w:val="00BD2C6E"/>
    <w:rsid w:val="00BD35D5"/>
    <w:rsid w:val="00BD6840"/>
    <w:rsid w:val="00BE65D2"/>
    <w:rsid w:val="00BF04F8"/>
    <w:rsid w:val="00BF7181"/>
    <w:rsid w:val="00BF777A"/>
    <w:rsid w:val="00C04E97"/>
    <w:rsid w:val="00C245E9"/>
    <w:rsid w:val="00C33680"/>
    <w:rsid w:val="00C46806"/>
    <w:rsid w:val="00C52FBA"/>
    <w:rsid w:val="00C53A3D"/>
    <w:rsid w:val="00C54153"/>
    <w:rsid w:val="00C61431"/>
    <w:rsid w:val="00C648F3"/>
    <w:rsid w:val="00C73AAA"/>
    <w:rsid w:val="00C77073"/>
    <w:rsid w:val="00C820E2"/>
    <w:rsid w:val="00C91D86"/>
    <w:rsid w:val="00C92E61"/>
    <w:rsid w:val="00CA10CD"/>
    <w:rsid w:val="00CA125D"/>
    <w:rsid w:val="00CA2561"/>
    <w:rsid w:val="00CB23B0"/>
    <w:rsid w:val="00CB6618"/>
    <w:rsid w:val="00CB6F75"/>
    <w:rsid w:val="00CC7487"/>
    <w:rsid w:val="00CE5997"/>
    <w:rsid w:val="00CF095B"/>
    <w:rsid w:val="00CF2756"/>
    <w:rsid w:val="00CF3B57"/>
    <w:rsid w:val="00CF4933"/>
    <w:rsid w:val="00D0657F"/>
    <w:rsid w:val="00D23C42"/>
    <w:rsid w:val="00D2472C"/>
    <w:rsid w:val="00D24FC0"/>
    <w:rsid w:val="00D25D30"/>
    <w:rsid w:val="00D34303"/>
    <w:rsid w:val="00D356F6"/>
    <w:rsid w:val="00D37418"/>
    <w:rsid w:val="00D425AC"/>
    <w:rsid w:val="00D56226"/>
    <w:rsid w:val="00D83757"/>
    <w:rsid w:val="00D86511"/>
    <w:rsid w:val="00D879E0"/>
    <w:rsid w:val="00D87DCA"/>
    <w:rsid w:val="00D95139"/>
    <w:rsid w:val="00DA3B57"/>
    <w:rsid w:val="00DA4037"/>
    <w:rsid w:val="00DA7317"/>
    <w:rsid w:val="00DB1E35"/>
    <w:rsid w:val="00DB57F7"/>
    <w:rsid w:val="00DC2A14"/>
    <w:rsid w:val="00DC2CFB"/>
    <w:rsid w:val="00DC5A28"/>
    <w:rsid w:val="00DD4DDE"/>
    <w:rsid w:val="00DD6C94"/>
    <w:rsid w:val="00DE138E"/>
    <w:rsid w:val="00DE158B"/>
    <w:rsid w:val="00DE36C1"/>
    <w:rsid w:val="00DE401D"/>
    <w:rsid w:val="00DE5727"/>
    <w:rsid w:val="00DE6D83"/>
    <w:rsid w:val="00DF342A"/>
    <w:rsid w:val="00DF565D"/>
    <w:rsid w:val="00E05113"/>
    <w:rsid w:val="00E12871"/>
    <w:rsid w:val="00E16441"/>
    <w:rsid w:val="00E171DC"/>
    <w:rsid w:val="00E23967"/>
    <w:rsid w:val="00E34641"/>
    <w:rsid w:val="00E34CD5"/>
    <w:rsid w:val="00E36289"/>
    <w:rsid w:val="00E36DFF"/>
    <w:rsid w:val="00E40B5F"/>
    <w:rsid w:val="00E41E96"/>
    <w:rsid w:val="00E547F2"/>
    <w:rsid w:val="00E61892"/>
    <w:rsid w:val="00E6646A"/>
    <w:rsid w:val="00E7101A"/>
    <w:rsid w:val="00E84E77"/>
    <w:rsid w:val="00E916E8"/>
    <w:rsid w:val="00EA7C0B"/>
    <w:rsid w:val="00EB0929"/>
    <w:rsid w:val="00EB579A"/>
    <w:rsid w:val="00EB5A96"/>
    <w:rsid w:val="00ED2380"/>
    <w:rsid w:val="00EF1246"/>
    <w:rsid w:val="00EF163A"/>
    <w:rsid w:val="00EF2C26"/>
    <w:rsid w:val="00EF44EE"/>
    <w:rsid w:val="00EF7C7F"/>
    <w:rsid w:val="00F01F15"/>
    <w:rsid w:val="00F029C5"/>
    <w:rsid w:val="00F07F9E"/>
    <w:rsid w:val="00F1571D"/>
    <w:rsid w:val="00F22504"/>
    <w:rsid w:val="00F23E6D"/>
    <w:rsid w:val="00F24B85"/>
    <w:rsid w:val="00F24D75"/>
    <w:rsid w:val="00F25220"/>
    <w:rsid w:val="00F255CD"/>
    <w:rsid w:val="00F27E40"/>
    <w:rsid w:val="00F44B5C"/>
    <w:rsid w:val="00F44EDC"/>
    <w:rsid w:val="00F47F63"/>
    <w:rsid w:val="00F50E36"/>
    <w:rsid w:val="00F578BC"/>
    <w:rsid w:val="00F64DB5"/>
    <w:rsid w:val="00F6618C"/>
    <w:rsid w:val="00F66BB8"/>
    <w:rsid w:val="00F73C0C"/>
    <w:rsid w:val="00F75499"/>
    <w:rsid w:val="00F7773F"/>
    <w:rsid w:val="00F8034E"/>
    <w:rsid w:val="00F84A6F"/>
    <w:rsid w:val="00F97B77"/>
    <w:rsid w:val="00FA761D"/>
    <w:rsid w:val="00FB0934"/>
    <w:rsid w:val="00FB1EE2"/>
    <w:rsid w:val="00FB54F8"/>
    <w:rsid w:val="00FC247F"/>
    <w:rsid w:val="00FC728F"/>
    <w:rsid w:val="00FD4BE2"/>
    <w:rsid w:val="00FD7EAC"/>
    <w:rsid w:val="00FE62F2"/>
    <w:rsid w:val="00FF18D9"/>
    <w:rsid w:val="27FA7F6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231776"/>
  <w15:docId w15:val="{054DD678-6613-4AC9-B8EE-2F011FF62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rdia New" w:eastAsiaTheme="minorEastAsia" w:hAnsi="Cordia New" w:cs="Cordia New"/>
        <w:lang w:val="en-US" w:eastAsia="en-US" w:bidi="ar-SA"/>
      </w:rPr>
    </w:rPrDefault>
    <w:pPrDefault/>
  </w:docDefaults>
  <w:latentStyles w:defLockedState="0" w:defUIPriority="0" w:defSemiHidden="0" w:defUnhideWhenUsed="0" w:defQFormat="0" w:count="376">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caption" w:unhideWhenUsed="1"/>
    <w:lsdException w:name="table of figures" w:uiPriority="99"/>
    <w:lsdException w:name="Default Paragraph Font" w:semiHidden="1" w:uiPriority="1" w:unhideWhenUsed="1"/>
    <w:lsdException w:name="Hyperlink" w:uiPriority="99" w:unhideWhenUsed="1"/>
    <w:lsdException w:name="Strong" w:uiPriority="22"/>
    <w:lsdException w:name="HTML Top of Form" w:semiHidden="1" w:uiPriority="99" w:unhideWhenUsed="1"/>
    <w:lsdException w:name="HTML Bottom of Form" w:semiHidden="1" w:uiPriority="99" w:unhideWhenUsed="1"/>
    <w:lsdException w:name="Normal (Web)" w:uiPriority="99" w:unhideWhenUsed="1"/>
    <w:lsdException w:name="HTML Definition" w:semiHidden="1" w:unhideWhenUsed="1"/>
    <w:lsdException w:name="HTML Keyboard" w:semiHidden="1" w:unhideWhenUsed="1"/>
    <w:lsdException w:name="HTML Variable" w:semiHidden="1" w:unhideWhenUsed="1"/>
    <w:lsdException w:name="Normal Table" w:uiPriority="99"/>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2C7249"/>
    <w:rPr>
      <w:rFonts w:ascii="Times New Roman" w:hAnsi="Times New Roman"/>
      <w:color w:val="000000"/>
      <w:sz w:val="24"/>
      <w:szCs w:val="28"/>
      <w:lang w:bidi="th-TH"/>
    </w:rPr>
  </w:style>
  <w:style w:type="paragraph" w:styleId="Heading1">
    <w:name w:val="heading 1"/>
    <w:basedOn w:val="Normal"/>
    <w:next w:val="Normal"/>
    <w:link w:val="Heading1Char"/>
    <w:qFormat/>
    <w:rsid w:val="006856D0"/>
    <w:pPr>
      <w:keepNext/>
      <w:keepLines/>
      <w:numPr>
        <w:numId w:val="1"/>
      </w:numPr>
      <w:spacing w:afterLines="200" w:after="200" w:line="360" w:lineRule="auto"/>
      <w:jc w:val="center"/>
      <w:outlineLvl w:val="0"/>
    </w:pPr>
    <w:rPr>
      <w:rFonts w:cs="Times New Roman"/>
      <w:b/>
      <w:bCs/>
      <w:sz w:val="28"/>
    </w:rPr>
  </w:style>
  <w:style w:type="paragraph" w:styleId="Heading2">
    <w:name w:val="heading 2"/>
    <w:basedOn w:val="ListParagraph"/>
    <w:next w:val="Normal"/>
    <w:link w:val="Heading2Char"/>
    <w:unhideWhenUsed/>
    <w:qFormat/>
    <w:rsid w:val="006856D0"/>
    <w:pPr>
      <w:keepNext/>
      <w:keepLines/>
      <w:numPr>
        <w:ilvl w:val="1"/>
        <w:numId w:val="1"/>
      </w:numPr>
      <w:tabs>
        <w:tab w:val="left" w:pos="426"/>
        <w:tab w:val="left" w:pos="567"/>
      </w:tabs>
      <w:outlineLvl w:val="1"/>
    </w:pPr>
    <w:rPr>
      <w:rFonts w:ascii="Times New Roman" w:hAnsi="Times New Roman" w:cs="Times New Roman"/>
      <w:b/>
      <w:bCs/>
      <w:sz w:val="24"/>
      <w:szCs w:val="24"/>
    </w:rPr>
  </w:style>
  <w:style w:type="paragraph" w:styleId="Heading3">
    <w:name w:val="heading 3"/>
    <w:basedOn w:val="ListParagraph"/>
    <w:next w:val="Normal"/>
    <w:link w:val="Heading3Char"/>
    <w:unhideWhenUsed/>
    <w:qFormat/>
    <w:rsid w:val="006856D0"/>
    <w:pPr>
      <w:keepNext/>
      <w:keepLines/>
      <w:numPr>
        <w:ilvl w:val="2"/>
        <w:numId w:val="1"/>
      </w:numPr>
      <w:outlineLvl w:val="2"/>
    </w:pPr>
    <w:rPr>
      <w:rFonts w:ascii="Times New Roman" w:hAnsi="Times New Roman" w:cs="Times New Roman"/>
      <w:b/>
      <w:bCs/>
      <w:i/>
      <w:iCs/>
      <w:sz w:val="24"/>
      <w:szCs w:val="24"/>
    </w:rPr>
  </w:style>
  <w:style w:type="paragraph" w:styleId="Heading4">
    <w:name w:val="heading 4"/>
    <w:basedOn w:val="ListParagraph"/>
    <w:next w:val="Normal"/>
    <w:link w:val="Heading4Char"/>
    <w:unhideWhenUsed/>
    <w:qFormat/>
    <w:rsid w:val="006856D0"/>
    <w:pPr>
      <w:keepNext/>
      <w:keepLines/>
      <w:numPr>
        <w:ilvl w:val="3"/>
        <w:numId w:val="1"/>
      </w:numPr>
      <w:ind w:firstLineChars="250" w:firstLine="250"/>
      <w:jc w:val="both"/>
      <w:outlineLvl w:val="3"/>
    </w:pPr>
    <w:rPr>
      <w:rFonts w:ascii="Times New Roman" w:hAnsi="Times New Roman" w:cs="Times New Roman"/>
      <w:b/>
      <w:bCs/>
      <w:i/>
      <w:iCs/>
      <w:sz w:val="24"/>
      <w:szCs w:val="24"/>
    </w:rPr>
  </w:style>
  <w:style w:type="paragraph" w:styleId="Heading5">
    <w:name w:val="heading 5"/>
    <w:basedOn w:val="ListParagraph"/>
    <w:next w:val="Normal"/>
    <w:link w:val="Heading5Char"/>
    <w:unhideWhenUsed/>
    <w:qFormat/>
    <w:rsid w:val="006856D0"/>
    <w:pPr>
      <w:keepNext/>
      <w:keepLines/>
      <w:numPr>
        <w:ilvl w:val="4"/>
        <w:numId w:val="1"/>
      </w:numPr>
      <w:ind w:firstLineChars="250" w:firstLine="250"/>
      <w:jc w:val="both"/>
      <w:outlineLvl w:val="4"/>
    </w:pPr>
    <w:rPr>
      <w:rFonts w:ascii="Times New Roman" w:hAnsi="Times New Roman" w:cs="Times New Roman"/>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spacing w:line="360" w:lineRule="auto"/>
      <w:ind w:left="720"/>
      <w:contextualSpacing/>
    </w:pPr>
    <w:rPr>
      <w:rFonts w:asciiTheme="minorHAnsi" w:eastAsia="SimSun" w:hAnsiTheme="minorHAnsi" w:cstheme="minorBidi"/>
      <w:sz w:val="22"/>
    </w:rPr>
  </w:style>
  <w:style w:type="paragraph" w:styleId="BalloonText">
    <w:name w:val="Balloon Text"/>
    <w:basedOn w:val="Normal"/>
    <w:link w:val="BalloonTextChar"/>
    <w:semiHidden/>
    <w:rPr>
      <w:rFonts w:ascii="Tahoma" w:hAnsi="Tahoma" w:cs="Angsana New"/>
      <w:sz w:val="16"/>
      <w:szCs w:val="18"/>
    </w:rPr>
  </w:style>
  <w:style w:type="paragraph" w:styleId="BodyText">
    <w:name w:val="Body Text"/>
    <w:basedOn w:val="Normal"/>
    <w:link w:val="BodyTextChar"/>
    <w:pPr>
      <w:jc w:val="center"/>
    </w:pPr>
    <w:rPr>
      <w:b/>
      <w:bCs/>
      <w:szCs w:val="24"/>
    </w:rPr>
  </w:style>
  <w:style w:type="paragraph" w:styleId="BodyText2">
    <w:name w:val="Body Text 2"/>
    <w:basedOn w:val="Normal"/>
    <w:link w:val="BodyText2Char"/>
    <w:rPr>
      <w:b/>
      <w:bCs/>
      <w:szCs w:val="24"/>
    </w:rPr>
  </w:style>
  <w:style w:type="paragraph" w:styleId="Caption">
    <w:name w:val="caption"/>
    <w:basedOn w:val="Normal"/>
    <w:next w:val="Normal"/>
    <w:unhideWhenUsed/>
    <w:rPr>
      <w:rFonts w:asciiTheme="majorHAnsi" w:eastAsia="SimHei" w:hAnsiTheme="majorHAnsi" w:cstheme="majorBidi"/>
      <w:szCs w:val="25"/>
    </w:rPr>
  </w:style>
  <w:style w:type="paragraph" w:styleId="Footer">
    <w:name w:val="footer"/>
    <w:basedOn w:val="Normal"/>
    <w:link w:val="FooterChar"/>
    <w:pPr>
      <w:tabs>
        <w:tab w:val="center" w:pos="4320"/>
        <w:tab w:val="right" w:pos="8640"/>
      </w:tabs>
    </w:pPr>
    <w:rPr>
      <w:szCs w:val="32"/>
    </w:rPr>
  </w:style>
  <w:style w:type="character" w:styleId="FootnoteReference">
    <w:name w:val="footnote reference"/>
    <w:basedOn w:val="DefaultParagraphFont"/>
    <w:rPr>
      <w:vertAlign w:val="superscript"/>
    </w:rPr>
  </w:style>
  <w:style w:type="paragraph" w:styleId="FootnoteText">
    <w:name w:val="footnote text"/>
    <w:basedOn w:val="Normal"/>
    <w:link w:val="FootnoteTextChar"/>
    <w:rPr>
      <w:sz w:val="20"/>
      <w:szCs w:val="25"/>
    </w:rPr>
  </w:style>
  <w:style w:type="paragraph" w:styleId="Header">
    <w:name w:val="header"/>
    <w:basedOn w:val="Normal"/>
    <w:link w:val="HeaderChar"/>
    <w:pPr>
      <w:tabs>
        <w:tab w:val="center" w:pos="4320"/>
        <w:tab w:val="right" w:pos="8640"/>
      </w:tabs>
    </w:pPr>
    <w:rPr>
      <w:szCs w:val="32"/>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pPr>
    <w:rPr>
      <w:rFonts w:eastAsia="Times New Roman" w:cs="Times New Roman"/>
      <w:szCs w:val="24"/>
    </w:rPr>
  </w:style>
  <w:style w:type="character" w:styleId="PageNumber">
    <w:name w:val="page number"/>
    <w:basedOn w:val="DefaultParagraphFont"/>
  </w:style>
  <w:style w:type="paragraph" w:styleId="PlainText">
    <w:name w:val="Plain Text"/>
    <w:basedOn w:val="Normal"/>
    <w:link w:val="PlainTextChar"/>
    <w:rPr>
      <w:rFonts w:asciiTheme="minorEastAsia" w:hAnsi="Courier New"/>
      <w:szCs w:val="35"/>
    </w:rPr>
  </w:style>
  <w:style w:type="character" w:styleId="Strong">
    <w:name w:val="Strong"/>
    <w:basedOn w:val="DefaultParagraphFont"/>
    <w:uiPriority w:val="22"/>
    <w:rPr>
      <w:rFonts w:cs="Times New Roman"/>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Authorities">
    <w:name w:val="table of authorities"/>
    <w:basedOn w:val="Normal"/>
    <w:next w:val="Normal"/>
    <w:pPr>
      <w:ind w:leftChars="200" w:left="420"/>
    </w:pPr>
    <w:rPr>
      <w:szCs w:val="35"/>
    </w:rPr>
  </w:style>
  <w:style w:type="paragraph" w:styleId="TableofFigures">
    <w:name w:val="table of figures"/>
    <w:basedOn w:val="Normal"/>
    <w:next w:val="Normal"/>
    <w:uiPriority w:val="99"/>
    <w:pPr>
      <w:spacing w:line="360" w:lineRule="auto"/>
    </w:pPr>
    <w:rPr>
      <w:rFonts w:eastAsia="Times New Roman"/>
      <w:szCs w:val="35"/>
    </w:rPr>
  </w:style>
  <w:style w:type="paragraph" w:styleId="Title">
    <w:name w:val="Title"/>
    <w:basedOn w:val="Normal"/>
    <w:next w:val="Normal"/>
    <w:link w:val="TitleChar"/>
    <w:pPr>
      <w:spacing w:before="240" w:after="60"/>
      <w:jc w:val="center"/>
      <w:outlineLvl w:val="0"/>
    </w:pPr>
    <w:rPr>
      <w:rFonts w:asciiTheme="majorHAnsi" w:eastAsiaTheme="majorEastAsia" w:hAnsiTheme="majorHAnsi" w:cstheme="majorBidi"/>
      <w:b/>
      <w:bCs/>
      <w:sz w:val="32"/>
      <w:szCs w:val="40"/>
    </w:rPr>
  </w:style>
  <w:style w:type="paragraph" w:styleId="TOC1">
    <w:name w:val="toc 1"/>
    <w:next w:val="Normal"/>
    <w:uiPriority w:val="39"/>
    <w:pPr>
      <w:tabs>
        <w:tab w:val="right" w:pos="8299"/>
      </w:tabs>
      <w:spacing w:line="360" w:lineRule="auto"/>
      <w:ind w:left="357" w:hanging="357"/>
    </w:pPr>
    <w:rPr>
      <w:rFonts w:ascii="Times New Roman" w:eastAsia="SimSun" w:hAnsi="Times New Roman" w:cs="Times New Roman"/>
      <w:b/>
      <w:bCs/>
      <w:color w:val="000000" w:themeColor="text1"/>
      <w:sz w:val="24"/>
      <w:szCs w:val="24"/>
      <w:lang w:bidi="th-TH"/>
    </w:rPr>
  </w:style>
  <w:style w:type="paragraph" w:styleId="TOC2">
    <w:name w:val="toc 2"/>
    <w:next w:val="Normal"/>
    <w:uiPriority w:val="39"/>
    <w:qFormat/>
    <w:pPr>
      <w:tabs>
        <w:tab w:val="left" w:pos="2126"/>
        <w:tab w:val="right" w:pos="8299"/>
      </w:tabs>
      <w:spacing w:line="360" w:lineRule="auto"/>
      <w:ind w:left="1559" w:hanging="425"/>
    </w:pPr>
    <w:rPr>
      <w:rFonts w:ascii="Times New Roman" w:eastAsia="Times New Roman" w:hAnsi="Times New Roman" w:cs="Times New Roman"/>
      <w:color w:val="000000" w:themeColor="text1"/>
      <w:sz w:val="24"/>
      <w:szCs w:val="24"/>
      <w:lang w:bidi="th-TH"/>
    </w:rPr>
  </w:style>
  <w:style w:type="paragraph" w:styleId="TOC3">
    <w:name w:val="toc 3"/>
    <w:next w:val="Normal"/>
    <w:uiPriority w:val="39"/>
    <w:qFormat/>
    <w:pPr>
      <w:tabs>
        <w:tab w:val="right" w:leader="dot" w:pos="3186"/>
        <w:tab w:val="right" w:pos="8299"/>
      </w:tabs>
      <w:spacing w:line="360" w:lineRule="auto"/>
      <w:ind w:left="2126" w:hanging="567"/>
    </w:pPr>
    <w:rPr>
      <w:rFonts w:ascii="Times New Roman" w:eastAsia="Times New Roman" w:hAnsi="Times New Roman" w:cs="Times New Roman"/>
      <w:iCs/>
      <w:color w:val="000000" w:themeColor="text1"/>
      <w:sz w:val="24"/>
      <w:szCs w:val="24"/>
      <w:lang w:bidi="th-TH"/>
    </w:rPr>
  </w:style>
  <w:style w:type="paragraph" w:styleId="TOC4">
    <w:name w:val="toc 4"/>
    <w:basedOn w:val="Normal"/>
    <w:next w:val="Normal"/>
    <w:uiPriority w:val="39"/>
    <w:unhideWhenUsed/>
    <w:pPr>
      <w:ind w:left="840"/>
    </w:pPr>
    <w:rPr>
      <w:rFonts w:asciiTheme="minorHAnsi" w:hAnsiTheme="minorHAnsi" w:cstheme="minorHAnsi"/>
      <w:sz w:val="18"/>
      <w:szCs w:val="18"/>
    </w:rPr>
  </w:style>
  <w:style w:type="paragraph" w:styleId="TOC5">
    <w:name w:val="toc 5"/>
    <w:basedOn w:val="Normal"/>
    <w:next w:val="Normal"/>
    <w:uiPriority w:val="39"/>
    <w:unhideWhenUsed/>
    <w:pPr>
      <w:tabs>
        <w:tab w:val="right" w:pos="8299"/>
      </w:tabs>
      <w:ind w:left="1123"/>
    </w:pPr>
    <w:rPr>
      <w:rFonts w:cs="Times New Roman"/>
      <w:b/>
      <w:bCs/>
      <w:szCs w:val="24"/>
    </w:rPr>
  </w:style>
  <w:style w:type="paragraph" w:styleId="TOC6">
    <w:name w:val="toc 6"/>
    <w:basedOn w:val="Normal"/>
    <w:next w:val="Normal"/>
    <w:uiPriority w:val="39"/>
    <w:unhideWhenUsed/>
    <w:pPr>
      <w:ind w:left="1400"/>
    </w:pPr>
    <w:rPr>
      <w:rFonts w:asciiTheme="minorHAnsi" w:hAnsiTheme="minorHAnsi" w:cstheme="minorHAnsi"/>
      <w:sz w:val="18"/>
      <w:szCs w:val="18"/>
    </w:rPr>
  </w:style>
  <w:style w:type="paragraph" w:styleId="TOC7">
    <w:name w:val="toc 7"/>
    <w:basedOn w:val="Normal"/>
    <w:next w:val="Normal"/>
    <w:uiPriority w:val="39"/>
    <w:unhideWhenUsed/>
    <w:pPr>
      <w:ind w:left="1680"/>
    </w:pPr>
    <w:rPr>
      <w:rFonts w:asciiTheme="minorHAnsi" w:hAnsiTheme="minorHAnsi" w:cstheme="minorHAnsi"/>
      <w:sz w:val="18"/>
      <w:szCs w:val="18"/>
    </w:rPr>
  </w:style>
  <w:style w:type="paragraph" w:styleId="TOC8">
    <w:name w:val="toc 8"/>
    <w:basedOn w:val="Normal"/>
    <w:next w:val="Normal"/>
    <w:uiPriority w:val="39"/>
    <w:unhideWhenUsed/>
    <w:pPr>
      <w:ind w:left="1960"/>
    </w:pPr>
    <w:rPr>
      <w:rFonts w:asciiTheme="minorHAnsi" w:hAnsiTheme="minorHAnsi" w:cstheme="minorHAnsi"/>
      <w:sz w:val="18"/>
      <w:szCs w:val="18"/>
    </w:rPr>
  </w:style>
  <w:style w:type="paragraph" w:styleId="TOC9">
    <w:name w:val="toc 9"/>
    <w:basedOn w:val="Normal"/>
    <w:next w:val="Normal"/>
    <w:uiPriority w:val="39"/>
    <w:unhideWhenUsed/>
    <w:pPr>
      <w:ind w:left="2240"/>
    </w:pPr>
    <w:rPr>
      <w:rFonts w:asciiTheme="minorHAnsi" w:hAnsiTheme="minorHAnsi" w:cstheme="minorHAnsi"/>
      <w:sz w:val="18"/>
      <w:szCs w:val="18"/>
    </w:rPr>
  </w:style>
  <w:style w:type="character" w:customStyle="1" w:styleId="BodyText2Char">
    <w:name w:val="Body Text 2 Char"/>
    <w:link w:val="BodyText2"/>
    <w:rPr>
      <w:rFonts w:ascii="Times New Roman" w:hAnsi="Times New Roman"/>
      <w:b/>
      <w:bCs/>
      <w:sz w:val="24"/>
      <w:szCs w:val="24"/>
    </w:rPr>
  </w:style>
  <w:style w:type="character" w:customStyle="1" w:styleId="Heading1Char">
    <w:name w:val="Heading 1 Char"/>
    <w:basedOn w:val="DefaultParagraphFont"/>
    <w:link w:val="Heading1"/>
    <w:rsid w:val="006856D0"/>
    <w:rPr>
      <w:rFonts w:ascii="Times New Roman" w:hAnsi="Times New Roman" w:cs="Times New Roman"/>
      <w:b/>
      <w:bCs/>
      <w:sz w:val="28"/>
      <w:szCs w:val="28"/>
      <w:lang w:bidi="th-TH"/>
    </w:rPr>
  </w:style>
  <w:style w:type="character" w:customStyle="1" w:styleId="Heading2Char">
    <w:name w:val="Heading 2 Char"/>
    <w:basedOn w:val="DefaultParagraphFont"/>
    <w:link w:val="Heading2"/>
    <w:qFormat/>
    <w:rsid w:val="006856D0"/>
    <w:rPr>
      <w:rFonts w:ascii="Times New Roman" w:eastAsia="SimSun" w:hAnsi="Times New Roman" w:cs="Times New Roman"/>
      <w:b/>
      <w:bCs/>
      <w:sz w:val="24"/>
      <w:szCs w:val="24"/>
      <w:lang w:bidi="th-TH"/>
    </w:rPr>
  </w:style>
  <w:style w:type="character" w:customStyle="1" w:styleId="Heading3Char">
    <w:name w:val="Heading 3 Char"/>
    <w:basedOn w:val="DefaultParagraphFont"/>
    <w:link w:val="Heading3"/>
    <w:rsid w:val="006856D0"/>
    <w:rPr>
      <w:rFonts w:ascii="Times New Roman" w:eastAsia="SimSun" w:hAnsi="Times New Roman" w:cs="Times New Roman"/>
      <w:b/>
      <w:bCs/>
      <w:i/>
      <w:iCs/>
      <w:sz w:val="24"/>
      <w:szCs w:val="24"/>
      <w:lang w:bidi="th-TH"/>
    </w:rPr>
  </w:style>
  <w:style w:type="character" w:customStyle="1" w:styleId="Heading4Char">
    <w:name w:val="Heading 4 Char"/>
    <w:basedOn w:val="DefaultParagraphFont"/>
    <w:link w:val="Heading4"/>
    <w:qFormat/>
    <w:rsid w:val="006856D0"/>
    <w:rPr>
      <w:rFonts w:ascii="Times New Roman" w:eastAsia="SimSun" w:hAnsi="Times New Roman" w:cs="Times New Roman"/>
      <w:b/>
      <w:bCs/>
      <w:i/>
      <w:iCs/>
      <w:sz w:val="24"/>
      <w:szCs w:val="24"/>
      <w:lang w:bidi="th-TH"/>
    </w:rPr>
  </w:style>
  <w:style w:type="paragraph" w:customStyle="1" w:styleId="Revision1">
    <w:name w:val="Revision1"/>
    <w:hidden/>
    <w:uiPriority w:val="99"/>
    <w:semiHidden/>
    <w:rPr>
      <w:sz w:val="28"/>
      <w:szCs w:val="35"/>
      <w:lang w:bidi="th-TH"/>
    </w:rPr>
  </w:style>
  <w:style w:type="paragraph" w:customStyle="1" w:styleId="TOCHeading1">
    <w:name w:val="TOC Heading1"/>
    <w:basedOn w:val="Heading1"/>
    <w:next w:val="Normal"/>
    <w:uiPriority w:val="39"/>
    <w:unhideWhenUsed/>
    <w:pPr>
      <w:spacing w:before="480" w:after="0" w:line="276" w:lineRule="auto"/>
      <w:outlineLvl w:val="9"/>
    </w:pPr>
    <w:rPr>
      <w:rFonts w:asciiTheme="majorHAnsi" w:eastAsiaTheme="majorEastAsia" w:hAnsiTheme="majorHAnsi" w:cstheme="majorBidi"/>
      <w:color w:val="2E74B5" w:themeColor="accent1" w:themeShade="BF"/>
      <w:lang w:eastAsia="zh-CN" w:bidi="ar-SA"/>
    </w:rPr>
  </w:style>
  <w:style w:type="character" w:customStyle="1" w:styleId="TitleChar">
    <w:name w:val="Title Char"/>
    <w:basedOn w:val="DefaultParagraphFont"/>
    <w:link w:val="Title"/>
    <w:qFormat/>
    <w:rPr>
      <w:rFonts w:asciiTheme="majorHAnsi" w:eastAsiaTheme="majorEastAsia" w:hAnsiTheme="majorHAnsi" w:cstheme="majorBidi"/>
      <w:b/>
      <w:bCs/>
      <w:sz w:val="32"/>
      <w:szCs w:val="40"/>
    </w:rPr>
  </w:style>
  <w:style w:type="character" w:customStyle="1" w:styleId="PlainTextChar">
    <w:name w:val="Plain Text Char"/>
    <w:basedOn w:val="DefaultParagraphFont"/>
    <w:link w:val="PlainText"/>
    <w:qFormat/>
    <w:rPr>
      <w:rFonts w:asciiTheme="minorEastAsia" w:hAnsi="Courier New"/>
      <w:sz w:val="28"/>
      <w:szCs w:val="35"/>
    </w:rPr>
  </w:style>
  <w:style w:type="character" w:customStyle="1" w:styleId="Heading5Char">
    <w:name w:val="Heading 5 Char"/>
    <w:basedOn w:val="DefaultParagraphFont"/>
    <w:link w:val="Heading5"/>
    <w:qFormat/>
    <w:rsid w:val="006856D0"/>
    <w:rPr>
      <w:rFonts w:ascii="Times New Roman" w:eastAsia="SimSun" w:hAnsi="Times New Roman" w:cs="Times New Roman"/>
      <w:b/>
      <w:bCs/>
      <w:i/>
      <w:iCs/>
      <w:sz w:val="24"/>
      <w:szCs w:val="24"/>
      <w:lang w:bidi="th-TH"/>
    </w:rPr>
  </w:style>
  <w:style w:type="character" w:customStyle="1" w:styleId="BodyTextChar">
    <w:name w:val="Body Text Char"/>
    <w:basedOn w:val="DefaultParagraphFont"/>
    <w:link w:val="BodyText"/>
    <w:rPr>
      <w:rFonts w:ascii="Times New Roman" w:hAnsi="Times New Roman"/>
      <w:b/>
      <w:bCs/>
      <w:sz w:val="24"/>
      <w:szCs w:val="24"/>
    </w:rPr>
  </w:style>
  <w:style w:type="paragraph" w:customStyle="1" w:styleId="33">
    <w:name w:val="33"/>
    <w:link w:val="330"/>
    <w:pPr>
      <w:spacing w:after="200"/>
      <w:ind w:leftChars="200" w:left="200"/>
    </w:pPr>
    <w:rPr>
      <w:rFonts w:ascii="Times New Roman" w:hAnsi="Times New Roman" w:cs="Times New Roman"/>
      <w:b/>
      <w:bCs/>
      <w:sz w:val="28"/>
      <w:szCs w:val="28"/>
      <w:lang w:bidi="th-TH"/>
    </w:rPr>
  </w:style>
  <w:style w:type="character" w:customStyle="1" w:styleId="330">
    <w:name w:val="33 字符"/>
    <w:basedOn w:val="Heading1Char"/>
    <w:link w:val="33"/>
    <w:rPr>
      <w:rFonts w:ascii="Times New Roman" w:hAnsi="Times New Roman" w:cs="Times New Roman"/>
      <w:b/>
      <w:bCs/>
      <w:sz w:val="28"/>
      <w:szCs w:val="28"/>
      <w:lang w:bidi="th-TH"/>
    </w:rPr>
  </w:style>
  <w:style w:type="character" w:customStyle="1" w:styleId="fontstyle01">
    <w:name w:val="fontstyle01"/>
    <w:basedOn w:val="DefaultParagraphFont"/>
    <w:rPr>
      <w:rFonts w:ascii="Times New Roman" w:hAnsi="Times New Roman" w:cs="Times New Roman" w:hint="default"/>
      <w:b/>
      <w:bCs/>
      <w:color w:val="000000"/>
      <w:sz w:val="20"/>
      <w:szCs w:val="20"/>
    </w:rPr>
  </w:style>
  <w:style w:type="character" w:customStyle="1" w:styleId="fontstyle21">
    <w:name w:val="fontstyle21"/>
    <w:basedOn w:val="DefaultParagraphFont"/>
    <w:rPr>
      <w:rFonts w:ascii="Times New Roman" w:hAnsi="Times New Roman" w:cs="Times New Roman" w:hint="default"/>
      <w:b/>
      <w:bCs/>
      <w:i/>
      <w:iCs/>
      <w:color w:val="000000"/>
      <w:sz w:val="20"/>
      <w:szCs w:val="20"/>
    </w:rPr>
  </w:style>
  <w:style w:type="character" w:customStyle="1" w:styleId="fontstyle11">
    <w:name w:val="fontstyle11"/>
    <w:basedOn w:val="DefaultParagraphFont"/>
    <w:rPr>
      <w:rFonts w:ascii="Times New Roman" w:hAnsi="Times New Roman" w:cs="Times New Roman" w:hint="default"/>
      <w:i/>
      <w:iCs/>
      <w:color w:val="000000"/>
      <w:sz w:val="22"/>
      <w:szCs w:val="22"/>
    </w:rPr>
  </w:style>
  <w:style w:type="character" w:customStyle="1" w:styleId="FootnoteTextChar">
    <w:name w:val="Footnote Text Char"/>
    <w:basedOn w:val="DefaultParagraphFont"/>
    <w:link w:val="FootnoteText"/>
    <w:rPr>
      <w:szCs w:val="25"/>
    </w:rPr>
  </w:style>
  <w:style w:type="paragraph" w:styleId="Revision">
    <w:name w:val="Revision"/>
    <w:hidden/>
    <w:uiPriority w:val="99"/>
    <w:unhideWhenUsed/>
    <w:rsid w:val="00AE3603"/>
    <w:rPr>
      <w:sz w:val="28"/>
      <w:szCs w:val="35"/>
      <w:lang w:bidi="th-TH"/>
    </w:rPr>
  </w:style>
  <w:style w:type="character" w:styleId="PlaceholderText">
    <w:name w:val="Placeholder Text"/>
    <w:basedOn w:val="DefaultParagraphFont"/>
    <w:uiPriority w:val="99"/>
    <w:unhideWhenUsed/>
    <w:rsid w:val="00CA125D"/>
    <w:rPr>
      <w:color w:val="666666"/>
    </w:rPr>
  </w:style>
  <w:style w:type="paragraph" w:customStyle="1" w:styleId="Content">
    <w:name w:val="Content"/>
    <w:basedOn w:val="Normal"/>
    <w:link w:val="ContentChar"/>
    <w:qFormat/>
    <w:rsid w:val="00842290"/>
    <w:pPr>
      <w:spacing w:line="360" w:lineRule="auto"/>
      <w:jc w:val="both"/>
    </w:pPr>
    <w:rPr>
      <w:rFonts w:cs="Times New Roman"/>
      <w:szCs w:val="24"/>
    </w:rPr>
  </w:style>
  <w:style w:type="character" w:customStyle="1" w:styleId="ContentChar">
    <w:name w:val="Content Char"/>
    <w:basedOn w:val="DefaultParagraphFont"/>
    <w:link w:val="Content"/>
    <w:rsid w:val="00842290"/>
    <w:rPr>
      <w:rFonts w:ascii="Times New Roman" w:hAnsi="Times New Roman" w:cs="Times New Roman"/>
      <w:sz w:val="24"/>
      <w:szCs w:val="24"/>
      <w:lang w:bidi="th-TH"/>
    </w:rPr>
  </w:style>
  <w:style w:type="paragraph" w:customStyle="1" w:styleId="TableTitle">
    <w:name w:val="Table Title"/>
    <w:next w:val="Content"/>
    <w:qFormat/>
    <w:rsid w:val="006856D0"/>
    <w:pPr>
      <w:keepNext/>
      <w:spacing w:line="480" w:lineRule="auto"/>
      <w:jc w:val="center"/>
    </w:pPr>
    <w:rPr>
      <w:rFonts w:ascii="Times New Roman" w:hAnsi="Times New Roman" w:cs="Times New Roman"/>
      <w:b/>
      <w:bCs/>
      <w:sz w:val="24"/>
      <w:szCs w:val="24"/>
      <w:lang w:bidi="th-TH"/>
    </w:rPr>
  </w:style>
  <w:style w:type="paragraph" w:customStyle="1" w:styleId="FigureTitle">
    <w:name w:val="Figure Title"/>
    <w:next w:val="Content"/>
    <w:qFormat/>
    <w:rsid w:val="006856D0"/>
    <w:pPr>
      <w:keepNext/>
      <w:jc w:val="center"/>
    </w:pPr>
    <w:rPr>
      <w:rFonts w:ascii="Times New Roman" w:hAnsi="Times New Roman" w:cs="Times New Roman"/>
      <w:b/>
      <w:bCs/>
      <w:sz w:val="24"/>
      <w:szCs w:val="28"/>
      <w:lang w:bidi="th-TH"/>
    </w:rPr>
  </w:style>
  <w:style w:type="character" w:customStyle="1" w:styleId="BalloonTextChar">
    <w:name w:val="Balloon Text Char"/>
    <w:basedOn w:val="DefaultParagraphFont"/>
    <w:link w:val="BalloonText"/>
    <w:semiHidden/>
    <w:rsid w:val="00E16441"/>
    <w:rPr>
      <w:rFonts w:ascii="Tahoma" w:hAnsi="Tahoma" w:cs="Angsana New"/>
      <w:sz w:val="16"/>
      <w:szCs w:val="18"/>
      <w:lang w:bidi="th-TH"/>
    </w:rPr>
  </w:style>
  <w:style w:type="character" w:customStyle="1" w:styleId="FooterChar">
    <w:name w:val="Footer Char"/>
    <w:basedOn w:val="DefaultParagraphFont"/>
    <w:link w:val="Footer"/>
    <w:rsid w:val="00E16441"/>
    <w:rPr>
      <w:sz w:val="28"/>
      <w:szCs w:val="32"/>
      <w:lang w:bidi="th-TH"/>
    </w:rPr>
  </w:style>
  <w:style w:type="character" w:customStyle="1" w:styleId="HeaderChar">
    <w:name w:val="Header Char"/>
    <w:basedOn w:val="DefaultParagraphFont"/>
    <w:link w:val="Header"/>
    <w:rsid w:val="00E16441"/>
    <w:rPr>
      <w:sz w:val="28"/>
      <w:szCs w:val="32"/>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2189485">
      <w:bodyDiv w:val="1"/>
      <w:marLeft w:val="0"/>
      <w:marRight w:val="0"/>
      <w:marTop w:val="0"/>
      <w:marBottom w:val="0"/>
      <w:divBdr>
        <w:top w:val="none" w:sz="0" w:space="0" w:color="auto"/>
        <w:left w:val="none" w:sz="0" w:space="0" w:color="auto"/>
        <w:bottom w:val="none" w:sz="0" w:space="0" w:color="auto"/>
        <w:right w:val="none" w:sz="0" w:space="0" w:color="auto"/>
      </w:divBdr>
    </w:div>
    <w:div w:id="846946160">
      <w:bodyDiv w:val="1"/>
      <w:marLeft w:val="0"/>
      <w:marRight w:val="0"/>
      <w:marTop w:val="0"/>
      <w:marBottom w:val="0"/>
      <w:divBdr>
        <w:top w:val="none" w:sz="0" w:space="0" w:color="auto"/>
        <w:left w:val="none" w:sz="0" w:space="0" w:color="auto"/>
        <w:bottom w:val="none" w:sz="0" w:space="0" w:color="auto"/>
        <w:right w:val="none" w:sz="0" w:space="0" w:color="auto"/>
      </w:divBdr>
    </w:div>
    <w:div w:id="12037124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Downloads\Master%20Thesis%20Format%2021st%20Nov%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C5E6F57-C831-4A85-8ECD-3E04BA5C318E}">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608552F16AE09043985F6B03B54701DB" ma:contentTypeVersion="6" ma:contentTypeDescription="Create a new document." ma:contentTypeScope="" ma:versionID="0a6556424604558a08e301c5c08b2c1c">
  <xsd:schema xmlns:xsd="http://www.w3.org/2001/XMLSchema" xmlns:xs="http://www.w3.org/2001/XMLSchema" xmlns:p="http://schemas.microsoft.com/office/2006/metadata/properties" xmlns:ns3="635c204c-dc2e-4f97-a4d1-8b2836b3df1b" targetNamespace="http://schemas.microsoft.com/office/2006/metadata/properties" ma:root="true" ma:fieldsID="b15f98e54e5806dc5f8c495426015445" ns3:_="">
    <xsd:import namespace="635c204c-dc2e-4f97-a4d1-8b2836b3df1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5c204c-dc2e-4f97-a4d1-8b2836b3df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635c204c-dc2e-4f97-a4d1-8b2836b3df1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6DBCA10-1DB6-4F3C-AD2B-DE86D8790E94}">
  <ds:schemaRefs>
    <ds:schemaRef ds:uri="http://schemas.openxmlformats.org/officeDocument/2006/bibliography"/>
  </ds:schemaRefs>
</ds:datastoreItem>
</file>

<file path=customXml/itemProps2.xml><?xml version="1.0" encoding="utf-8"?>
<ds:datastoreItem xmlns:ds="http://schemas.openxmlformats.org/officeDocument/2006/customXml" ds:itemID="{368C84A7-6D2C-4921-8DAB-A03D30FBD6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5c204c-dc2e-4f97-a4d1-8b2836b3df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754F7B-0580-4006-B632-CBB17E8DB528}">
  <ds:schemaRefs>
    <ds:schemaRef ds:uri="http://schemas.microsoft.com/office/2006/metadata/properties"/>
    <ds:schemaRef ds:uri="http://schemas.microsoft.com/office/infopath/2007/PartnerControls"/>
    <ds:schemaRef ds:uri="635c204c-dc2e-4f97-a4d1-8b2836b3df1b"/>
  </ds:schemaRefs>
</ds:datastoreItem>
</file>

<file path=customXml/itemProps4.xml><?xml version="1.0" encoding="utf-8"?>
<ds:datastoreItem xmlns:ds="http://schemas.openxmlformats.org/officeDocument/2006/customXml" ds:itemID="{4F8D12AB-6260-45D5-8081-DC95E52588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Master Thesis Format 21st Nov 2025.dotx</Template>
  <TotalTime>4</TotalTime>
  <Pages>60</Pages>
  <Words>14611</Words>
  <Characters>83283</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Go to File &gt; Info to edit the document title</vt:lpstr>
    </vt:vector>
  </TitlesOfParts>
  <Company/>
  <LinksUpToDate>false</LinksUpToDate>
  <CharactersWithSpaces>97699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Storage Trends and Climate Attribution Across River Basins in Thailand</dc:title>
  <dc:subject>Extended CSR-based Thailand storage and attribution-credibility study</dc:subject>
  <dc:creator>Farzeen Khan</dc:creator>
  <dc:description>Research draft for advisor review; no committee or approval signatures invented.</dc:description>
  <cp:lastModifiedBy>Pratik Khanal</cp:lastModifiedBy>
  <cp:revision>3</cp:revision>
  <cp:lastPrinted>2012-05-02T21:57:00Z</cp:lastPrinted>
  <dcterms:created xsi:type="dcterms:W3CDTF">2026-01-14T08:13:00Z</dcterms:created>
  <dcterms:modified xsi:type="dcterms:W3CDTF">2026-10-25T06:59:00Z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1033-12.2.0.13306</vt:lpwstr>
  </property>
  <property fmtid="{D5CDD505-2E9C-101B-9397-08002B2CF9AE}" pid="3" name="ICV">
    <vt:lpwstr>0E0C981B13C941CBBE28BB52B092BABE_12</vt:lpwstr>
  </property>
  <property fmtid="{D5CDD505-2E9C-101B-9397-08002B2CF9AE}" pid="4" name="ContentTypeId">
    <vt:lpwstr>0x010100608552F16AE09043985F6B03B54701DB</vt:lpwstr>
  </property>
</Properties>
</file>