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Lung Segmentation Session 9 Report</w:t>
      </w:r>
    </w:p>
    <w:p>
      <w:pPr>
        <w:jc w:val="left"/>
      </w:pPr>
      <w:r>
        <w:t>Preliminary internal evaluation of a U-Net model for lung-field segmentation in chest X-rays.</w:t>
      </w:r>
    </w:p>
    <w:p>
      <w:pPr>
        <w:pStyle w:val="Heading1"/>
      </w:pPr>
      <w:r>
        <w:t>Project status</w:t>
      </w:r>
    </w:p>
    <w:p>
      <w:r>
        <w:t>This phase packages the current training checkpoint, evaluation artifacts, and code for a private research repository. It does not include a revised data split or retraining. The work is an educational/research prototype and is not clinically validated.</w:t>
      </w:r>
    </w:p>
    <w:p>
      <w:pPr>
        <w:pStyle w:val="Heading1"/>
      </w:pPr>
      <w:r>
        <w:t>Dataset quality and empty masks</w:t>
      </w:r>
    </w:p>
    <w:p>
      <w:r>
        <w:t>The Darwin subset contains 6,106 image-mask pairs. Inspection identified 81 empty masks using the current foreground rule (mask pixel value &gt;127); these samples are absent from the recorded split. The fixed split contains 6,025 unique pairs: 4,820 training, 602 validation, and 603 test. A direct check found no overlap among partitions, no split filenames missing from the paired dataset, and none of the 81 empty-mask samples in any partition. The reasons for empty masks have not been fully investigated; their exclusion criterion and implications remain part of the data-quality audit.</w:t>
      </w:r>
    </w:p>
    <w:p>
      <w:pPr>
        <w:pStyle w:val="Heading1"/>
      </w:pPr>
      <w:r>
        <w:t>Evaluation results</w:t>
      </w:r>
    </w:p>
    <w:p>
      <w:r>
        <w:t>The selected checkpoint was evaluated on the fixed held-out test list using a 0.5 probability threshold. Results are preliminary and internal to the current dataset and workflow.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Metric</w:t>
            </w:r>
          </w:p>
        </w:tc>
        <w:tc>
          <w:tcPr>
            <w:tcW w:type="dxa" w:w="1987"/>
          </w:tcPr>
          <w:p>
            <w:r>
              <w:t>Mean</w:t>
            </w:r>
          </w:p>
        </w:tc>
        <w:tc>
          <w:tcPr>
            <w:tcW w:type="dxa" w:w="1987"/>
          </w:tcPr>
          <w:p>
            <w:r>
              <w:t>Median</w:t>
            </w:r>
          </w:p>
        </w:tc>
        <w:tc>
          <w:tcPr>
            <w:tcW w:type="dxa" w:w="1987"/>
          </w:tcPr>
          <w:p>
            <w:r>
              <w:t>SD</w:t>
            </w:r>
          </w:p>
        </w:tc>
        <w:tc>
          <w:tcPr>
            <w:tcW w:type="dxa" w:w="1987"/>
          </w:tcPr>
          <w:p>
            <w:r>
              <w:t>N</w:t>
            </w:r>
          </w:p>
        </w:tc>
      </w:tr>
      <w:tr>
        <w:tc>
          <w:tcPr>
            <w:tcW w:type="dxa" w:w="1987"/>
          </w:tcPr>
          <w:p>
            <w:r>
              <w:t>Dice</w:t>
            </w:r>
          </w:p>
        </w:tc>
        <w:tc>
          <w:tcPr>
            <w:tcW w:type="dxa" w:w="1987"/>
          </w:tcPr>
          <w:p>
            <w:r>
              <w:t>0.9470 (94.70%)</w:t>
            </w:r>
          </w:p>
        </w:tc>
        <w:tc>
          <w:tcPr>
            <w:tcW w:type="dxa" w:w="1987"/>
          </w:tcPr>
          <w:p>
            <w:r>
              <w:t>0.9562</w:t>
            </w:r>
          </w:p>
        </w:tc>
        <w:tc>
          <w:tcPr>
            <w:tcW w:type="dxa" w:w="1987"/>
          </w:tcPr>
          <w:p>
            <w:r>
              <w:t>0.0318</w:t>
            </w:r>
          </w:p>
        </w:tc>
        <w:tc>
          <w:tcPr>
            <w:tcW w:type="dxa" w:w="1987"/>
          </w:tcPr>
          <w:p>
            <w:r>
              <w:t>603</w:t>
            </w:r>
          </w:p>
        </w:tc>
      </w:tr>
      <w:tr>
        <w:tc>
          <w:tcPr>
            <w:tcW w:type="dxa" w:w="1987"/>
          </w:tcPr>
          <w:p>
            <w:r>
              <w:t>IoU</w:t>
            </w:r>
          </w:p>
        </w:tc>
        <w:tc>
          <w:tcPr>
            <w:tcW w:type="dxa" w:w="1987"/>
          </w:tcPr>
          <w:p>
            <w:r>
              <w:t>0.9010 (90.10%)</w:t>
            </w:r>
          </w:p>
        </w:tc>
        <w:tc>
          <w:tcPr>
            <w:tcW w:type="dxa" w:w="1987"/>
          </w:tcPr>
          <w:p>
            <w:r>
              <w:t>0.9161</w:t>
            </w:r>
          </w:p>
        </w:tc>
        <w:tc>
          <w:tcPr>
            <w:tcW w:type="dxa" w:w="1987"/>
          </w:tcPr>
          <w:p>
            <w:r>
              <w:t>0.0543</w:t>
            </w:r>
          </w:p>
        </w:tc>
        <w:tc>
          <w:tcPr>
            <w:tcW w:type="dxa" w:w="1987"/>
          </w:tcPr>
          <w:p>
            <w:r>
              <w:t>603</w:t>
            </w:r>
          </w:p>
        </w:tc>
      </w:tr>
    </w:tbl>
    <w:p>
      <w:r>
        <w:t>The summary reports zero empty ground-truth masks. Per-image results and the worst ten cases are included in Results/. The worst cases show substantial false-positive and false-negative regions. No confidence intervals have been calculated.</w:t>
      </w:r>
    </w:p>
    <w:p>
      <w:pPr>
        <w:pStyle w:val="Heading1"/>
      </w:pPr>
      <w:r>
        <w:t>Method summary</w:t>
      </w:r>
    </w:p>
    <w:p>
      <w:r>
        <w:t>The pipeline uses grayscale 512×512 images normalized to [0,1], binary masks resized with nearest-neighbor interpolation, and a 2D encoder-decoder U-Net with skip connections and sigmoid output. Training scripts use binary cross-entropy plus soft Dice loss, Adam at an initial learning rate of 1e-4, and batch size 2 for the Session 9 runs. The fixed split contains 4,820 training, 602 validation, and 603 test images.</w:t>
      </w:r>
    </w:p>
    <w:p>
      <w:pPr>
        <w:pStyle w:val="Heading1"/>
      </w:pPr>
      <w:r>
        <w:t>Interpretation and limitations</w:t>
      </w:r>
    </w:p>
    <w:p>
      <w:pPr>
        <w:pStyle w:val="ListBullet"/>
      </w:pPr>
      <w:r>
        <w:t>This is an internal evaluation; independent external-dataset testing has not been documented.</w:t>
      </w:r>
    </w:p>
    <w:p>
      <w:pPr>
        <w:pStyle w:val="ListBullet"/>
      </w:pPr>
      <w:r>
        <w:t>Patient-level grouping, duplicate detection, and leakage across partitions have not yet been audited.</w:t>
      </w:r>
    </w:p>
    <w:p>
      <w:pPr>
        <w:pStyle w:val="ListBullet"/>
      </w:pPr>
      <w:r>
        <w:t>A random image-level partition may put related images from one patient or source in multiple subsets.</w:t>
      </w:r>
    </w:p>
    <w:p>
      <w:pPr>
        <w:pStyle w:val="ListBullet"/>
      </w:pPr>
      <w:r>
        <w:t>The reported metrics do not demonstrate clinical utility, diagnostic accuracy, or safe use in care.</w:t>
      </w:r>
    </w:p>
    <w:p>
      <w:pPr>
        <w:pStyle w:val="ListBullet"/>
      </w:pPr>
      <w:r>
        <w:t>Source dataset provenance, label provenance, and redistribution permissions need to be documented before any public release.</w:t>
      </w:r>
    </w:p>
    <w:p>
      <w:pPr>
        <w:pStyle w:val="Heading1"/>
      </w:pPr>
      <w:r>
        <w:t>Next research steps</w:t>
      </w:r>
    </w:p>
    <w:p>
      <w:pPr>
        <w:pStyle w:val="ListNumber"/>
      </w:pPr>
      <w:r>
        <w:t>Audit dataset sources, licenses, duplicates, patient/study identifiers, and split leakage.</w:t>
      </w:r>
    </w:p>
    <w:p>
      <w:pPr>
        <w:pStyle w:val="ListNumber"/>
      </w:pPr>
      <w:r>
        <w:t>Freeze the evaluation protocol and document exact preprocessing, metric aggregation, threshold selection, checkpoint selection, and software versions.</w:t>
      </w:r>
    </w:p>
    <w:p>
      <w:pPr>
        <w:pStyle w:val="ListNumber"/>
      </w:pPr>
      <w:r>
        <w:t>Compute confidence intervals and subgroup/error analyses using appropriate independent units.</w:t>
      </w:r>
    </w:p>
    <w:p>
      <w:pPr>
        <w:pStyle w:val="ListNumber"/>
      </w:pPr>
      <w:r>
        <w:t>Test the frozen model on an independently sourced, appropriately licensed dataset.</w:t>
      </w:r>
    </w:p>
    <w:p>
      <w:pPr>
        <w:pStyle w:val="ListNumber"/>
      </w:pPr>
      <w:r>
        <w:t>Compare against suitable baselines, evaluate robustness, conduct a literature review, and define a specific defensible research question before making paper claims.</w:t>
      </w:r>
    </w:p>
    <w:p>
      <w:pPr>
        <w:pStyle w:val="Heading1"/>
      </w:pPr>
      <w:r>
        <w:t>Reproducibility notes</w:t>
      </w:r>
    </w:p>
    <w:p>
      <w:r>
        <w:t>The current scripts contain machine-specific absolute paths and expect the source images and masks in Darwin/img and Darwin/mask. Dataset files are intentionally excluded from this repository package. The split manifest contains image filenames; review it for privacy and redistribution concerns before adding it to a public repository. The model weights are included for this private repository draft; verify GitHub file-size handling and access controls before upload.</w:t>
      </w:r>
    </w:p>
    <w:p>
      <w:r>
        <w:t>Use restriction: research and education only. Not for diagnosis, treatment, triage, or clinical decisions.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