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F3E52" w14:textId="04219A16" w:rsidR="00C16B53" w:rsidRPr="00FF46D2" w:rsidRDefault="00C82097" w:rsidP="00A30226">
      <w:pPr>
        <w:spacing w:after="100" w:afterAutospacing="1"/>
        <w:jc w:val="center"/>
        <w:rPr>
          <w:b/>
        </w:rPr>
      </w:pPr>
      <w:r>
        <w:rPr>
          <w:b/>
        </w:rPr>
        <w:t xml:space="preserve">Report on </w:t>
      </w:r>
      <w:proofErr w:type="spellStart"/>
      <w:r>
        <w:rPr>
          <w:b/>
        </w:rPr>
        <w:t>kickstarter</w:t>
      </w:r>
      <w:proofErr w:type="spellEnd"/>
      <w:r>
        <w:rPr>
          <w:b/>
        </w:rPr>
        <w:t xml:space="preserve"> project</w:t>
      </w:r>
    </w:p>
    <w:p w14:paraId="1CB6A117" w14:textId="44420190" w:rsidR="00C16B53" w:rsidRDefault="008E7FBF" w:rsidP="008E7FBF">
      <w:pPr>
        <w:spacing w:after="100" w:afterAutospacing="1"/>
      </w:pPr>
      <w:r>
        <w:t>1)</w:t>
      </w:r>
      <w:r w:rsidR="00C16B53">
        <w:t>What are three conclusions we can make about Kickstarter campaigns given the provided data?</w:t>
      </w:r>
    </w:p>
    <w:p w14:paraId="70223183" w14:textId="57382D91" w:rsidR="00D7274A" w:rsidRDefault="00C16B53" w:rsidP="00A30226">
      <w:pPr>
        <w:pStyle w:val="ListParagraph"/>
        <w:numPr>
          <w:ilvl w:val="0"/>
          <w:numId w:val="1"/>
        </w:numPr>
        <w:spacing w:after="100" w:afterAutospacing="1"/>
        <w:ind w:left="360"/>
      </w:pPr>
      <w:r>
        <w:t xml:space="preserve">Kickstarter projects are more likely to be </w:t>
      </w:r>
      <w:r w:rsidR="000A2A05">
        <w:t>successful (</w:t>
      </w:r>
      <w:r w:rsidR="00BD57D6">
        <w:t>53.11</w:t>
      </w:r>
      <w:proofErr w:type="gramStart"/>
      <w:r w:rsidR="00BD57D6">
        <w:t xml:space="preserve">%) </w:t>
      </w:r>
      <w:r>
        <w:t xml:space="preserve"> </w:t>
      </w:r>
      <w:r w:rsidR="00D7274A">
        <w:t>than</w:t>
      </w:r>
      <w:proofErr w:type="gramEnd"/>
      <w:r w:rsidR="00D7274A">
        <w:t xml:space="preserve"> to fail (37.6%) or get cancelled (8.6%). From the below graph, we see that </w:t>
      </w:r>
      <w:proofErr w:type="spellStart"/>
      <w:r w:rsidR="00D7274A">
        <w:t>Kickstarters</w:t>
      </w:r>
      <w:proofErr w:type="spellEnd"/>
      <w:r w:rsidR="00D7274A">
        <w:t xml:space="preserve"> in music (77%), theatre (60%), film and video (58%), have the highest success rates and food (17%), games (36%), technology(35%) and publishing(34%) have the lowest success rates. Technology projects get canceled about a third of the time, when we look at the projects that reached completion only fifty percent are successful. Also, the projects in journalism get </w:t>
      </w:r>
      <w:proofErr w:type="spellStart"/>
      <w:r w:rsidR="00D7274A">
        <w:t>canceld</w:t>
      </w:r>
      <w:proofErr w:type="spellEnd"/>
      <w:r w:rsidR="00D7274A">
        <w:t xml:space="preserve"> all the time.</w:t>
      </w:r>
    </w:p>
    <w:p w14:paraId="463A495C" w14:textId="6AD253E4" w:rsidR="00BD57D6" w:rsidRDefault="00BD57D6" w:rsidP="00A30226">
      <w:pPr>
        <w:pStyle w:val="ListParagraph"/>
        <w:spacing w:after="100" w:afterAutospacing="1"/>
        <w:ind w:left="360"/>
      </w:pPr>
      <w:r>
        <w:rPr>
          <w:noProof/>
        </w:rPr>
        <w:drawing>
          <wp:inline distT="0" distB="0" distL="0" distR="0" wp14:anchorId="71DCD2C8" wp14:editId="5CAB8F9D">
            <wp:extent cx="5943600" cy="3651885"/>
            <wp:effectExtent l="0" t="0" r="0" b="5715"/>
            <wp:docPr id="4" name="Chart 4">
              <a:extLst xmlns:a="http://schemas.openxmlformats.org/drawingml/2006/main">
                <a:ext uri="{FF2B5EF4-FFF2-40B4-BE49-F238E27FC236}">
                  <a16:creationId xmlns:a16="http://schemas.microsoft.com/office/drawing/2014/main" id="{F38E8B9E-FD8B-4808-B335-553789ABF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92FF10" w14:textId="794D009E" w:rsidR="00C82097" w:rsidRDefault="00C82097" w:rsidP="00A30226">
      <w:pPr>
        <w:pStyle w:val="ListParagraph"/>
        <w:spacing w:after="100" w:afterAutospacing="1"/>
        <w:ind w:left="360"/>
        <w:rPr>
          <w:noProof/>
        </w:rPr>
      </w:pPr>
    </w:p>
    <w:p w14:paraId="1A1DA177" w14:textId="77777777" w:rsidR="00C82097" w:rsidRDefault="00C82097" w:rsidP="00A30226">
      <w:pPr>
        <w:pStyle w:val="ListParagraph"/>
        <w:spacing w:after="100" w:afterAutospacing="1"/>
        <w:ind w:left="360"/>
      </w:pPr>
    </w:p>
    <w:p w14:paraId="21037142" w14:textId="4A1453C7" w:rsidR="00BD57D6" w:rsidRDefault="004B252B" w:rsidP="00A30226">
      <w:pPr>
        <w:pStyle w:val="ListParagraph"/>
        <w:numPr>
          <w:ilvl w:val="0"/>
          <w:numId w:val="1"/>
        </w:numPr>
        <w:spacing w:after="100" w:afterAutospacing="1"/>
        <w:ind w:left="360"/>
      </w:pPr>
      <w:r>
        <w:t>From the image below</w:t>
      </w:r>
      <w:r w:rsidR="00C16B53">
        <w:t xml:space="preserve"> we can see which subcategories are the most successful. When we look at the subcategory</w:t>
      </w:r>
      <w:r w:rsidR="00D7274A">
        <w:t xml:space="preserve"> </w:t>
      </w:r>
      <w:r w:rsidR="00C16B53">
        <w:t xml:space="preserve">that were completed </w:t>
      </w:r>
      <w:r w:rsidR="00D7274A">
        <w:t>(</w:t>
      </w:r>
      <w:r w:rsidR="00C16B53">
        <w:t xml:space="preserve"> successful or unsuccessful</w:t>
      </w:r>
      <w:r w:rsidR="00D7274A">
        <w:t>)</w:t>
      </w:r>
      <w:r w:rsidR="00C16B53">
        <w:t xml:space="preserve">, we have subcategories with a hundred percent success rate: classical music, documentary, electronic music, hardware, metal, non-fiction, pop, radio and podcasts, rock, shorts, small batch, table top games, and television. We also have subcategories that were a hundred percent unsuccessful: animation, children’s books, drama, faith, fiction, food trucks, gadgets, jazz, mobile games, nature, people, </w:t>
      </w:r>
      <w:proofErr w:type="spellStart"/>
      <w:r w:rsidR="00C16B53">
        <w:t>places</w:t>
      </w:r>
      <w:r w:rsidR="00A30226">
        <w:t>,</w:t>
      </w:r>
      <w:r w:rsidR="00C16B53">
        <w:t>restaurants</w:t>
      </w:r>
      <w:proofErr w:type="spellEnd"/>
      <w:r w:rsidR="00C16B53">
        <w:t xml:space="preserve">, translations, videogames and </w:t>
      </w:r>
      <w:proofErr w:type="spellStart"/>
      <w:r w:rsidR="00C16B53">
        <w:t>web</w:t>
      </w:r>
      <w:r w:rsidR="00A30226">
        <w:t>.We</w:t>
      </w:r>
      <w:proofErr w:type="spellEnd"/>
      <w:r w:rsidR="00A30226">
        <w:t xml:space="preserve"> can also see that the sub category plays is most prominent. </w:t>
      </w:r>
    </w:p>
    <w:p w14:paraId="08DED190" w14:textId="41A83B52" w:rsidR="008E7FBF" w:rsidRDefault="008E7FBF" w:rsidP="008E7FBF">
      <w:pPr>
        <w:spacing w:after="100" w:afterAutospacing="1"/>
      </w:pPr>
      <w:r>
        <w:rPr>
          <w:noProof/>
        </w:rPr>
        <w:lastRenderedPageBreak/>
        <w:drawing>
          <wp:inline distT="0" distB="0" distL="0" distR="0" wp14:anchorId="6DF8940D" wp14:editId="745499B3">
            <wp:extent cx="6081713" cy="3643311"/>
            <wp:effectExtent l="0" t="0" r="14605" b="14605"/>
            <wp:docPr id="6" name="Chart 6">
              <a:extLst xmlns:a="http://schemas.openxmlformats.org/drawingml/2006/main">
                <a:ext uri="{FF2B5EF4-FFF2-40B4-BE49-F238E27FC236}">
                  <a16:creationId xmlns:a16="http://schemas.microsoft.com/office/drawing/2014/main" id="{017D70B1-3C48-45DE-B033-B995E24F73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B4AA13" w14:textId="77777777" w:rsidR="00C16B53" w:rsidRDefault="00C16B53" w:rsidP="00A30226">
      <w:pPr>
        <w:pStyle w:val="ListParagraph"/>
        <w:spacing w:after="100" w:afterAutospacing="1"/>
        <w:ind w:left="360"/>
      </w:pPr>
    </w:p>
    <w:p w14:paraId="59EB4D53" w14:textId="77777777" w:rsidR="004B252B" w:rsidRDefault="004B252B" w:rsidP="00A30226">
      <w:pPr>
        <w:pStyle w:val="ListParagraph"/>
        <w:numPr>
          <w:ilvl w:val="0"/>
          <w:numId w:val="1"/>
        </w:numPr>
        <w:spacing w:after="100" w:afterAutospacing="1"/>
        <w:ind w:left="360"/>
      </w:pPr>
      <w:r>
        <w:t xml:space="preserve">From the graph below we see that the number of successful projects has decreased significantly and the gap between successful and </w:t>
      </w:r>
      <w:proofErr w:type="spellStart"/>
      <w:r>
        <w:t>faied</w:t>
      </w:r>
      <w:proofErr w:type="spellEnd"/>
      <w:r>
        <w:t xml:space="preserve"> projects narrows down. In the month of December, we see that both intersect and the failed surpasses the successful projects for the first time.</w:t>
      </w:r>
    </w:p>
    <w:p w14:paraId="33023E0C" w14:textId="77777777" w:rsidR="004B252B" w:rsidRDefault="004B252B" w:rsidP="00A30226">
      <w:pPr>
        <w:pStyle w:val="ListParagraph"/>
        <w:spacing w:after="100" w:afterAutospacing="1"/>
      </w:pPr>
    </w:p>
    <w:p w14:paraId="00E6B73C" w14:textId="690DB914" w:rsidR="00C16B53" w:rsidRDefault="00BD57D6" w:rsidP="00A30226">
      <w:pPr>
        <w:pStyle w:val="ListParagraph"/>
        <w:spacing w:after="100" w:afterAutospacing="1"/>
        <w:ind w:left="360"/>
      </w:pPr>
      <w:r>
        <w:rPr>
          <w:noProof/>
        </w:rPr>
        <w:drawing>
          <wp:inline distT="0" distB="0" distL="0" distR="0" wp14:anchorId="4E822508" wp14:editId="71D38BE7">
            <wp:extent cx="4400550" cy="3817144"/>
            <wp:effectExtent l="0" t="0" r="0" b="12065"/>
            <wp:docPr id="1" name="Chart 1">
              <a:extLst xmlns:a="http://schemas.openxmlformats.org/drawingml/2006/main">
                <a:ext uri="{FF2B5EF4-FFF2-40B4-BE49-F238E27FC236}">
                  <a16:creationId xmlns:a16="http://schemas.microsoft.com/office/drawing/2014/main" id="{C2F337B3-2B1B-4BFE-815A-CE031CE76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9123A2" w14:textId="77777777" w:rsidR="008E7FBF" w:rsidRDefault="008E7FBF" w:rsidP="00A30226">
      <w:pPr>
        <w:pStyle w:val="ListParagraph"/>
        <w:spacing w:after="100" w:afterAutospacing="1"/>
        <w:ind w:left="360"/>
      </w:pPr>
    </w:p>
    <w:p w14:paraId="2E102F45" w14:textId="749EFE5D" w:rsidR="00C16B53" w:rsidRDefault="00C16B53" w:rsidP="00A30226">
      <w:pPr>
        <w:pStyle w:val="ListParagraph"/>
        <w:spacing w:after="100" w:afterAutospacing="1"/>
        <w:ind w:left="360"/>
      </w:pPr>
      <w:r>
        <w:t xml:space="preserve"> </w:t>
      </w:r>
    </w:p>
    <w:p w14:paraId="17A8B447" w14:textId="3E18D100" w:rsidR="00A2489D" w:rsidRDefault="008E7FBF" w:rsidP="00A30226">
      <w:pPr>
        <w:spacing w:after="100" w:afterAutospacing="1"/>
      </w:pPr>
      <w:r>
        <w:lastRenderedPageBreak/>
        <w:t xml:space="preserve">2) </w:t>
      </w:r>
      <w:r w:rsidR="00C16B53">
        <w:t>What are some of the limitations of this dataset?</w:t>
      </w:r>
    </w:p>
    <w:p w14:paraId="3C80D84E" w14:textId="1506E6D3" w:rsidR="00A2489D" w:rsidRPr="00A2489D" w:rsidRDefault="00A2489D" w:rsidP="00A2489D">
      <w:pPr>
        <w:pStyle w:val="ListParagraph"/>
        <w:numPr>
          <w:ilvl w:val="0"/>
          <w:numId w:val="2"/>
        </w:numPr>
        <w:spacing w:after="100" w:afterAutospacing="1"/>
        <w:rPr>
          <w:rFonts w:cstheme="minorHAnsi"/>
        </w:rPr>
      </w:pPr>
      <w:r>
        <w:t xml:space="preserve">In the introduction it was said that </w:t>
      </w:r>
      <w:r w:rsidRPr="00A2489D">
        <w:rPr>
          <w:rFonts w:cstheme="minorHAnsi"/>
        </w:rPr>
        <w:t>only a third of Kickstarter campaigns make it through funding with positive outcomes, but this database shows that more than half of the programs selected are successful.</w:t>
      </w:r>
    </w:p>
    <w:p w14:paraId="127194F7" w14:textId="5F4A3284" w:rsidR="00C16B53" w:rsidRDefault="00C16B53" w:rsidP="00A30226">
      <w:pPr>
        <w:pStyle w:val="ListParagraph"/>
        <w:numPr>
          <w:ilvl w:val="0"/>
          <w:numId w:val="2"/>
        </w:numPr>
        <w:spacing w:after="100" w:afterAutospacing="1"/>
      </w:pPr>
      <w:r>
        <w:t>There dataset is not large enough for all categories and subcategories, so some of the results are not statistically relevant. We need to figure out how statistically significant these results are.</w:t>
      </w:r>
    </w:p>
    <w:p w14:paraId="2A6C8D44" w14:textId="5916B23C" w:rsidR="00C16B53" w:rsidRDefault="00C16B53" w:rsidP="00A30226">
      <w:pPr>
        <w:pStyle w:val="ListParagraph"/>
        <w:numPr>
          <w:ilvl w:val="0"/>
          <w:numId w:val="2"/>
        </w:numPr>
        <w:spacing w:after="100" w:afterAutospacing="1"/>
      </w:pPr>
      <w:r>
        <w:t xml:space="preserve">We need to analyze a variety of crowdsourcing companies to draw more significant insights. </w:t>
      </w:r>
    </w:p>
    <w:p w14:paraId="71C480D3" w14:textId="4430F0E8" w:rsidR="00A2489D" w:rsidRDefault="00A2489D" w:rsidP="00A2489D">
      <w:pPr>
        <w:pStyle w:val="ListParagraph"/>
        <w:numPr>
          <w:ilvl w:val="0"/>
          <w:numId w:val="2"/>
        </w:numPr>
        <w:spacing w:after="100" w:afterAutospacing="1"/>
        <w:rPr>
          <w:rFonts w:cstheme="minorHAnsi"/>
        </w:rPr>
      </w:pPr>
      <w:r w:rsidRPr="00A2489D">
        <w:rPr>
          <w:rFonts w:cstheme="minorHAnsi"/>
        </w:rPr>
        <w:t>There are several outliers in the funding goal</w:t>
      </w:r>
      <w:r>
        <w:rPr>
          <w:rFonts w:cstheme="minorHAnsi"/>
        </w:rPr>
        <w:t>.</w:t>
      </w:r>
    </w:p>
    <w:p w14:paraId="2496DDEF" w14:textId="2E938D25" w:rsidR="00A2489D" w:rsidRPr="00A2489D" w:rsidRDefault="00A2489D" w:rsidP="00A2489D">
      <w:pPr>
        <w:pStyle w:val="ListParagraph"/>
        <w:numPr>
          <w:ilvl w:val="0"/>
          <w:numId w:val="2"/>
        </w:numPr>
        <w:spacing w:after="100" w:afterAutospacing="1"/>
        <w:rPr>
          <w:rFonts w:cstheme="minorHAnsi"/>
        </w:rPr>
      </w:pPr>
      <w:r>
        <w:rPr>
          <w:rFonts w:ascii="Times New Roman" w:hAnsi="Times New Roman" w:cs="Times New Roman"/>
          <w:sz w:val="24"/>
          <w:szCs w:val="24"/>
        </w:rPr>
        <w:t>There are not any metrics that describe the success of each industry/category/sub-</w:t>
      </w:r>
      <w:proofErr w:type="gramStart"/>
      <w:r>
        <w:rPr>
          <w:rFonts w:ascii="Times New Roman" w:hAnsi="Times New Roman" w:cs="Times New Roman"/>
          <w:sz w:val="24"/>
          <w:szCs w:val="24"/>
        </w:rPr>
        <w:t>category as a whole</w:t>
      </w:r>
      <w:proofErr w:type="gramEnd"/>
      <w:r>
        <w:rPr>
          <w:rFonts w:ascii="Times New Roman" w:hAnsi="Times New Roman" w:cs="Times New Roman"/>
          <w:sz w:val="24"/>
          <w:szCs w:val="24"/>
        </w:rPr>
        <w:t>.</w:t>
      </w:r>
    </w:p>
    <w:p w14:paraId="03C8DD85" w14:textId="4BE6DF41" w:rsidR="00A2489D" w:rsidRDefault="008E7FBF" w:rsidP="00A30226">
      <w:pPr>
        <w:spacing w:after="100" w:afterAutospacing="1"/>
      </w:pPr>
      <w:r>
        <w:t xml:space="preserve">3) </w:t>
      </w:r>
      <w:r w:rsidR="00C16B53">
        <w:t>What are some other possible tables/graphs that we could create?</w:t>
      </w:r>
    </w:p>
    <w:p w14:paraId="37941219" w14:textId="075C5DB6" w:rsidR="00A2489D" w:rsidRPr="00DD6813" w:rsidRDefault="00A2489D" w:rsidP="00A30226">
      <w:pPr>
        <w:pStyle w:val="ListParagraph"/>
        <w:numPr>
          <w:ilvl w:val="0"/>
          <w:numId w:val="2"/>
        </w:numPr>
        <w:spacing w:after="100" w:afterAutospacing="1"/>
        <w:rPr>
          <w:rFonts w:cstheme="minorHAnsi"/>
        </w:rPr>
      </w:pPr>
      <w:r w:rsidRPr="00DD6813">
        <w:rPr>
          <w:rFonts w:cstheme="minorHAnsi"/>
        </w:rPr>
        <w:t>Graphs with and without “plays” (the most popular category).</w:t>
      </w:r>
    </w:p>
    <w:p w14:paraId="7D83B6AD" w14:textId="4967BFF7" w:rsidR="00A2489D" w:rsidRPr="00DD6813" w:rsidRDefault="00A2489D" w:rsidP="00A30226">
      <w:pPr>
        <w:pStyle w:val="ListParagraph"/>
        <w:numPr>
          <w:ilvl w:val="0"/>
          <w:numId w:val="2"/>
        </w:numPr>
        <w:spacing w:after="100" w:afterAutospacing="1"/>
        <w:rPr>
          <w:rFonts w:cstheme="minorHAnsi"/>
        </w:rPr>
      </w:pPr>
      <w:r w:rsidRPr="00DD6813">
        <w:rPr>
          <w:rFonts w:cstheme="minorHAnsi"/>
        </w:rPr>
        <w:t>We can analyze the projects by the duration of conversion.</w:t>
      </w:r>
    </w:p>
    <w:p w14:paraId="2C3C3F86" w14:textId="55C8F20D" w:rsidR="00A2489D" w:rsidRPr="00DD6813" w:rsidRDefault="00A2489D" w:rsidP="00A30226">
      <w:pPr>
        <w:pStyle w:val="ListParagraph"/>
        <w:numPr>
          <w:ilvl w:val="0"/>
          <w:numId w:val="2"/>
        </w:numPr>
        <w:spacing w:after="100" w:afterAutospacing="1"/>
        <w:rPr>
          <w:rFonts w:cstheme="minorHAnsi"/>
        </w:rPr>
      </w:pPr>
      <w:r w:rsidRPr="00DD6813">
        <w:rPr>
          <w:rFonts w:cstheme="minorHAnsi"/>
        </w:rPr>
        <w:t xml:space="preserve">If we analyst the data by states, we can see which states have </w:t>
      </w:r>
      <w:proofErr w:type="spellStart"/>
      <w:r w:rsidRPr="00DD6813">
        <w:rPr>
          <w:rFonts w:cstheme="minorHAnsi"/>
        </w:rPr>
        <w:t>kickstarter</w:t>
      </w:r>
      <w:proofErr w:type="spellEnd"/>
      <w:r w:rsidRPr="00DD6813">
        <w:rPr>
          <w:rFonts w:cstheme="minorHAnsi"/>
        </w:rPr>
        <w:t xml:space="preserve"> with more success rate than other.</w:t>
      </w:r>
    </w:p>
    <w:p w14:paraId="18FAB36B" w14:textId="23168483" w:rsidR="00A2489D" w:rsidRPr="00DD6813" w:rsidRDefault="00DD6813" w:rsidP="00A30226">
      <w:pPr>
        <w:pStyle w:val="ListParagraph"/>
        <w:numPr>
          <w:ilvl w:val="0"/>
          <w:numId w:val="2"/>
        </w:numPr>
        <w:spacing w:after="100" w:afterAutospacing="1"/>
        <w:rPr>
          <w:rFonts w:cstheme="minorHAnsi"/>
        </w:rPr>
      </w:pPr>
      <w:r w:rsidRPr="00DD6813">
        <w:rPr>
          <w:rFonts w:cstheme="minorHAnsi"/>
        </w:rPr>
        <w:t xml:space="preserve">We can create graphs/tables for most successful </w:t>
      </w:r>
      <w:proofErr w:type="gramStart"/>
      <w:r w:rsidRPr="00DD6813">
        <w:rPr>
          <w:rFonts w:cstheme="minorHAnsi"/>
        </w:rPr>
        <w:t>categories</w:t>
      </w:r>
      <w:proofErr w:type="gramEnd"/>
      <w:r w:rsidRPr="00DD6813">
        <w:rPr>
          <w:rFonts w:cstheme="minorHAnsi"/>
        </w:rPr>
        <w:t xml:space="preserve"> vs unsuccessful category.</w:t>
      </w:r>
    </w:p>
    <w:p w14:paraId="31E66491" w14:textId="6EACD362" w:rsidR="00DD6813" w:rsidRPr="00DD6813" w:rsidRDefault="00DD6813" w:rsidP="00A30226">
      <w:pPr>
        <w:pStyle w:val="ListParagraph"/>
        <w:numPr>
          <w:ilvl w:val="0"/>
          <w:numId w:val="2"/>
        </w:numPr>
        <w:spacing w:after="100" w:afterAutospacing="1"/>
        <w:rPr>
          <w:rFonts w:cstheme="minorHAnsi"/>
        </w:rPr>
      </w:pPr>
      <w:r w:rsidRPr="00DD6813">
        <w:rPr>
          <w:rFonts w:cstheme="minorHAnsi"/>
        </w:rPr>
        <w:t>Graphs and displays that break up each category into its specific subcategories to uncover what makes different types of organizations successful</w:t>
      </w:r>
    </w:p>
    <w:p w14:paraId="01CC1A24" w14:textId="730F9355" w:rsidR="00C16B53" w:rsidRPr="00DD6813" w:rsidRDefault="00C16B53" w:rsidP="00A30226">
      <w:pPr>
        <w:pStyle w:val="ListParagraph"/>
        <w:numPr>
          <w:ilvl w:val="0"/>
          <w:numId w:val="2"/>
        </w:numPr>
        <w:spacing w:after="100" w:afterAutospacing="1"/>
        <w:rPr>
          <w:rFonts w:cstheme="minorHAnsi"/>
        </w:rPr>
      </w:pPr>
      <w:r w:rsidRPr="00DD6813">
        <w:rPr>
          <w:rFonts w:cstheme="minorHAnsi"/>
        </w:rPr>
        <w:t xml:space="preserve">It would be interesting to analyze the projects by the duration of conversion using the date created conversion and date ended conversion. Maybe there is a trend to see what separates the duration of successful and unsuccessful projects. </w:t>
      </w:r>
    </w:p>
    <w:p w14:paraId="08DDA082" w14:textId="4FC41B61" w:rsidR="0062332D" w:rsidRPr="00DD6813" w:rsidRDefault="00DD6813" w:rsidP="00A30226">
      <w:pPr>
        <w:pStyle w:val="ListParagraph"/>
        <w:numPr>
          <w:ilvl w:val="0"/>
          <w:numId w:val="2"/>
        </w:numPr>
        <w:spacing w:after="100" w:afterAutospacing="1"/>
        <w:rPr>
          <w:rFonts w:cstheme="minorHAnsi"/>
        </w:rPr>
      </w:pPr>
      <w:r w:rsidRPr="00DD6813">
        <w:rPr>
          <w:rFonts w:cstheme="minorHAnsi"/>
        </w:rPr>
        <w:t>It would be helpful if we could get more info on the metric “successful”.</w:t>
      </w:r>
    </w:p>
    <w:sectPr w:rsidR="0062332D" w:rsidRPr="00DD6813" w:rsidSect="00A302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38E2"/>
    <w:multiLevelType w:val="hybridMultilevel"/>
    <w:tmpl w:val="B5702A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2D"/>
    <w:rsid w:val="000A2A05"/>
    <w:rsid w:val="004B252B"/>
    <w:rsid w:val="0062332D"/>
    <w:rsid w:val="008E7FBF"/>
    <w:rsid w:val="009B5B90"/>
    <w:rsid w:val="00A2489D"/>
    <w:rsid w:val="00A30226"/>
    <w:rsid w:val="00A849CE"/>
    <w:rsid w:val="00BD57D6"/>
    <w:rsid w:val="00C16B53"/>
    <w:rsid w:val="00C82097"/>
    <w:rsid w:val="00D7274A"/>
    <w:rsid w:val="00DD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C1A1"/>
  <w15:chartTrackingRefBased/>
  <w15:docId w15:val="{5C4222BD-DA4E-400C-B8DA-2DF57F8F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eda\Desktop\excel-challenge\Syeda_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eda\Desktop\excel-challenge\Syeda_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yeda\Desktop\excel-challenge\Syeda_StarterBook.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[Syeda_StarterBook.xlsx]Sheet3!PivotTable4</c:name>
    <c:fmtId val="-1"/>
  </c:pivotSource>
  <c:chart>
    <c:autoTitleDeleted val="1"/>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987219707772749"/>
          <c:y val="0.22409687880452933"/>
          <c:w val="0.78079616425899523"/>
          <c:h val="0.63209724043243576"/>
        </c:manualLayout>
      </c:layout>
      <c:barChart>
        <c:barDir val="col"/>
        <c:grouping val="stacked"/>
        <c:varyColors val="0"/>
        <c:ser>
          <c:idx val="0"/>
          <c:order val="0"/>
          <c:tx>
            <c:strRef>
              <c:f>Sheet3!$B$4:$B$5</c:f>
              <c:strCache>
                <c:ptCount val="1"/>
                <c:pt idx="0">
                  <c:v>successful</c:v>
                </c:pt>
              </c:strCache>
            </c:strRef>
          </c:tx>
          <c:spPr>
            <a:solidFill>
              <a:schemeClr val="accent6"/>
            </a:solidFill>
            <a:ln>
              <a:noFill/>
            </a:ln>
            <a:effectLst/>
          </c:spPr>
          <c:invertIfNegative val="0"/>
          <c:cat>
            <c:strRef>
              <c:f>Sheet3!$A$6:$A$15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Sheet3!$B$6:$B$15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AEA0-43A6-9ABB-0E7EE91ECA11}"/>
            </c:ext>
          </c:extLst>
        </c:ser>
        <c:ser>
          <c:idx val="1"/>
          <c:order val="1"/>
          <c:tx>
            <c:strRef>
              <c:f>Sheet3!$C$4:$C$5</c:f>
              <c:strCache>
                <c:ptCount val="1"/>
                <c:pt idx="0">
                  <c:v>failed</c:v>
                </c:pt>
              </c:strCache>
            </c:strRef>
          </c:tx>
          <c:spPr>
            <a:solidFill>
              <a:schemeClr val="accent1"/>
            </a:solidFill>
            <a:ln>
              <a:noFill/>
            </a:ln>
            <a:effectLst/>
          </c:spPr>
          <c:invertIfNegative val="0"/>
          <c:cat>
            <c:strRef>
              <c:f>Sheet3!$A$6:$A$15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EA0-43A6-9ABB-0E7EE91ECA11}"/>
            </c:ext>
          </c:extLst>
        </c:ser>
        <c:ser>
          <c:idx val="2"/>
          <c:order val="2"/>
          <c:tx>
            <c:strRef>
              <c:f>Sheet3!$D$4:$D$5</c:f>
              <c:strCache>
                <c:ptCount val="1"/>
                <c:pt idx="0">
                  <c:v>canceled</c:v>
                </c:pt>
              </c:strCache>
            </c:strRef>
          </c:tx>
          <c:spPr>
            <a:solidFill>
              <a:schemeClr val="accent4">
                <a:lumMod val="60000"/>
                <a:lumOff val="40000"/>
              </a:schemeClr>
            </a:solidFill>
            <a:ln>
              <a:noFill/>
            </a:ln>
            <a:effectLst/>
          </c:spPr>
          <c:invertIfNegative val="0"/>
          <c:cat>
            <c:strRef>
              <c:f>Sheet3!$A$6:$A$15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Sheet3!$D$6:$D$15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AEA0-43A6-9ABB-0E7EE91ECA11}"/>
            </c:ext>
          </c:extLst>
        </c:ser>
        <c:ser>
          <c:idx val="3"/>
          <c:order val="3"/>
          <c:tx>
            <c:strRef>
              <c:f>Sheet3!$E$4:$E$5</c:f>
              <c:strCache>
                <c:ptCount val="1"/>
                <c:pt idx="0">
                  <c:v>live</c:v>
                </c:pt>
              </c:strCache>
            </c:strRef>
          </c:tx>
          <c:spPr>
            <a:solidFill>
              <a:schemeClr val="accent6">
                <a:lumMod val="50000"/>
              </a:schemeClr>
            </a:solidFill>
            <a:ln>
              <a:noFill/>
            </a:ln>
            <a:effectLst/>
          </c:spPr>
          <c:invertIfNegative val="0"/>
          <c:cat>
            <c:strRef>
              <c:f>Sheet3!$A$6:$A$15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Sheet3!$E$6:$E$15</c:f>
              <c:numCache>
                <c:formatCode>General</c:formatCode>
                <c:ptCount val="9"/>
                <c:pt idx="1">
                  <c:v>6</c:v>
                </c:pt>
                <c:pt idx="4">
                  <c:v>20</c:v>
                </c:pt>
                <c:pt idx="8">
                  <c:v>24</c:v>
                </c:pt>
              </c:numCache>
            </c:numRef>
          </c:val>
          <c:extLst>
            <c:ext xmlns:c16="http://schemas.microsoft.com/office/drawing/2014/chart" uri="{C3380CC4-5D6E-409C-BE32-E72D297353CC}">
              <c16:uniqueId val="{00000003-AEA0-43A6-9ABB-0E7EE91ECA11}"/>
            </c:ext>
          </c:extLst>
        </c:ser>
        <c:dLbls>
          <c:showLegendKey val="0"/>
          <c:showVal val="0"/>
          <c:showCatName val="0"/>
          <c:showSerName val="0"/>
          <c:showPercent val="0"/>
          <c:showBubbleSize val="0"/>
        </c:dLbls>
        <c:gapWidth val="150"/>
        <c:overlap val="100"/>
        <c:axId val="491237224"/>
        <c:axId val="491238208"/>
      </c:barChart>
      <c:catAx>
        <c:axId val="49123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38208"/>
        <c:crosses val="autoZero"/>
        <c:auto val="1"/>
        <c:lblAlgn val="ctr"/>
        <c:lblOffset val="100"/>
        <c:noMultiLvlLbl val="0"/>
      </c:catAx>
      <c:valAx>
        <c:axId val="49123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state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37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[Syeda_StarterBook.xlsx]Sheet4!PivotTable5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Sheet4!$B$4:$B$5</c:f>
              <c:strCache>
                <c:ptCount val="1"/>
                <c:pt idx="0">
                  <c:v>successful</c:v>
                </c:pt>
              </c:strCache>
            </c:strRef>
          </c:tx>
          <c:spPr>
            <a:solidFill>
              <a:schemeClr val="accent1"/>
            </a:solidFill>
            <a:ln>
              <a:noFill/>
            </a:ln>
            <a:effectLst/>
          </c:spPr>
          <c:invertIfNegative val="0"/>
          <c:cat>
            <c:strRef>
              <c:f>Sheet4!$A$6:$A$47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Sheet4!$B$6:$B$47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8A52-419E-A696-7D66E36634E4}"/>
            </c:ext>
          </c:extLst>
        </c:ser>
        <c:ser>
          <c:idx val="1"/>
          <c:order val="1"/>
          <c:tx>
            <c:strRef>
              <c:f>Sheet4!$C$4:$C$5</c:f>
              <c:strCache>
                <c:ptCount val="1"/>
                <c:pt idx="0">
                  <c:v>failed</c:v>
                </c:pt>
              </c:strCache>
            </c:strRef>
          </c:tx>
          <c:spPr>
            <a:solidFill>
              <a:schemeClr val="accent2"/>
            </a:solidFill>
            <a:ln>
              <a:noFill/>
            </a:ln>
            <a:effectLst/>
          </c:spPr>
          <c:invertIfNegative val="0"/>
          <c:cat>
            <c:strRef>
              <c:f>Sheet4!$A$6:$A$47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Sheet4!$C$6:$C$47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A52-419E-A696-7D66E36634E4}"/>
            </c:ext>
          </c:extLst>
        </c:ser>
        <c:ser>
          <c:idx val="2"/>
          <c:order val="2"/>
          <c:tx>
            <c:strRef>
              <c:f>Sheet4!$D$4:$D$5</c:f>
              <c:strCache>
                <c:ptCount val="1"/>
                <c:pt idx="0">
                  <c:v>canceled</c:v>
                </c:pt>
              </c:strCache>
            </c:strRef>
          </c:tx>
          <c:spPr>
            <a:solidFill>
              <a:schemeClr val="accent3"/>
            </a:solidFill>
            <a:ln>
              <a:noFill/>
            </a:ln>
            <a:effectLst/>
          </c:spPr>
          <c:invertIfNegative val="0"/>
          <c:cat>
            <c:strRef>
              <c:f>Sheet4!$A$6:$A$47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Sheet4!$D$6:$D$47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8A52-419E-A696-7D66E36634E4}"/>
            </c:ext>
          </c:extLst>
        </c:ser>
        <c:ser>
          <c:idx val="3"/>
          <c:order val="3"/>
          <c:tx>
            <c:strRef>
              <c:f>Sheet4!$E$4:$E$5</c:f>
              <c:strCache>
                <c:ptCount val="1"/>
                <c:pt idx="0">
                  <c:v>live</c:v>
                </c:pt>
              </c:strCache>
            </c:strRef>
          </c:tx>
          <c:spPr>
            <a:solidFill>
              <a:schemeClr val="accent4"/>
            </a:solidFill>
            <a:ln>
              <a:noFill/>
            </a:ln>
            <a:effectLst/>
          </c:spPr>
          <c:invertIfNegative val="0"/>
          <c:cat>
            <c:strRef>
              <c:f>Sheet4!$A$6:$A$47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Sheet4!$E$6:$E$47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8A52-419E-A696-7D66E36634E4}"/>
            </c:ext>
          </c:extLst>
        </c:ser>
        <c:dLbls>
          <c:showLegendKey val="0"/>
          <c:showVal val="0"/>
          <c:showCatName val="0"/>
          <c:showSerName val="0"/>
          <c:showPercent val="0"/>
          <c:showBubbleSize val="0"/>
        </c:dLbls>
        <c:gapWidth val="219"/>
        <c:overlap val="100"/>
        <c:axId val="491191144"/>
        <c:axId val="491184256"/>
      </c:barChart>
      <c:catAx>
        <c:axId val="491191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84256"/>
        <c:crosses val="autoZero"/>
        <c:auto val="1"/>
        <c:lblAlgn val="ctr"/>
        <c:lblOffset val="100"/>
        <c:noMultiLvlLbl val="0"/>
      </c:catAx>
      <c:valAx>
        <c:axId val="49118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states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91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[Syeda_StarterBook.xlsx]Sheet2!PivotTable6</c:name>
    <c:fmtId val="-1"/>
  </c:pivotSource>
  <c:chart>
    <c:autoTitleDeleted val="0"/>
    <c:pivotFmts>
      <c:pivotFmt>
        <c:idx val="0"/>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5">
                <a:lumMod val="75000"/>
              </a:schemeClr>
            </a:solidFill>
            <a:round/>
          </a:ln>
          <a:effectLst/>
        </c:spPr>
        <c:marker>
          <c:symbol val="circle"/>
          <c:size val="5"/>
          <c:spPr>
            <a:solidFill>
              <a:srgbClr val="0070C0"/>
            </a:solidFill>
            <a:ln w="9525">
              <a:solidFill>
                <a:schemeClr val="accent5">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5">
                <a:lumMod val="75000"/>
              </a:schemeClr>
            </a:solidFill>
            <a:round/>
          </a:ln>
          <a:effectLst/>
        </c:spPr>
        <c:marker>
          <c:symbol val="circle"/>
          <c:size val="5"/>
          <c:spPr>
            <a:solidFill>
              <a:srgbClr val="0070C0"/>
            </a:solidFill>
            <a:ln w="9525">
              <a:solidFill>
                <a:schemeClr val="accent5">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5">
                <a:lumMod val="75000"/>
              </a:schemeClr>
            </a:solidFill>
            <a:round/>
          </a:ln>
          <a:effectLst/>
        </c:spPr>
        <c:marker>
          <c:symbol val="circle"/>
          <c:size val="5"/>
          <c:spPr>
            <a:solidFill>
              <a:srgbClr val="0070C0"/>
            </a:solidFill>
            <a:ln w="9525">
              <a:solidFill>
                <a:schemeClr val="accent5">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CA5F-4BF8-82E6-704A6A7C1E12}"/>
            </c:ext>
          </c:extLst>
        </c:ser>
        <c:ser>
          <c:idx val="1"/>
          <c:order val="1"/>
          <c:tx>
            <c:strRef>
              <c:f>Sheet2!$C$4:$C$5</c:f>
              <c:strCache>
                <c:ptCount val="1"/>
                <c:pt idx="0">
                  <c:v>failed</c:v>
                </c:pt>
              </c:strCache>
            </c:strRef>
          </c:tx>
          <c:spPr>
            <a:ln w="28575" cap="rnd">
              <a:solidFill>
                <a:schemeClr val="accent5">
                  <a:lumMod val="75000"/>
                </a:schemeClr>
              </a:solidFill>
              <a:round/>
            </a:ln>
            <a:effectLst/>
          </c:spPr>
          <c:marker>
            <c:symbol val="circle"/>
            <c:size val="5"/>
            <c:spPr>
              <a:solidFill>
                <a:srgbClr val="0070C0"/>
              </a:solidFill>
              <a:ln w="9525">
                <a:solidFill>
                  <a:schemeClr val="accent5">
                    <a:lumMod val="75000"/>
                  </a:schemeClr>
                </a:solidFill>
              </a:ln>
              <a:effectLst/>
            </c:spPr>
          </c:marker>
          <c:cat>
            <c:strRef>
              <c:f>Sheet2!$A$6:$A$18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CA5F-4BF8-82E6-704A6A7C1E12}"/>
            </c:ext>
          </c:extLst>
        </c:ser>
        <c:ser>
          <c:idx val="2"/>
          <c:order val="2"/>
          <c:tx>
            <c:strRef>
              <c:f>Sheet2!$D$4:$D$5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CA5F-4BF8-82E6-704A6A7C1E12}"/>
            </c:ext>
          </c:extLst>
        </c:ser>
        <c:dLbls>
          <c:showLegendKey val="0"/>
          <c:showVal val="0"/>
          <c:showCatName val="0"/>
          <c:showSerName val="0"/>
          <c:showPercent val="0"/>
          <c:showBubbleSize val="0"/>
        </c:dLbls>
        <c:marker val="1"/>
        <c:smooth val="0"/>
        <c:axId val="491229352"/>
        <c:axId val="491231320"/>
      </c:lineChart>
      <c:catAx>
        <c:axId val="49122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31320"/>
        <c:crosses val="autoZero"/>
        <c:auto val="1"/>
        <c:lblAlgn val="ctr"/>
        <c:lblOffset val="100"/>
        <c:noMultiLvlLbl val="0"/>
      </c:catAx>
      <c:valAx>
        <c:axId val="491231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outcomes</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2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0.60499</cdr:x>
      <cdr:y>0.06675</cdr:y>
    </cdr:from>
    <cdr:to>
      <cdr:x>0.61497</cdr:x>
      <cdr:y>0.08671</cdr:y>
    </cdr:to>
    <cdr:sp macro="" textlink="">
      <cdr:nvSpPr>
        <cdr:cNvPr id="2" name="TextBox 1">
          <a:extLst xmlns:a="http://schemas.openxmlformats.org/drawingml/2006/main">
            <a:ext uri="{FF2B5EF4-FFF2-40B4-BE49-F238E27FC236}">
              <a16:creationId xmlns:a16="http://schemas.microsoft.com/office/drawing/2014/main" id="{3DAFC989-0337-47F9-983B-0CF0C7DC489D}"/>
            </a:ext>
          </a:extLst>
        </cdr:cNvPr>
        <cdr:cNvSpPr txBox="1"/>
      </cdr:nvSpPr>
      <cdr:spPr>
        <a:xfrm xmlns:a="http://schemas.openxmlformats.org/drawingml/2006/main">
          <a:off x="2771776" y="254794"/>
          <a:ext cx="45719" cy="76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syedafasahath@outlook.com</dc:creator>
  <cp:keywords/>
  <dc:description/>
  <cp:lastModifiedBy>syedafasahath@outlook.com</cp:lastModifiedBy>
  <cp:revision>6</cp:revision>
  <dcterms:created xsi:type="dcterms:W3CDTF">2020-08-12T20:21:00Z</dcterms:created>
  <dcterms:modified xsi:type="dcterms:W3CDTF">2020-08-13T01:18:00Z</dcterms:modified>
</cp:coreProperties>
</file>