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7129" w14:textId="11535FE8" w:rsidR="00DD7EED" w:rsidRPr="00017458" w:rsidRDefault="00767361">
      <w:pPr>
        <w:rPr>
          <w:lang w:val="en-US"/>
        </w:rPr>
      </w:pPr>
      <w:r w:rsidRPr="00017458">
        <w:rPr>
          <w:lang w:val="en-US"/>
        </w:rPr>
        <w:t>Introduction:</w:t>
      </w:r>
    </w:p>
    <w:p w14:paraId="4100CAD5" w14:textId="77777777" w:rsidR="00233D9F" w:rsidRDefault="00233D9F">
      <w:pPr>
        <w:rPr>
          <w:lang w:val="en-GB"/>
        </w:rPr>
      </w:pPr>
    </w:p>
    <w:p w14:paraId="2F98F7C5" w14:textId="15C41298" w:rsidR="003B7AF4" w:rsidRPr="001E2659" w:rsidRDefault="00233D9F" w:rsidP="003B7AF4">
      <w:pPr>
        <w:rPr>
          <w:highlight w:val="yellow"/>
          <w:lang w:val="en-GB"/>
        </w:rPr>
      </w:pPr>
      <w:r w:rsidRPr="001E2659">
        <w:rPr>
          <w:highlight w:val="yellow"/>
          <w:lang w:val="en-GB"/>
        </w:rPr>
        <w:t>In Albert Banduras Social-Cognitive Theory</w:t>
      </w:r>
      <w:r w:rsidR="00F50697" w:rsidRPr="001E2659">
        <w:rPr>
          <w:highlight w:val="yellow"/>
          <w:lang w:val="en-GB"/>
        </w:rPr>
        <w:t xml:space="preserve"> </w:t>
      </w:r>
      <w:r w:rsidRPr="001E2659">
        <w:rPr>
          <w:highlight w:val="yellow"/>
          <w:lang w:val="en-GB"/>
        </w:rPr>
        <w:t xml:space="preserve">children </w:t>
      </w:r>
      <w:r w:rsidR="00F50697" w:rsidRPr="001E2659">
        <w:rPr>
          <w:highlight w:val="yellow"/>
          <w:lang w:val="en-GB"/>
        </w:rPr>
        <w:t xml:space="preserve">are </w:t>
      </w:r>
      <w:r w:rsidRPr="001E2659">
        <w:rPr>
          <w:highlight w:val="yellow"/>
          <w:lang w:val="en-GB"/>
        </w:rPr>
        <w:t>learn</w:t>
      </w:r>
      <w:r w:rsidR="00F50697" w:rsidRPr="001E2659">
        <w:rPr>
          <w:highlight w:val="yellow"/>
          <w:lang w:val="en-GB"/>
        </w:rPr>
        <w:t>ing</w:t>
      </w:r>
      <w:r w:rsidRPr="001E2659">
        <w:rPr>
          <w:highlight w:val="yellow"/>
          <w:lang w:val="en-GB"/>
        </w:rPr>
        <w:t xml:space="preserve"> </w:t>
      </w:r>
      <w:r w:rsidR="001E762A" w:rsidRPr="001E2659">
        <w:rPr>
          <w:highlight w:val="yellow"/>
          <w:lang w:val="en-GB"/>
        </w:rPr>
        <w:t xml:space="preserve">social </w:t>
      </w:r>
      <w:r w:rsidRPr="001E2659">
        <w:rPr>
          <w:highlight w:val="yellow"/>
          <w:lang w:val="en-GB"/>
        </w:rPr>
        <w:t>behaviour through observation of</w:t>
      </w:r>
      <w:r w:rsidR="001E762A" w:rsidRPr="001E2659">
        <w:rPr>
          <w:highlight w:val="yellow"/>
          <w:lang w:val="en-GB"/>
        </w:rPr>
        <w:t xml:space="preserve"> behaviour </w:t>
      </w:r>
      <w:r w:rsidR="00BD13E6" w:rsidRPr="001E2659">
        <w:rPr>
          <w:highlight w:val="yellow"/>
          <w:lang w:val="en-GB"/>
        </w:rPr>
        <w:t xml:space="preserve">of others </w:t>
      </w:r>
      <w:r w:rsidR="00E5771C" w:rsidRPr="001E2659">
        <w:rPr>
          <w:highlight w:val="yellow"/>
          <w:lang w:val="en-GB"/>
        </w:rPr>
        <w:t>and the social consequences associated with it</w:t>
      </w:r>
      <w:r w:rsidR="00BD13E6" w:rsidRPr="001E2659">
        <w:rPr>
          <w:highlight w:val="yellow"/>
          <w:lang w:val="en-GB"/>
        </w:rPr>
        <w:t>.</w:t>
      </w:r>
      <w:r w:rsidR="001E762A" w:rsidRPr="001E2659">
        <w:rPr>
          <w:highlight w:val="yellow"/>
          <w:lang w:val="en-GB"/>
        </w:rPr>
        <w:t xml:space="preserve"> </w:t>
      </w:r>
      <w:r w:rsidR="00C05189" w:rsidRPr="001E2659">
        <w:rPr>
          <w:highlight w:val="yellow"/>
          <w:lang w:val="en-GB"/>
        </w:rPr>
        <w:t>T</w:t>
      </w:r>
      <w:r w:rsidRPr="001E2659">
        <w:rPr>
          <w:highlight w:val="yellow"/>
          <w:lang w:val="en-GB"/>
        </w:rPr>
        <w:t xml:space="preserve">hese implications </w:t>
      </w:r>
      <w:r w:rsidR="00B44DEE" w:rsidRPr="001E2659">
        <w:rPr>
          <w:highlight w:val="yellow"/>
          <w:lang w:val="en-GB"/>
        </w:rPr>
        <w:t>are also</w:t>
      </w:r>
      <w:r w:rsidRPr="001E2659">
        <w:rPr>
          <w:highlight w:val="yellow"/>
          <w:lang w:val="en-GB"/>
        </w:rPr>
        <w:t xml:space="preserve"> true </w:t>
      </w:r>
      <w:r w:rsidR="00B44DEE" w:rsidRPr="001E2659">
        <w:rPr>
          <w:highlight w:val="yellow"/>
          <w:lang w:val="en-GB"/>
        </w:rPr>
        <w:t>when children are</w:t>
      </w:r>
      <w:r w:rsidRPr="001E2659">
        <w:rPr>
          <w:highlight w:val="yellow"/>
          <w:lang w:val="en-GB"/>
        </w:rPr>
        <w:t xml:space="preserve"> observing behaviour through a television program</w:t>
      </w:r>
      <w:r w:rsidR="00B44DEE" w:rsidRPr="001E2659">
        <w:rPr>
          <w:highlight w:val="yellow"/>
          <w:lang w:val="en-GB"/>
        </w:rPr>
        <w:t xml:space="preserve"> (</w:t>
      </w:r>
      <w:r w:rsidRPr="001E2659">
        <w:rPr>
          <w:highlight w:val="yellow"/>
          <w:lang w:val="en-GB"/>
        </w:rPr>
        <w:t>Bandura, 1965</w:t>
      </w:r>
      <w:r w:rsidR="003B7AF4" w:rsidRPr="001E2659">
        <w:rPr>
          <w:highlight w:val="yellow"/>
          <w:lang w:val="en-GB"/>
        </w:rPr>
        <w:t>)</w:t>
      </w:r>
      <w:r w:rsidR="007D5163">
        <w:rPr>
          <w:highlight w:val="yellow"/>
          <w:lang w:val="en-GB"/>
        </w:rPr>
        <w:t xml:space="preserve"> 3</w:t>
      </w:r>
      <w:r w:rsidR="003B7AF4" w:rsidRPr="001E2659">
        <w:rPr>
          <w:highlight w:val="yellow"/>
          <w:lang w:val="en-GB"/>
        </w:rPr>
        <w:t xml:space="preserve">. It is strongly suggested, that </w:t>
      </w:r>
      <w:r w:rsidR="003B7AF4" w:rsidRPr="00653FA1">
        <w:rPr>
          <w:highlight w:val="yellow"/>
          <w:lang w:val="en-GB"/>
        </w:rPr>
        <w:t>social contexts (also media) provide a wide variety of learning opportunities for young children in terms of gender role development as one key factor</w:t>
      </w:r>
      <w:r w:rsidR="001D3D78" w:rsidRPr="00653FA1">
        <w:rPr>
          <w:highlight w:val="yellow"/>
          <w:lang w:val="en-GB"/>
        </w:rPr>
        <w:t xml:space="preserve"> (</w:t>
      </w:r>
      <w:r w:rsidR="003B7AF4" w:rsidRPr="001E2659">
        <w:rPr>
          <w:highlight w:val="yellow"/>
          <w:lang w:val="en-GB"/>
        </w:rPr>
        <w:t>Bussey &amp; Bandura, 1999).</w:t>
      </w:r>
    </w:p>
    <w:p w14:paraId="2CA3B403" w14:textId="46954A2C" w:rsidR="00812334" w:rsidRPr="003B7AF4" w:rsidRDefault="00812334">
      <w:pPr>
        <w:rPr>
          <w:highlight w:val="yellow"/>
          <w:lang w:val="en-GB"/>
        </w:rPr>
      </w:pPr>
    </w:p>
    <w:p w14:paraId="2E840194" w14:textId="79A0E5FA" w:rsidR="00767361" w:rsidRPr="00653FA1" w:rsidRDefault="00767361">
      <w:pPr>
        <w:rPr>
          <w:highlight w:val="yellow"/>
          <w:lang w:val="en-GB"/>
        </w:rPr>
      </w:pPr>
      <w:r w:rsidRPr="00653FA1">
        <w:rPr>
          <w:highlight w:val="yellow"/>
          <w:lang w:val="en-GB"/>
        </w:rPr>
        <w:t xml:space="preserve">The </w:t>
      </w:r>
      <w:r w:rsidR="00A722CA" w:rsidRPr="00653FA1">
        <w:rPr>
          <w:highlight w:val="yellow"/>
          <w:lang w:val="en-GB"/>
        </w:rPr>
        <w:t>occurrence</w:t>
      </w:r>
      <w:r w:rsidRPr="00653FA1">
        <w:rPr>
          <w:highlight w:val="yellow"/>
          <w:lang w:val="en-GB"/>
        </w:rPr>
        <w:t xml:space="preserve"> of </w:t>
      </w:r>
      <w:r w:rsidR="00501AF0" w:rsidRPr="00653FA1">
        <w:rPr>
          <w:highlight w:val="yellow"/>
          <w:lang w:val="en-GB"/>
        </w:rPr>
        <w:t>g</w:t>
      </w:r>
      <w:r w:rsidRPr="00653FA1">
        <w:rPr>
          <w:highlight w:val="yellow"/>
          <w:lang w:val="en-GB"/>
        </w:rPr>
        <w:t xml:space="preserve">ender biases in </w:t>
      </w:r>
      <w:r w:rsidR="00B86E24" w:rsidRPr="00653FA1">
        <w:rPr>
          <w:highlight w:val="yellow"/>
          <w:lang w:val="en-GB"/>
        </w:rPr>
        <w:t xml:space="preserve">mass </w:t>
      </w:r>
      <w:r w:rsidRPr="00653FA1">
        <w:rPr>
          <w:highlight w:val="yellow"/>
          <w:lang w:val="en-GB"/>
        </w:rPr>
        <w:t>media</w:t>
      </w:r>
      <w:r w:rsidR="00017458" w:rsidRPr="00653FA1">
        <w:rPr>
          <w:highlight w:val="yellow"/>
          <w:lang w:val="en-GB"/>
        </w:rPr>
        <w:t xml:space="preserve">, </w:t>
      </w:r>
      <w:r w:rsidRPr="00653FA1">
        <w:rPr>
          <w:highlight w:val="yellow"/>
          <w:lang w:val="en-GB"/>
        </w:rPr>
        <w:t xml:space="preserve">especially on </w:t>
      </w:r>
      <w:r w:rsidR="00B86E24" w:rsidRPr="00653FA1">
        <w:rPr>
          <w:highlight w:val="yellow"/>
          <w:lang w:val="en-GB"/>
        </w:rPr>
        <w:t>t</w:t>
      </w:r>
      <w:r w:rsidRPr="00653FA1">
        <w:rPr>
          <w:highlight w:val="yellow"/>
          <w:lang w:val="en-GB"/>
        </w:rPr>
        <w:t xml:space="preserve">v have been well </w:t>
      </w:r>
      <w:r w:rsidR="00A46575" w:rsidRPr="00653FA1">
        <w:rPr>
          <w:highlight w:val="yellow"/>
          <w:lang w:val="en-GB"/>
        </w:rPr>
        <w:t>documented</w:t>
      </w:r>
      <w:r w:rsidRPr="00653FA1">
        <w:rPr>
          <w:highlight w:val="yellow"/>
          <w:lang w:val="en-GB"/>
        </w:rPr>
        <w:t xml:space="preserve"> </w:t>
      </w:r>
      <w:r w:rsidR="00B86E24" w:rsidRPr="00653FA1">
        <w:rPr>
          <w:highlight w:val="yellow"/>
          <w:lang w:val="en-GB"/>
        </w:rPr>
        <w:t>over</w:t>
      </w:r>
      <w:r w:rsidRPr="00653FA1">
        <w:rPr>
          <w:highlight w:val="yellow"/>
          <w:lang w:val="en-GB"/>
        </w:rPr>
        <w:t xml:space="preserve"> the last decades </w:t>
      </w:r>
      <w:r w:rsidR="00B86E24" w:rsidRPr="00653FA1">
        <w:rPr>
          <w:highlight w:val="yellow"/>
          <w:lang w:val="en-GB"/>
        </w:rPr>
        <w:t>throughout</w:t>
      </w:r>
      <w:r w:rsidRPr="00653FA1">
        <w:rPr>
          <w:highlight w:val="yellow"/>
          <w:lang w:val="en-GB"/>
        </w:rPr>
        <w:t xml:space="preserve"> different fields of research.</w:t>
      </w:r>
    </w:p>
    <w:p w14:paraId="2104E6AD" w14:textId="1D9A654D" w:rsidR="00856B12" w:rsidRPr="00653FA1" w:rsidRDefault="00856B12">
      <w:pPr>
        <w:rPr>
          <w:highlight w:val="yellow"/>
          <w:lang w:val="en-GB"/>
        </w:rPr>
      </w:pPr>
    </w:p>
    <w:p w14:paraId="472D0E85" w14:textId="5EA3899A" w:rsidR="00B566A9" w:rsidRPr="00653FA1" w:rsidRDefault="00484C35">
      <w:pPr>
        <w:rPr>
          <w:highlight w:val="yellow"/>
          <w:lang w:val="en-GB"/>
        </w:rPr>
      </w:pPr>
      <w:r w:rsidRPr="005562B8">
        <w:rPr>
          <w:highlight w:val="yellow"/>
          <w:lang w:val="en-GB"/>
        </w:rPr>
        <w:t>Gender</w:t>
      </w:r>
      <w:r w:rsidR="00D27EA9" w:rsidRPr="005562B8">
        <w:rPr>
          <w:highlight w:val="yellow"/>
          <w:lang w:val="en-GB"/>
        </w:rPr>
        <w:t xml:space="preserve"> </w:t>
      </w:r>
      <w:r w:rsidR="00A46575" w:rsidRPr="005562B8">
        <w:rPr>
          <w:highlight w:val="yellow"/>
          <w:lang w:val="en-GB"/>
        </w:rPr>
        <w:t>s</w:t>
      </w:r>
      <w:r w:rsidR="00D27EA9" w:rsidRPr="005562B8">
        <w:rPr>
          <w:highlight w:val="yellow"/>
          <w:lang w:val="en-GB"/>
        </w:rPr>
        <w:t xml:space="preserve">tereotypes are widely spread in media in general, as well as </w:t>
      </w:r>
      <w:r w:rsidR="00A722CA" w:rsidRPr="005562B8">
        <w:rPr>
          <w:highlight w:val="yellow"/>
          <w:lang w:val="en-GB"/>
        </w:rPr>
        <w:t>in</w:t>
      </w:r>
      <w:r w:rsidR="00D27EA9" w:rsidRPr="005562B8">
        <w:rPr>
          <w:highlight w:val="yellow"/>
          <w:lang w:val="en-GB"/>
        </w:rPr>
        <w:t xml:space="preserve"> TV shows for children</w:t>
      </w:r>
      <w:r w:rsidR="00781046" w:rsidRPr="00653FA1">
        <w:rPr>
          <w:highlight w:val="yellow"/>
          <w:lang w:val="en-GB"/>
        </w:rPr>
        <w:t>.</w:t>
      </w:r>
      <w:r w:rsidR="009A5DDC" w:rsidRPr="00653FA1">
        <w:rPr>
          <w:highlight w:val="yellow"/>
          <w:lang w:val="en-GB"/>
        </w:rPr>
        <w:t xml:space="preserve"> </w:t>
      </w:r>
    </w:p>
    <w:p w14:paraId="42B58EC1" w14:textId="5024C52B" w:rsidR="00781046" w:rsidRPr="00653FA1" w:rsidRDefault="004E6A43" w:rsidP="00653FA1">
      <w:pPr>
        <w:rPr>
          <w:highlight w:val="yellow"/>
          <w:lang w:val="en-GB"/>
        </w:rPr>
      </w:pPr>
      <w:r w:rsidRPr="001E2659">
        <w:rPr>
          <w:highlight w:val="yellow"/>
          <w:lang w:val="en-GB"/>
        </w:rPr>
        <w:t xml:space="preserve">Often </w:t>
      </w:r>
      <w:r w:rsidR="00781046" w:rsidRPr="001E2659">
        <w:rPr>
          <w:highlight w:val="yellow"/>
          <w:lang w:val="en-GB"/>
        </w:rPr>
        <w:t xml:space="preserve">male characters outnumber female characters by 2:1 (Aubrey &amp; Harrison, 2004), they appear on screen more often, speak more words, ask more </w:t>
      </w:r>
      <w:r w:rsidR="00763975" w:rsidRPr="001E2659">
        <w:rPr>
          <w:highlight w:val="yellow"/>
          <w:lang w:val="en-GB"/>
        </w:rPr>
        <w:t>questions</w:t>
      </w:r>
      <w:r w:rsidR="00763975">
        <w:rPr>
          <w:highlight w:val="yellow"/>
          <w:lang w:val="en-GB"/>
        </w:rPr>
        <w:t xml:space="preserve"> </w:t>
      </w:r>
      <w:r w:rsidR="00781046" w:rsidRPr="001E2659">
        <w:rPr>
          <w:highlight w:val="yellow"/>
          <w:lang w:val="en-GB"/>
        </w:rPr>
        <w:t>and have more questions directed towards them compared to female characters (Biddle 2017).</w:t>
      </w:r>
    </w:p>
    <w:p w14:paraId="40084D07" w14:textId="77777777" w:rsidR="0093391E" w:rsidRPr="00653FA1" w:rsidRDefault="0093391E">
      <w:pPr>
        <w:rPr>
          <w:highlight w:val="yellow"/>
          <w:lang w:val="en-GB"/>
        </w:rPr>
      </w:pPr>
    </w:p>
    <w:p w14:paraId="1FCA362F" w14:textId="22495963" w:rsidR="00AF538C" w:rsidRPr="00653FA1" w:rsidRDefault="00302DBE">
      <w:pPr>
        <w:rPr>
          <w:highlight w:val="yellow"/>
          <w:lang w:val="en-GB"/>
        </w:rPr>
      </w:pPr>
      <w:r w:rsidRPr="00653FA1">
        <w:rPr>
          <w:highlight w:val="yellow"/>
          <w:lang w:val="en-GB"/>
        </w:rPr>
        <w:t>Study Aim:</w:t>
      </w:r>
    </w:p>
    <w:p w14:paraId="72F6ED93" w14:textId="25601EF3" w:rsidR="00302DBE" w:rsidRPr="00653FA1" w:rsidRDefault="000E5454">
      <w:pPr>
        <w:rPr>
          <w:highlight w:val="yellow"/>
          <w:lang w:val="en-GB"/>
        </w:rPr>
      </w:pPr>
      <w:r w:rsidRPr="00653FA1">
        <w:rPr>
          <w:highlight w:val="yellow"/>
          <w:lang w:val="en-GB"/>
        </w:rPr>
        <w:t xml:space="preserve">The aim of the study was to investigate the occurrence of gender bias in popular cartoon series by </w:t>
      </w:r>
      <w:proofErr w:type="spellStart"/>
      <w:r w:rsidRPr="00653FA1">
        <w:rPr>
          <w:highlight w:val="yellow"/>
          <w:lang w:val="en-GB"/>
        </w:rPr>
        <w:t>analyzing</w:t>
      </w:r>
      <w:proofErr w:type="spellEnd"/>
      <w:r w:rsidRPr="00653FA1">
        <w:rPr>
          <w:highlight w:val="yellow"/>
          <w:lang w:val="en-GB"/>
        </w:rPr>
        <w:t xml:space="preserve"> the related transcripts.</w:t>
      </w:r>
    </w:p>
    <w:p w14:paraId="69028063" w14:textId="20043460" w:rsidR="00181182" w:rsidRDefault="00181182">
      <w:pPr>
        <w:rPr>
          <w:lang w:val="en-GB"/>
        </w:rPr>
      </w:pPr>
    </w:p>
    <w:p w14:paraId="5C5A1B9E" w14:textId="77777777" w:rsidR="00181182" w:rsidRDefault="00181182">
      <w:pPr>
        <w:rPr>
          <w:lang w:val="en-US"/>
        </w:rPr>
      </w:pPr>
    </w:p>
    <w:p w14:paraId="68ACB55E" w14:textId="0A3E2D2D" w:rsidR="00B566A9" w:rsidRDefault="00B566A9">
      <w:pPr>
        <w:rPr>
          <w:lang w:val="en-US"/>
        </w:rPr>
      </w:pPr>
      <w:r>
        <w:rPr>
          <w:lang w:val="en-US"/>
        </w:rPr>
        <w:t>LITERATURE</w:t>
      </w:r>
    </w:p>
    <w:p w14:paraId="1B4C3CF3" w14:textId="16A0E7AF" w:rsidR="00071DBC" w:rsidRPr="005B6654" w:rsidRDefault="007D5163" w:rsidP="00B0498D">
      <w:pPr>
        <w:spacing w:before="120" w:line="276" w:lineRule="auto"/>
        <w:ind w:right="-856"/>
        <w:rPr>
          <w:lang w:val="en-GB"/>
        </w:rPr>
      </w:pPr>
      <w:r>
        <w:rPr>
          <w:lang w:val="en-GB"/>
        </w:rPr>
        <w:t xml:space="preserve">[1] </w:t>
      </w:r>
      <w:r w:rsidR="00071DBC" w:rsidRPr="005B6654">
        <w:rPr>
          <w:lang w:val="en-GB"/>
        </w:rPr>
        <w:t xml:space="preserve">Aubrey, J. S., &amp; Harrison, K. (2004). The Gender-Role Content of Children's </w:t>
      </w:r>
      <w:proofErr w:type="spellStart"/>
      <w:r w:rsidR="00071DBC" w:rsidRPr="005B6654">
        <w:rPr>
          <w:lang w:val="en-GB"/>
        </w:rPr>
        <w:t>Favorite</w:t>
      </w:r>
      <w:proofErr w:type="spellEnd"/>
      <w:r w:rsidR="00071DBC" w:rsidRPr="005B6654">
        <w:rPr>
          <w:lang w:val="en-GB"/>
        </w:rPr>
        <w:t xml:space="preserve"> Television Programs and Its Links to Their Gender-Related Perceptions. Media Psychology, 6(2), 111–146. </w:t>
      </w:r>
      <w:hyperlink r:id="rId5" w:tgtFrame="_blank" w:history="1">
        <w:r w:rsidR="00071DBC" w:rsidRPr="005B6654">
          <w:rPr>
            <w:lang w:val="en-GB"/>
          </w:rPr>
          <w:t>https://doi.org/10.1207/s1532785xmep0602_1</w:t>
        </w:r>
      </w:hyperlink>
    </w:p>
    <w:p w14:paraId="56CAEC73" w14:textId="35E4E71D" w:rsidR="00071DBC" w:rsidRPr="005B6654" w:rsidRDefault="007D5163" w:rsidP="00B0498D">
      <w:pPr>
        <w:spacing w:before="120" w:line="276" w:lineRule="auto"/>
        <w:ind w:right="-856"/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>2</w:t>
      </w:r>
      <w:r>
        <w:rPr>
          <w:lang w:val="en-GB"/>
        </w:rPr>
        <w:t xml:space="preserve">] </w:t>
      </w:r>
      <w:bookmarkStart w:id="0" w:name="_GoBack"/>
      <w:bookmarkEnd w:id="0"/>
      <w:r w:rsidR="00071DBC" w:rsidRPr="005B6654">
        <w:rPr>
          <w:lang w:val="en-GB"/>
        </w:rPr>
        <w:t xml:space="preserve">Baker, K., &amp; Raney, A. A. (2007). Equally </w:t>
      </w:r>
      <w:proofErr w:type="gramStart"/>
      <w:r w:rsidR="00071DBC" w:rsidRPr="005B6654">
        <w:rPr>
          <w:lang w:val="en-GB"/>
        </w:rPr>
        <w:t>super?:</w:t>
      </w:r>
      <w:proofErr w:type="gramEnd"/>
      <w:r w:rsidR="00071DBC" w:rsidRPr="005B6654">
        <w:rPr>
          <w:lang w:val="en-GB"/>
        </w:rPr>
        <w:t xml:space="preserve"> Gender-role stereotyping of superheroes in children’s animated programs. Mass Communication &amp; Society, 10(1), 25-41. DOI: </w:t>
      </w:r>
      <w:hyperlink r:id="rId6" w:history="1">
        <w:r w:rsidR="00071DBC" w:rsidRPr="005B6654">
          <w:rPr>
            <w:lang w:val="en-GB"/>
          </w:rPr>
          <w:t>10.1080/15205430709337003</w:t>
        </w:r>
      </w:hyperlink>
    </w:p>
    <w:p w14:paraId="41DDDE21" w14:textId="7211949B" w:rsidR="00071DBC" w:rsidRPr="005B6654" w:rsidRDefault="007D5163" w:rsidP="00B0498D">
      <w:pPr>
        <w:spacing w:before="120" w:line="276" w:lineRule="auto"/>
        <w:ind w:right="-856"/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>3</w:t>
      </w:r>
      <w:r>
        <w:rPr>
          <w:lang w:val="en-GB"/>
        </w:rPr>
        <w:t xml:space="preserve">] </w:t>
      </w:r>
      <w:r w:rsidR="00071DBC" w:rsidRPr="005B6654">
        <w:rPr>
          <w:lang w:val="en-GB"/>
        </w:rPr>
        <w:t xml:space="preserve">Bandura, A. (1965). Influence of models' reinforcement contingencies on the acquisition of imitative responses. Journal of Personality and Social Psychology, 1(6), 589–595. </w:t>
      </w:r>
      <w:hyperlink r:id="rId7" w:tgtFrame="_blank" w:history="1">
        <w:r w:rsidR="00071DBC" w:rsidRPr="005B6654">
          <w:rPr>
            <w:lang w:val="en-GB"/>
          </w:rPr>
          <w:t>https://doi.org/10.1037/h0022070</w:t>
        </w:r>
      </w:hyperlink>
    </w:p>
    <w:p w14:paraId="779F7678" w14:textId="39B709F7" w:rsidR="00071DBC" w:rsidRPr="005B6654" w:rsidRDefault="007D5163" w:rsidP="00B0498D">
      <w:pPr>
        <w:spacing w:before="120" w:line="276" w:lineRule="auto"/>
        <w:ind w:right="-856"/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>4</w:t>
      </w:r>
      <w:r>
        <w:rPr>
          <w:lang w:val="en-GB"/>
        </w:rPr>
        <w:t xml:space="preserve">] </w:t>
      </w:r>
      <w:r w:rsidR="00071DBC" w:rsidRPr="005B6654">
        <w:rPr>
          <w:lang w:val="en-GB"/>
        </w:rPr>
        <w:t xml:space="preserve">Biddle, A. M. (2017). Gender Stereotypes within TV shows for </w:t>
      </w:r>
      <w:proofErr w:type="spellStart"/>
      <w:r w:rsidR="00071DBC" w:rsidRPr="005B6654">
        <w:rPr>
          <w:lang w:val="en-GB"/>
        </w:rPr>
        <w:t>Preschoolers</w:t>
      </w:r>
      <w:proofErr w:type="spellEnd"/>
      <w:r w:rsidR="00071DBC" w:rsidRPr="005B6654">
        <w:rPr>
          <w:lang w:val="en-GB"/>
        </w:rPr>
        <w:t xml:space="preserve"> and their Effects on Children's Stereotypes, ProQuest Dissertations Publishing. http://hdl.handle.net/10125/62738</w:t>
      </w:r>
    </w:p>
    <w:p w14:paraId="3B90DBAB" w14:textId="3E061695" w:rsidR="00071DBC" w:rsidRPr="005B6654" w:rsidRDefault="007D5163" w:rsidP="00B0498D">
      <w:pPr>
        <w:spacing w:before="120" w:line="276" w:lineRule="auto"/>
        <w:ind w:right="-856"/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>5</w:t>
      </w:r>
      <w:r>
        <w:rPr>
          <w:lang w:val="en-GB"/>
        </w:rPr>
        <w:t xml:space="preserve">] </w:t>
      </w:r>
      <w:r w:rsidR="00071DBC" w:rsidRPr="005B6654">
        <w:rPr>
          <w:lang w:val="en-GB"/>
        </w:rPr>
        <w:t>Bussey, K., &amp; Bandura, A. (1999). Social cognitive theory of gender development and</w:t>
      </w:r>
      <w:r w:rsidR="00071DBC" w:rsidRPr="005B6654">
        <w:rPr>
          <w:lang w:val="en-GB"/>
        </w:rPr>
        <w:br/>
        <w:t>differentiation. Psychological Review, 106, 676-713.</w:t>
      </w:r>
    </w:p>
    <w:p w14:paraId="129E7AA1" w14:textId="64D32E6E" w:rsidR="004B5472" w:rsidRDefault="004B5472">
      <w:pPr>
        <w:rPr>
          <w:lang w:val="en-GB"/>
        </w:rPr>
      </w:pPr>
    </w:p>
    <w:p w14:paraId="14A917CB" w14:textId="36027474" w:rsidR="004B5472" w:rsidRDefault="004B5472">
      <w:pPr>
        <w:rPr>
          <w:lang w:val="en-GB"/>
        </w:rPr>
      </w:pPr>
    </w:p>
    <w:p w14:paraId="173A5857" w14:textId="77777777" w:rsidR="004B5472" w:rsidRDefault="004B5472">
      <w:pPr>
        <w:rPr>
          <w:lang w:val="en-GB"/>
        </w:rPr>
      </w:pPr>
    </w:p>
    <w:p w14:paraId="11BA3850" w14:textId="300F034B" w:rsidR="005562B8" w:rsidRDefault="005562B8">
      <w:pPr>
        <w:rPr>
          <w:lang w:val="en-GB"/>
        </w:rPr>
      </w:pPr>
    </w:p>
    <w:p w14:paraId="4AFE30DB" w14:textId="2B65DC63" w:rsidR="005562B8" w:rsidRDefault="005562B8">
      <w:pPr>
        <w:rPr>
          <w:lang w:val="en-GB"/>
        </w:rPr>
      </w:pPr>
      <w:r>
        <w:rPr>
          <w:lang w:val="en-GB"/>
        </w:rPr>
        <w:t>Presentation</w:t>
      </w:r>
    </w:p>
    <w:p w14:paraId="7DC486AC" w14:textId="776F63FA" w:rsidR="005562B8" w:rsidRDefault="005562B8">
      <w:pPr>
        <w:rPr>
          <w:lang w:val="en-GB"/>
        </w:rPr>
      </w:pPr>
    </w:p>
    <w:p w14:paraId="5576DD84" w14:textId="77777777" w:rsidR="005562B8" w:rsidRDefault="005562B8" w:rsidP="005562B8">
      <w:pPr>
        <w:rPr>
          <w:lang w:val="en-US"/>
        </w:rPr>
      </w:pPr>
      <w:r>
        <w:rPr>
          <w:lang w:val="en-US"/>
        </w:rPr>
        <w:t>Introduction</w:t>
      </w:r>
    </w:p>
    <w:p w14:paraId="4C1D05B1" w14:textId="77777777" w:rsidR="005562B8" w:rsidRDefault="005562B8" w:rsidP="005562B8">
      <w:pPr>
        <w:rPr>
          <w:lang w:val="en-US"/>
        </w:rPr>
      </w:pPr>
      <w:r w:rsidRPr="000A7877">
        <w:rPr>
          <w:lang w:val="en-US"/>
        </w:rPr>
        <w:lastRenderedPageBreak/>
        <w:t xml:space="preserve">Without a doubt, television programs have a high identifying influence on children. E.g. according to the Washington Post, it was observed that </w:t>
      </w:r>
      <w:proofErr w:type="spellStart"/>
      <w:r>
        <w:rPr>
          <w:lang w:val="en-US"/>
        </w:rPr>
        <w:t>a</w:t>
      </w:r>
      <w:r w:rsidRPr="000A7877">
        <w:rPr>
          <w:lang w:val="en-US"/>
        </w:rPr>
        <w:t>merican</w:t>
      </w:r>
      <w:proofErr w:type="spellEnd"/>
      <w:r w:rsidRPr="000A7877">
        <w:rPr>
          <w:lang w:val="en-US"/>
        </w:rPr>
        <w:t xml:space="preserve"> children began to speak with a British accent</w:t>
      </w:r>
      <w:r>
        <w:rPr>
          <w:lang w:val="en-US"/>
        </w:rPr>
        <w:t xml:space="preserve">, </w:t>
      </w:r>
      <w:r w:rsidRPr="000A7877">
        <w:rPr>
          <w:lang w:val="en-US"/>
        </w:rPr>
        <w:t xml:space="preserve">during </w:t>
      </w:r>
      <w:r>
        <w:rPr>
          <w:lang w:val="en-US"/>
        </w:rPr>
        <w:t xml:space="preserve">the </w:t>
      </w:r>
      <w:r w:rsidRPr="000A7877">
        <w:rPr>
          <w:lang w:val="en-US"/>
        </w:rPr>
        <w:t xml:space="preserve">pandemic, because Peppa Pig </w:t>
      </w:r>
      <w:r>
        <w:rPr>
          <w:lang w:val="en-US"/>
        </w:rPr>
        <w:t>was highly demanded and so watched</w:t>
      </w:r>
      <w:r w:rsidRPr="000A7877">
        <w:rPr>
          <w:lang w:val="en-US"/>
        </w:rPr>
        <w:t xml:space="preserve"> </w:t>
      </w:r>
      <w:r>
        <w:rPr>
          <w:lang w:val="en-US"/>
        </w:rPr>
        <w:t xml:space="preserve">by </w:t>
      </w:r>
      <w:r w:rsidRPr="000A7877">
        <w:rPr>
          <w:lang w:val="en-US"/>
        </w:rPr>
        <w:t>the age group</w:t>
      </w:r>
      <w:r>
        <w:rPr>
          <w:lang w:val="en-US"/>
        </w:rPr>
        <w:t xml:space="preserve"> in preschool children</w:t>
      </w:r>
    </w:p>
    <w:p w14:paraId="075B5274" w14:textId="77777777" w:rsidR="005562B8" w:rsidRPr="00767361" w:rsidRDefault="005562B8">
      <w:pPr>
        <w:rPr>
          <w:lang w:val="en-US"/>
        </w:rPr>
      </w:pPr>
    </w:p>
    <w:sectPr w:rsidR="005562B8" w:rsidRPr="00767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91AE9"/>
    <w:multiLevelType w:val="hybridMultilevel"/>
    <w:tmpl w:val="FF168760"/>
    <w:lvl w:ilvl="0" w:tplc="DF4268C6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61"/>
    <w:rsid w:val="00017458"/>
    <w:rsid w:val="00071DBC"/>
    <w:rsid w:val="000A7877"/>
    <w:rsid w:val="000C36F3"/>
    <w:rsid w:val="000E20B9"/>
    <w:rsid w:val="000E5454"/>
    <w:rsid w:val="00181182"/>
    <w:rsid w:val="001B218B"/>
    <w:rsid w:val="001D3D78"/>
    <w:rsid w:val="001E2659"/>
    <w:rsid w:val="001E762A"/>
    <w:rsid w:val="002128E8"/>
    <w:rsid w:val="00233D9F"/>
    <w:rsid w:val="00272AE9"/>
    <w:rsid w:val="002958EE"/>
    <w:rsid w:val="00302DBE"/>
    <w:rsid w:val="00307842"/>
    <w:rsid w:val="00331AB6"/>
    <w:rsid w:val="003B7AF4"/>
    <w:rsid w:val="0043732F"/>
    <w:rsid w:val="004572A0"/>
    <w:rsid w:val="00470A1E"/>
    <w:rsid w:val="00474C5F"/>
    <w:rsid w:val="00484C35"/>
    <w:rsid w:val="004A0E4C"/>
    <w:rsid w:val="004B5472"/>
    <w:rsid w:val="004E6A43"/>
    <w:rsid w:val="004F4709"/>
    <w:rsid w:val="00501AF0"/>
    <w:rsid w:val="005562B8"/>
    <w:rsid w:val="005D50D3"/>
    <w:rsid w:val="00653FA1"/>
    <w:rsid w:val="00763975"/>
    <w:rsid w:val="00767361"/>
    <w:rsid w:val="00780CB1"/>
    <w:rsid w:val="00781046"/>
    <w:rsid w:val="007D5163"/>
    <w:rsid w:val="00812334"/>
    <w:rsid w:val="008178D4"/>
    <w:rsid w:val="008327B5"/>
    <w:rsid w:val="00856B12"/>
    <w:rsid w:val="008B2D0F"/>
    <w:rsid w:val="00900A78"/>
    <w:rsid w:val="0093391E"/>
    <w:rsid w:val="009A5DDC"/>
    <w:rsid w:val="00A35F73"/>
    <w:rsid w:val="00A46575"/>
    <w:rsid w:val="00A722CA"/>
    <w:rsid w:val="00AF538C"/>
    <w:rsid w:val="00B0498D"/>
    <w:rsid w:val="00B361E2"/>
    <w:rsid w:val="00B44DEE"/>
    <w:rsid w:val="00B566A9"/>
    <w:rsid w:val="00B86E24"/>
    <w:rsid w:val="00BA75C5"/>
    <w:rsid w:val="00BD13E6"/>
    <w:rsid w:val="00C05189"/>
    <w:rsid w:val="00D27EA9"/>
    <w:rsid w:val="00D31955"/>
    <w:rsid w:val="00D51BCC"/>
    <w:rsid w:val="00DA74BC"/>
    <w:rsid w:val="00DD7EED"/>
    <w:rsid w:val="00E048CF"/>
    <w:rsid w:val="00E40990"/>
    <w:rsid w:val="00E5771C"/>
    <w:rsid w:val="00E926D4"/>
    <w:rsid w:val="00EE387E"/>
    <w:rsid w:val="00F5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00310"/>
  <w15:chartTrackingRefBased/>
  <w15:docId w15:val="{A477C198-DFEB-B441-89CE-F72C20F8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ycnet.apa.org/doi/10.1037/h0022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5205430709337003" TargetMode="External"/><Relationship Id="rId5" Type="http://schemas.openxmlformats.org/officeDocument/2006/relationships/hyperlink" Target="https://psycnet.apa.org/doi/10.1207/s1532785xmep0602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68</cp:revision>
  <dcterms:created xsi:type="dcterms:W3CDTF">2022-06-07T19:43:00Z</dcterms:created>
  <dcterms:modified xsi:type="dcterms:W3CDTF">2022-06-08T09:02:00Z</dcterms:modified>
</cp:coreProperties>
</file>