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GD303 激光测距仪测试工具</w:t>
      </w:r>
    </w:p>
    <w:p>
      <w:pPr>
        <w:pStyle w:val="Heading1"/>
        <w:jc w:val="center"/>
      </w:pPr>
      <w:r>
        <w:t>通信协议说明书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GD303-PROTO-001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2026年3月30日</w:t>
            </w:r>
          </w:p>
        </w:tc>
      </w:tr>
      <w:tr>
        <w:tc>
          <w:tcPr>
            <w:tcW w:type="dxa" w:w="4320"/>
          </w:tcPr>
          <w:p>
            <w:r>
              <w:t>适用产品</w:t>
            </w:r>
          </w:p>
        </w:tc>
        <w:tc>
          <w:tcPr>
            <w:tcW w:type="dxa" w:w="4320"/>
          </w:tcPr>
          <w:p>
            <w:r>
              <w:t>GD303 激光测距测试工具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一、概述</w:t>
      </w:r>
    </w:p>
    <w:p>
      <w:r>
        <w:t>本文档描述 GD303 激光测距测试工具的串口通信协议，用于上位机软件与测试设备之间的数据交互。</w:t>
      </w:r>
    </w:p>
    <w:p>
      <w:pPr>
        <w:pStyle w:val="Heading2"/>
      </w:pPr>
      <w:r>
        <w:t>1.1 适用范围</w:t>
      </w:r>
    </w:p>
    <w:p>
      <w:r>
        <w:t>• 产品测试</w:t>
        <w:br/>
        <w:t>• 功能验证</w:t>
        <w:br/>
        <w:t>• 生产检测</w:t>
      </w:r>
    </w:p>
    <w:p>
      <w:pPr>
        <w:pStyle w:val="Heading2"/>
      </w:pPr>
      <w:r>
        <w:t>1.2 通信参数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设置值</w:t>
            </w:r>
          </w:p>
        </w:tc>
      </w:tr>
      <w:tr>
        <w:tc>
          <w:tcPr>
            <w:tcW w:type="dxa" w:w="4320"/>
          </w:tcPr>
          <w:p>
            <w:r>
              <w:t>波特率</w:t>
            </w:r>
          </w:p>
        </w:tc>
        <w:tc>
          <w:tcPr>
            <w:tcW w:type="dxa" w:w="4320"/>
          </w:tcPr>
          <w:p>
            <w:r>
              <w:t>115200 bps</w:t>
            </w:r>
          </w:p>
        </w:tc>
      </w:tr>
      <w:tr>
        <w:tc>
          <w:tcPr>
            <w:tcW w:type="dxa" w:w="4320"/>
          </w:tcPr>
          <w:p>
            <w:r>
              <w:t>数据位</w:t>
            </w:r>
          </w:p>
        </w:tc>
        <w:tc>
          <w:tcPr>
            <w:tcW w:type="dxa" w:w="4320"/>
          </w:tcPr>
          <w:p>
            <w:r>
              <w:t>8 位</w:t>
            </w:r>
          </w:p>
        </w:tc>
      </w:tr>
      <w:tr>
        <w:tc>
          <w:tcPr>
            <w:tcW w:type="dxa" w:w="4320"/>
          </w:tcPr>
          <w:p>
            <w:r>
              <w:t>停止位</w:t>
            </w:r>
          </w:p>
        </w:tc>
        <w:tc>
          <w:tcPr>
            <w:tcW w:type="dxa" w:w="4320"/>
          </w:tcPr>
          <w:p>
            <w:r>
              <w:t>1 位</w:t>
            </w:r>
          </w:p>
        </w:tc>
      </w:tr>
      <w:tr>
        <w:tc>
          <w:tcPr>
            <w:tcW w:type="dxa" w:w="4320"/>
          </w:tcPr>
          <w:p>
            <w:r>
              <w:t>校验位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  <w:tr>
        <w:tc>
          <w:tcPr>
            <w:tcW w:type="dxa" w:w="4320"/>
          </w:tcPr>
          <w:p>
            <w:r>
              <w:t>流控制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</w:tbl>
    <w:p>
      <w:r>
        <w:br w:type="page"/>
      </w:r>
    </w:p>
    <w:p>
      <w:pPr>
        <w:pStyle w:val="Heading1"/>
      </w:pPr>
      <w:r>
        <w:t>二、协议帧格式</w:t>
      </w:r>
    </w:p>
    <w:p>
      <w:pPr>
        <w:pStyle w:val="Heading2"/>
      </w:pPr>
      <w:r>
        <w:t>2.1 命令帧结构</w:t>
      </w:r>
    </w:p>
    <w:p>
      <w:r>
        <w:t>所有命令采用 10 字节固定长度帧：</w:t>
      </w:r>
    </w:p>
    <w:p>
      <w:r>
        <w:rPr>
          <w:rFonts w:ascii="Courier New" w:hAnsi="Courier New"/>
        </w:rPr>
        <w:t>AA EE [CMD] [D0] [D1] [D2] [D3] [XOR] BB FF</w:t>
      </w:r>
    </w:p>
    <w:p>
      <w:pPr>
        <w:pStyle w:val="Heading2"/>
      </w:pPr>
      <w:r>
        <w:t>2.2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字节位置</w:t>
            </w:r>
          </w:p>
        </w:tc>
        <w:tc>
          <w:tcPr>
            <w:tcW w:type="dxa" w:w="2160"/>
          </w:tcPr>
          <w:p>
            <w:r>
              <w:t>长度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帧头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2 字节</w:t>
            </w:r>
          </w:p>
        </w:tc>
        <w:tc>
          <w:tcPr>
            <w:tcW w:type="dxa" w:w="2160"/>
          </w:tcPr>
          <w:p>
            <w:r>
              <w:t>固定为 AA EE</w:t>
            </w:r>
          </w:p>
        </w:tc>
      </w:tr>
      <w:tr>
        <w:tc>
          <w:tcPr>
            <w:tcW w:type="dxa" w:w="2160"/>
          </w:tcPr>
          <w:p>
            <w:r>
              <w:t>命令码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 字节</w:t>
            </w:r>
          </w:p>
        </w:tc>
        <w:tc>
          <w:tcPr>
            <w:tcW w:type="dxa" w:w="2160"/>
          </w:tcPr>
          <w:p>
            <w:r>
              <w:t>功能命令代码</w:t>
            </w:r>
          </w:p>
        </w:tc>
      </w:tr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3-6</w:t>
            </w:r>
          </w:p>
        </w:tc>
        <w:tc>
          <w:tcPr>
            <w:tcW w:type="dxa" w:w="2160"/>
          </w:tcPr>
          <w:p>
            <w:r>
              <w:t>4 字节</w:t>
            </w:r>
          </w:p>
        </w:tc>
        <w:tc>
          <w:tcPr>
            <w:tcW w:type="dxa" w:w="2160"/>
          </w:tcPr>
          <w:p>
            <w:r>
              <w:t>命令参数（D0~D3）</w:t>
            </w:r>
          </w:p>
        </w:tc>
      </w:tr>
      <w:tr>
        <w:tc>
          <w:tcPr>
            <w:tcW w:type="dxa" w:w="2160"/>
          </w:tcPr>
          <w:p>
            <w:r>
              <w:t>校验码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 字节</w:t>
            </w:r>
          </w:p>
        </w:tc>
        <w:tc>
          <w:tcPr>
            <w:tcW w:type="dxa" w:w="2160"/>
          </w:tcPr>
          <w:p>
            <w:r>
              <w:t>XOR = CMD ^ D0 ^ D1 ^ D2 ^ D3</w:t>
            </w:r>
          </w:p>
        </w:tc>
      </w:tr>
      <w:tr>
        <w:tc>
          <w:tcPr>
            <w:tcW w:type="dxa" w:w="2160"/>
          </w:tcPr>
          <w:p>
            <w:r>
              <w:t>帧尾</w:t>
            </w:r>
          </w:p>
        </w:tc>
        <w:tc>
          <w:tcPr>
            <w:tcW w:type="dxa" w:w="2160"/>
          </w:tcPr>
          <w:p>
            <w:r>
              <w:t>8-9</w:t>
            </w:r>
          </w:p>
        </w:tc>
        <w:tc>
          <w:tcPr>
            <w:tcW w:type="dxa" w:w="2160"/>
          </w:tcPr>
          <w:p>
            <w:r>
              <w:t>2 字节</w:t>
            </w:r>
          </w:p>
        </w:tc>
        <w:tc>
          <w:tcPr>
            <w:tcW w:type="dxa" w:w="2160"/>
          </w:tcPr>
          <w:p>
            <w:r>
              <w:t>固定为 BB FF</w:t>
            </w:r>
          </w:p>
        </w:tc>
      </w:tr>
    </w:tbl>
    <w:p>
      <w:pPr>
        <w:pStyle w:val="Heading2"/>
      </w:pPr>
      <w:r>
        <w:t>2.3 响应帧结构</w:t>
      </w:r>
    </w:p>
    <w:p>
      <w:r>
        <w:t>设备响应帧格式与命令帧相同，但帧头第二字节为 FE：</w:t>
      </w:r>
    </w:p>
    <w:p>
      <w:r>
        <w:rPr>
          <w:rFonts w:ascii="Courier New" w:hAnsi="Courier New"/>
        </w:rPr>
        <w:t>AA FE [CMD] [D0] [D1] [D2] [D3] [XOR] BB FF</w:t>
      </w:r>
    </w:p>
    <w:p>
      <w:r>
        <w:br w:type="page"/>
      </w:r>
    </w:p>
    <w:p>
      <w:pPr>
        <w:pStyle w:val="Heading1"/>
      </w:pPr>
      <w:r>
        <w:t>三、测试命令详解</w:t>
      </w:r>
    </w:p>
    <w:p>
      <w:pPr>
        <w:pStyle w:val="Heading2"/>
      </w:pPr>
      <w:r>
        <w:t>3.1 开启激光</w:t>
      </w:r>
    </w:p>
    <w:p>
      <w:r>
        <w:t>功能：开启激光器，准备进行测距操作</w:t>
      </w:r>
    </w:p>
    <w:p>
      <w:r>
        <w:t>命令码：0xF0</w:t>
      </w:r>
    </w:p>
    <w:p>
      <w:r>
        <w:t>命令帧：</w:t>
      </w:r>
      <w:r>
        <w:rPr>
          <w:rFonts w:ascii="Courier New" w:hAnsi="Courier New"/>
          <w:sz w:val="20"/>
        </w:rPr>
        <w:br/>
        <w:t>AA EE F0 00 00 00 00 F0 BB FF</w:t>
      </w:r>
    </w:p>
    <w:p>
      <w:r>
        <w:t>响应帧：</w:t>
      </w:r>
      <w:r>
        <w:rPr>
          <w:rFonts w:ascii="Courier New" w:hAnsi="Courier New"/>
          <w:sz w:val="20"/>
        </w:rPr>
        <w:br/>
        <w:t>AA FE F0 00 00 00 00 F0 BB FF</w:t>
      </w:r>
    </w:p>
    <w:p>
      <w:r>
        <w:t>说明：</w:t>
      </w:r>
    </w:p>
    <w:p>
      <w:r>
        <w:t>• 发送此命令后，设备激光器将被激活</w:t>
        <w:br/>
        <w:t>• 建议在测距前 100ms 发送此命令</w:t>
        <w:br/>
        <w:t>• 激光开启后会有指示灯显示</w:t>
      </w:r>
    </w:p>
    <w:p>
      <w:pPr>
        <w:pStyle w:val="Heading2"/>
      </w:pPr>
      <w:r>
        <w:t>3.2 关闭激光</w:t>
      </w:r>
    </w:p>
    <w:p>
      <w:r>
        <w:t>功能：关闭激光器</w:t>
      </w:r>
    </w:p>
    <w:p>
      <w:r>
        <w:t>命令码：0xF6</w:t>
      </w:r>
    </w:p>
    <w:p>
      <w:r>
        <w:t>命令帧：</w:t>
      </w:r>
      <w:r>
        <w:rPr>
          <w:rFonts w:ascii="Courier New" w:hAnsi="Courier New"/>
          <w:sz w:val="20"/>
        </w:rPr>
        <w:br/>
        <w:t>AA EE F6 00 00 00 00 F6 BB FF</w:t>
      </w:r>
    </w:p>
    <w:p>
      <w:r>
        <w:t>响应帧：</w:t>
      </w:r>
      <w:r>
        <w:rPr>
          <w:rFonts w:ascii="Courier New" w:hAnsi="Courier New"/>
          <w:sz w:val="20"/>
        </w:rPr>
        <w:br/>
        <w:t>AA FE F6 00 00 00 00 F6 BB FF</w:t>
      </w:r>
    </w:p>
    <w:p>
      <w:r>
        <w:t>说明：</w:t>
      </w:r>
    </w:p>
    <w:p>
      <w:r>
        <w:t>• 测试完成后应及时关闭激光</w:t>
        <w:br/>
        <w:t>• 关闭激光可降低功耗，延长设备寿命</w:t>
        <w:br/>
        <w:t>• 设备空闲时会自动关闭激光</w:t>
      </w:r>
    </w:p>
    <w:p>
      <w:r>
        <w:br w:type="page"/>
      </w:r>
    </w:p>
    <w:p>
      <w:pPr>
        <w:pStyle w:val="Heading2"/>
      </w:pPr>
      <w:r>
        <w:t>3.3 单次测距（FB命令）</w:t>
      </w:r>
    </w:p>
    <w:p>
      <w:r>
        <w:t>功能：执行一次距离测量并返回结果</w:t>
      </w:r>
    </w:p>
    <w:p>
      <w:r>
        <w:t>命令码：0xFB</w:t>
      </w:r>
    </w:p>
    <w:p>
      <w:r>
        <w:t>命令帧：</w:t>
      </w:r>
      <w:r>
        <w:rPr>
          <w:rFonts w:ascii="Courier New" w:hAnsi="Courier New"/>
          <w:sz w:val="20"/>
        </w:rPr>
        <w:br/>
        <w:t>AA EE FB 00 00 00 00 FB BB FF</w:t>
      </w:r>
    </w:p>
    <w:p>
      <w:r>
        <w:t>响应帧：</w:t>
      </w:r>
      <w:r>
        <w:rPr>
          <w:rFonts w:ascii="Courier New" w:hAnsi="Courier New"/>
          <w:sz w:val="20"/>
        </w:rPr>
        <w:br/>
        <w:t>AA FE FB [D0] [D1] [D2] [D3] [XOR] BB FF</w:t>
      </w:r>
    </w:p>
    <w:p>
      <w:r>
        <w:t>返回数据说明：</w:t>
      </w:r>
    </w:p>
    <w:p>
      <w:r>
        <w:t>• [D0] [D1] [D2] [D3]：32位距离值（单位：毫米）</w:t>
        <w:br/>
        <w:t>• 数据格式：小端序（低字节在前）</w:t>
        <w:br/>
        <w:t>• 测量范围：0.05m ~ 100m</w:t>
        <w:br/>
        <w:t>• 精度：±1mm</w:t>
      </w:r>
    </w:p>
    <w:p>
      <w:r>
        <w:t>数据解析示例：</w:t>
      </w:r>
    </w:p>
    <w:p>
      <w:r>
        <w:t>示例1：测量 10 米</w:t>
      </w:r>
      <w:r>
        <w:rPr>
          <w:rFonts w:ascii="Courier New" w:hAnsi="Courier New"/>
          <w:sz w:val="18"/>
        </w:rPr>
        <w:br/>
        <w:t>响应: AA FE FB 10 27 00 00 37 BB FF</w:t>
        <w:br/>
        <w:br/>
        <w:t>解析:</w:t>
        <w:br/>
        <w:t xml:space="preserve">  D0 = 0x10 = 16</w:t>
        <w:br/>
        <w:t xml:space="preserve">  D1 = 0x27 = 39</w:t>
        <w:br/>
        <w:t xml:space="preserve">  D2 = 0x00 = 0</w:t>
        <w:br/>
        <w:t xml:space="preserve">  D3 = 0x00 = 0</w:t>
        <w:br/>
        <w:t xml:space="preserve">  </w:t>
        <w:br/>
        <w:t>距离 = 0x00002710 = 10000 mm = 10.000 m</w:t>
      </w:r>
    </w:p>
    <w:p>
      <w:r>
        <w:t>示例2：测量 1.5 米</w:t>
      </w:r>
      <w:r>
        <w:rPr>
          <w:rFonts w:ascii="Courier New" w:hAnsi="Courier New"/>
          <w:sz w:val="18"/>
        </w:rPr>
        <w:br/>
        <w:t>响应: AA FE FB DC 05 00 00 D9 BB FF</w:t>
        <w:br/>
        <w:br/>
        <w:t>距离 = 0x000005DC = 1500 mm = 1.500 m</w:t>
      </w:r>
    </w:p>
    <w:p>
      <w:r>
        <w:br w:type="page"/>
      </w:r>
    </w:p>
    <w:p>
      <w:pPr>
        <w:pStyle w:val="Heading2"/>
      </w:pPr>
      <w:r>
        <w:t>3.4 心跳查询</w:t>
      </w:r>
    </w:p>
    <w:p>
      <w:r>
        <w:t>功能：检测设备连接状态</w:t>
      </w:r>
    </w:p>
    <w:p>
      <w:r>
        <w:t>命令码：0xF8</w:t>
      </w:r>
    </w:p>
    <w:p>
      <w:r>
        <w:t>命令帧：</w:t>
      </w:r>
      <w:r>
        <w:rPr>
          <w:rFonts w:ascii="Courier New" w:hAnsi="Courier New"/>
          <w:sz w:val="20"/>
        </w:rPr>
        <w:br/>
        <w:t>AA EE F8 00 00 00 00 F8 BB FF</w:t>
      </w:r>
    </w:p>
    <w:p>
      <w:r>
        <w:t>说明：</w:t>
      </w:r>
    </w:p>
    <w:p>
      <w:r>
        <w:t>• 用于检测设备是否在线</w:t>
        <w:br/>
        <w:t>• 建议每 5 秒发送一次心跳</w:t>
        <w:br/>
        <w:t>• 无响应表示设备离线或通信异常</w:t>
      </w:r>
    </w:p>
    <w:p>
      <w:pPr>
        <w:pStyle w:val="Heading2"/>
      </w:pPr>
      <w:r>
        <w:t>3.5 获取设备信息</w:t>
      </w:r>
    </w:p>
    <w:p>
      <w:r>
        <w:t>功能：读取设备版本、序列号等信息</w:t>
      </w:r>
    </w:p>
    <w:p>
      <w:r>
        <w:t>命令码：0xF7</w:t>
      </w:r>
    </w:p>
    <w:p>
      <w:r>
        <w:t>命令帧：</w:t>
      </w:r>
      <w:r>
        <w:rPr>
          <w:rFonts w:ascii="Courier New" w:hAnsi="Courier New"/>
          <w:sz w:val="20"/>
        </w:rPr>
        <w:br/>
        <w:t>AA EE F7 00 00 00 00 F7 BB FF</w:t>
      </w:r>
    </w:p>
    <w:p>
      <w:r>
        <w:t>响应：返回 48 字节设备信息（包含固件版本、硬件版本、序列号等）</w:t>
      </w:r>
    </w:p>
    <w:p>
      <w:r>
        <w:br w:type="page"/>
      </w:r>
    </w:p>
    <w:p>
      <w:pPr>
        <w:pStyle w:val="Heading1"/>
      </w:pPr>
      <w:r>
        <w:t>四、测试流程</w:t>
      </w:r>
    </w:p>
    <w:p>
      <w:pPr>
        <w:pStyle w:val="Heading2"/>
      </w:pPr>
      <w:r>
        <w:t>4.1 标准测试流程</w:t>
      </w:r>
    </w:p>
    <w:p>
      <w:pPr>
        <w:pStyle w:val="ListNumber"/>
      </w:pPr>
      <w:r>
        <w:t>1. 打开串口（115200, 8N1）</w:t>
      </w:r>
    </w:p>
    <w:p>
      <w:pPr>
        <w:pStyle w:val="ListNumber"/>
      </w:pPr>
      <w:r>
        <w:t>2. 发送心跳命令 (0xF8) 确认连接</w:t>
      </w:r>
    </w:p>
    <w:p>
      <w:pPr>
        <w:pStyle w:val="ListNumber"/>
      </w:pPr>
      <w:r>
        <w:t>3. 发送开启激光命令 (0xF0)</w:t>
      </w:r>
    </w:p>
    <w:p>
      <w:pPr>
        <w:pStyle w:val="ListNumber"/>
      </w:pPr>
      <w:r>
        <w:t>4. 等待 100ms</w:t>
      </w:r>
    </w:p>
    <w:p>
      <w:pPr>
        <w:pStyle w:val="ListNumber"/>
      </w:pPr>
      <w:r>
        <w:t>5. 发送测距命令 (0xFB)</w:t>
      </w:r>
    </w:p>
    <w:p>
      <w:pPr>
        <w:pStyle w:val="ListNumber"/>
      </w:pPr>
      <w:r>
        <w:t>6. 接收并解析距离数据</w:t>
      </w:r>
    </w:p>
    <w:p>
      <w:pPr>
        <w:pStyle w:val="ListNumber"/>
      </w:pPr>
      <w:r>
        <w:t>7. 重复步骤 5-6 进行多次测量（可选）</w:t>
      </w:r>
    </w:p>
    <w:p>
      <w:pPr>
        <w:pStyle w:val="ListNumber"/>
      </w:pPr>
      <w:r>
        <w:t>8. 发送关闭激光命令 (0xF6)</w:t>
      </w:r>
    </w:p>
    <w:p>
      <w:pPr>
        <w:pStyle w:val="ListNumber"/>
      </w:pPr>
      <w:r>
        <w:t>9. 关闭串口</w:t>
      </w:r>
    </w:p>
    <w:p>
      <w:pPr>
        <w:pStyle w:val="Heading2"/>
      </w:pPr>
      <w:r>
        <w:t>4.2 时序要求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建议延时</w:t>
            </w:r>
          </w:p>
        </w:tc>
      </w:tr>
      <w:tr>
        <w:tc>
          <w:tcPr>
            <w:tcW w:type="dxa" w:w="4320"/>
          </w:tcPr>
          <w:p>
            <w:r>
              <w:t>命令间隔</w:t>
            </w:r>
          </w:p>
        </w:tc>
        <w:tc>
          <w:tcPr>
            <w:tcW w:type="dxa" w:w="4320"/>
          </w:tcPr>
          <w:p>
            <w:r>
              <w:t>≥ 50ms</w:t>
            </w:r>
          </w:p>
        </w:tc>
      </w:tr>
      <w:tr>
        <w:tc>
          <w:tcPr>
            <w:tcW w:type="dxa" w:w="4320"/>
          </w:tcPr>
          <w:p>
            <w:r>
              <w:t>开激光后等待</w:t>
            </w:r>
          </w:p>
        </w:tc>
        <w:tc>
          <w:tcPr>
            <w:tcW w:type="dxa" w:w="4320"/>
          </w:tcPr>
          <w:p>
            <w:r>
              <w:t>≥ 100ms</w:t>
            </w:r>
          </w:p>
        </w:tc>
      </w:tr>
      <w:tr>
        <w:tc>
          <w:tcPr>
            <w:tcW w:type="dxa" w:w="4320"/>
          </w:tcPr>
          <w:p>
            <w:r>
              <w:t>测距间隔</w:t>
            </w:r>
          </w:p>
        </w:tc>
        <w:tc>
          <w:tcPr>
            <w:tcW w:type="dxa" w:w="4320"/>
          </w:tcPr>
          <w:p>
            <w:r>
              <w:t>≥ 100ms</w:t>
            </w:r>
          </w:p>
        </w:tc>
      </w:tr>
      <w:tr>
        <w:tc>
          <w:tcPr>
            <w:tcW w:type="dxa" w:w="4320"/>
          </w:tcPr>
          <w:p>
            <w:r>
              <w:t>响应超时</w:t>
            </w:r>
          </w:p>
        </w:tc>
        <w:tc>
          <w:tcPr>
            <w:tcW w:type="dxa" w:w="4320"/>
          </w:tcPr>
          <w:p>
            <w:r>
              <w:t>1000ms</w:t>
            </w:r>
          </w:p>
        </w:tc>
      </w:tr>
    </w:tbl>
    <w:p>
      <w:r>
        <w:br w:type="page"/>
      </w:r>
    </w:p>
    <w:p>
      <w:pPr>
        <w:pStyle w:val="Heading1"/>
      </w:pPr>
      <w:r>
        <w:t>五、校验码计算</w:t>
      </w:r>
    </w:p>
    <w:p>
      <w:pPr>
        <w:pStyle w:val="Heading2"/>
      </w:pPr>
      <w:r>
        <w:t>5.1 计算方法</w:t>
      </w:r>
    </w:p>
    <w:p>
      <w:r>
        <w:t>校验码 = 命令码 XOR 参数字节0 XOR 参数字节1 XOR 参数字节2 XOR 参数字节3</w:t>
      </w:r>
    </w:p>
    <w:p>
      <w:pPr>
        <w:pStyle w:val="Heading2"/>
      </w:pPr>
      <w:r>
        <w:t>5.2 计算示例</w:t>
      </w:r>
    </w:p>
    <w:p>
      <w:r>
        <w:t>示例1：开激光命令</w:t>
      </w:r>
      <w:r>
        <w:rPr>
          <w:rFonts w:ascii="Courier New" w:hAnsi="Courier New"/>
          <w:sz w:val="18"/>
        </w:rPr>
        <w:br/>
        <w:t>CMD = 0xF0</w:t>
        <w:br/>
        <w:t>D0  = 0x00</w:t>
        <w:br/>
        <w:t>D1  = 0x00</w:t>
        <w:br/>
        <w:t>D2  = 0x00</w:t>
        <w:br/>
        <w:t>D3  = 0x00</w:t>
        <w:br/>
        <w:br/>
        <w:t>XOR = 0xF0 ^ 0x00 ^ 0x00 ^ 0x00 ^ 0x00 = 0xF0</w:t>
      </w:r>
    </w:p>
    <w:p>
      <w:r>
        <w:br w:type="page"/>
      </w:r>
    </w:p>
    <w:p>
      <w:pPr>
        <w:pStyle w:val="Heading1"/>
      </w:pPr>
      <w:r>
        <w:t>六、错误处理</w:t>
      </w:r>
    </w:p>
    <w:p>
      <w:pPr>
        <w:pStyle w:val="Heading2"/>
      </w:pPr>
      <w:r>
        <w:t>6.1 常见错误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错误类型</w:t>
            </w:r>
          </w:p>
        </w:tc>
        <w:tc>
          <w:tcPr>
            <w:tcW w:type="dxa" w:w="2880"/>
          </w:tcPr>
          <w:p>
            <w:r>
              <w:t>可能原因</w:t>
            </w:r>
          </w:p>
        </w:tc>
        <w:tc>
          <w:tcPr>
            <w:tcW w:type="dxa" w:w="2880"/>
          </w:tcPr>
          <w:p>
            <w:r>
              <w:t>解决方法</w:t>
            </w:r>
          </w:p>
        </w:tc>
      </w:tr>
      <w:tr>
        <w:tc>
          <w:tcPr>
            <w:tcW w:type="dxa" w:w="2880"/>
          </w:tcPr>
          <w:p>
            <w:r>
              <w:t>无响应</w:t>
            </w:r>
          </w:p>
        </w:tc>
        <w:tc>
          <w:tcPr>
            <w:tcW w:type="dxa" w:w="2880"/>
          </w:tcPr>
          <w:p>
            <w:r>
              <w:t>设备未连接/波特率错误</w:t>
            </w:r>
          </w:p>
        </w:tc>
        <w:tc>
          <w:tcPr>
            <w:tcW w:type="dxa" w:w="2880"/>
          </w:tcPr>
          <w:p>
            <w:r>
              <w:t>检查连接和串口配置</w:t>
            </w:r>
          </w:p>
        </w:tc>
      </w:tr>
      <w:tr>
        <w:tc>
          <w:tcPr>
            <w:tcW w:type="dxa" w:w="2880"/>
          </w:tcPr>
          <w:p>
            <w:r>
              <w:t>校验错误</w:t>
            </w:r>
          </w:p>
        </w:tc>
        <w:tc>
          <w:tcPr>
            <w:tcW w:type="dxa" w:w="2880"/>
          </w:tcPr>
          <w:p>
            <w:r>
              <w:t>数据传输错误</w:t>
            </w:r>
          </w:p>
        </w:tc>
        <w:tc>
          <w:tcPr>
            <w:tcW w:type="dxa" w:w="2880"/>
          </w:tcPr>
          <w:p>
            <w:r>
              <w:t>重新发送命令</w:t>
            </w:r>
          </w:p>
        </w:tc>
      </w:tr>
      <w:tr>
        <w:tc>
          <w:tcPr>
            <w:tcW w:type="dxa" w:w="2880"/>
          </w:tcPr>
          <w:p>
            <w:r>
              <w:t>测距失败</w:t>
            </w:r>
          </w:p>
        </w:tc>
        <w:tc>
          <w:tcPr>
            <w:tcW w:type="dxa" w:w="2880"/>
          </w:tcPr>
          <w:p>
            <w:r>
              <w:t>目标距离超出范围</w:t>
            </w:r>
          </w:p>
        </w:tc>
        <w:tc>
          <w:tcPr>
            <w:tcW w:type="dxa" w:w="2880"/>
          </w:tcPr>
          <w:p>
            <w:r>
              <w:t>调整测量距离</w:t>
            </w:r>
          </w:p>
        </w:tc>
      </w:tr>
      <w:tr>
        <w:tc>
          <w:tcPr>
            <w:tcW w:type="dxa" w:w="2880"/>
          </w:tcPr>
          <w:p>
            <w:r>
              <w:t>激光未开启</w:t>
            </w:r>
          </w:p>
        </w:tc>
        <w:tc>
          <w:tcPr>
            <w:tcW w:type="dxa" w:w="2880"/>
          </w:tcPr>
          <w:p>
            <w:r>
              <w:t>未发送开激光命令</w:t>
            </w:r>
          </w:p>
        </w:tc>
        <w:tc>
          <w:tcPr>
            <w:tcW w:type="dxa" w:w="2880"/>
          </w:tcPr>
          <w:p>
            <w:r>
              <w:t>先发送 0xF0 命令</w:t>
            </w:r>
          </w:p>
        </w:tc>
      </w:tr>
    </w:tbl>
    <w:p>
      <w:pPr>
        <w:pStyle w:val="Heading2"/>
      </w:pPr>
      <w:r>
        <w:t>6.2 注意事项</w:t>
      </w:r>
    </w:p>
    <w:p>
      <w:r>
        <w:t>1. 激光安全：请勿直视激光光束</w:t>
      </w:r>
    </w:p>
    <w:p>
      <w:r>
        <w:t>2. 命令顺序：测距前必须先开启激光</w:t>
      </w:r>
    </w:p>
    <w:p>
      <w:r>
        <w:t>3. 时序控制：命令间隔不少于 50ms</w:t>
      </w:r>
    </w:p>
    <w:p>
      <w:r>
        <w:t>4. 功耗管理：测试完成后及时关闭激光</w:t>
      </w:r>
    </w:p>
    <w:p>
      <w:r>
        <w:t>5. 数据校验：接收数据后应验证校验码</w:t>
      </w:r>
    </w:p>
    <w:p>
      <w:r>
        <w:br w:type="page"/>
      </w:r>
    </w:p>
    <w:p>
      <w:pPr>
        <w:pStyle w:val="Heading1"/>
      </w:pPr>
      <w:r>
        <w:t>附录A：命令速查表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命令</w:t>
            </w:r>
          </w:p>
        </w:tc>
        <w:tc>
          <w:tcPr>
            <w:tcW w:type="dxa" w:w="2160"/>
          </w:tcPr>
          <w:p>
            <w:r>
              <w:t>代码</w:t>
            </w:r>
          </w:p>
        </w:tc>
        <w:tc>
          <w:tcPr>
            <w:tcW w:type="dxa" w:w="2160"/>
          </w:tcPr>
          <w:p>
            <w:r>
              <w:t>完整帧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开激光</w:t>
            </w:r>
          </w:p>
        </w:tc>
        <w:tc>
          <w:tcPr>
            <w:tcW w:type="dxa" w:w="2160"/>
          </w:tcPr>
          <w:p>
            <w:r>
              <w:t>0xF0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AA EE F0 00 00 00 00 F0 BB FF</w:t>
            </w:r>
          </w:p>
        </w:tc>
        <w:tc>
          <w:tcPr>
            <w:tcW w:type="dxa" w:w="2160"/>
          </w:tcPr>
          <w:p>
            <w:r>
              <w:t>开启激光器</w:t>
            </w:r>
          </w:p>
        </w:tc>
      </w:tr>
      <w:tr>
        <w:tc>
          <w:tcPr>
            <w:tcW w:type="dxa" w:w="2160"/>
          </w:tcPr>
          <w:p>
            <w:r>
              <w:t>关激光</w:t>
            </w:r>
          </w:p>
        </w:tc>
        <w:tc>
          <w:tcPr>
            <w:tcW w:type="dxa" w:w="2160"/>
          </w:tcPr>
          <w:p>
            <w:r>
              <w:t>0xF6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AA EE F6 00 00 00 00 F6 BB FF</w:t>
            </w:r>
          </w:p>
        </w:tc>
        <w:tc>
          <w:tcPr>
            <w:tcW w:type="dxa" w:w="2160"/>
          </w:tcPr>
          <w:p>
            <w:r>
              <w:t>关闭激光器</w:t>
            </w:r>
          </w:p>
        </w:tc>
      </w:tr>
      <w:tr>
        <w:tc>
          <w:tcPr>
            <w:tcW w:type="dxa" w:w="2160"/>
          </w:tcPr>
          <w:p>
            <w:r>
              <w:t>测距</w:t>
            </w:r>
          </w:p>
        </w:tc>
        <w:tc>
          <w:tcPr>
            <w:tcW w:type="dxa" w:w="2160"/>
          </w:tcPr>
          <w:p>
            <w:r>
              <w:t>0xFB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AA EE FB 00 00 00 00 FB BB FF</w:t>
            </w:r>
          </w:p>
        </w:tc>
        <w:tc>
          <w:tcPr>
            <w:tcW w:type="dxa" w:w="2160"/>
          </w:tcPr>
          <w:p>
            <w:r>
              <w:t>单次测距</w:t>
            </w:r>
          </w:p>
        </w:tc>
      </w:tr>
      <w:tr>
        <w:tc>
          <w:tcPr>
            <w:tcW w:type="dxa" w:w="2160"/>
          </w:tcPr>
          <w:p>
            <w:r>
              <w:t>心跳</w:t>
            </w:r>
          </w:p>
        </w:tc>
        <w:tc>
          <w:tcPr>
            <w:tcW w:type="dxa" w:w="2160"/>
          </w:tcPr>
          <w:p>
            <w:r>
              <w:t>0xF8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AA EE F8 00 00 00 00 F8 BB FF</w:t>
            </w:r>
          </w:p>
        </w:tc>
        <w:tc>
          <w:tcPr>
            <w:tcW w:type="dxa" w:w="2160"/>
          </w:tcPr>
          <w:p>
            <w:r>
              <w:t>连接检测</w:t>
            </w:r>
          </w:p>
        </w:tc>
      </w:tr>
      <w:tr>
        <w:tc>
          <w:tcPr>
            <w:tcW w:type="dxa" w:w="2160"/>
          </w:tcPr>
          <w:p>
            <w:r>
              <w:t>设备信息</w:t>
            </w:r>
          </w:p>
        </w:tc>
        <w:tc>
          <w:tcPr>
            <w:tcW w:type="dxa" w:w="2160"/>
          </w:tcPr>
          <w:p>
            <w:r>
              <w:t>0xF7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AA EE F7 00 00 00 00 F7 BB FF</w:t>
            </w:r>
          </w:p>
        </w:tc>
        <w:tc>
          <w:tcPr>
            <w:tcW w:type="dxa" w:w="2160"/>
          </w:tcPr>
          <w:p>
            <w:r>
              <w:t>获取设备信息</w:t>
            </w:r>
          </w:p>
        </w:tc>
      </w:tr>
    </w:tbl>
    <w:p/>
    <w:p/>
    <w:p>
      <w:pPr>
        <w:jc w:val="center"/>
      </w:pPr>
      <w:r>
        <w:rPr>
          <w:color w:val="808080"/>
          <w:sz w:val="20"/>
        </w:rPr>
        <w:t>— 文档结束 —</w:t>
      </w:r>
    </w:p>
    <w:p/>
    <w:p>
      <w:pPr>
        <w:jc w:val="center"/>
      </w:pPr>
      <w:r>
        <w:rPr>
          <w:i/>
          <w:color w:val="808080"/>
          <w:sz w:val="18"/>
        </w:rPr>
        <w:t>本文档为技术资料，仅供授权用户使用。未经许可，不得复制或传播。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