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2FB" w:rsidRDefault="00E612FB"/>
    <w:p w:rsidR="00E612FB" w:rsidRDefault="00E612FB"/>
    <w:p w:rsidR="00E612FB" w:rsidRDefault="00E612FB" w:rsidP="00E612FB">
      <w:pPr>
        <w:jc w:val="center"/>
      </w:pPr>
      <w:r>
        <w:rPr>
          <w:noProof/>
        </w:rPr>
        <w:drawing>
          <wp:inline distT="0" distB="0" distL="0" distR="0">
            <wp:extent cx="4676008" cy="311733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419" cy="312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FB" w:rsidRPr="001F6F85" w:rsidRDefault="001F6F85" w:rsidP="001F6F85">
      <w:pPr>
        <w:ind w:left="4320" w:firstLine="720"/>
        <w:rPr>
          <w:sz w:val="28"/>
        </w:rPr>
      </w:pPr>
      <w:r w:rsidRPr="001F6F85">
        <w:rPr>
          <w:b/>
          <w:sz w:val="48"/>
        </w:rPr>
        <w:t>Quick Start Guide</w:t>
      </w:r>
    </w:p>
    <w:p w:rsidR="00E612FB" w:rsidRPr="00E612FB" w:rsidRDefault="00E612FB" w:rsidP="001F6F85">
      <w:pPr>
        <w:ind w:firstLine="720"/>
        <w:jc w:val="center"/>
        <w:rPr>
          <w:b/>
          <w:sz w:val="40"/>
        </w:rPr>
      </w:pPr>
      <w:r w:rsidRPr="001F6F85">
        <w:rPr>
          <w:b/>
          <w:sz w:val="32"/>
        </w:rPr>
        <w:t>Enterprise Skills Customer Learning Plan</w:t>
      </w:r>
    </w:p>
    <w:p w:rsidR="00E612FB" w:rsidRDefault="00E612FB"/>
    <w:p w:rsidR="00E612FB" w:rsidRDefault="00E612FB"/>
    <w:p w:rsidR="00E612FB" w:rsidRDefault="00E612FB"/>
    <w:p w:rsidR="004A084C" w:rsidRDefault="00ED3E1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247018</wp:posOffset>
                </wp:positionH>
                <wp:positionV relativeFrom="paragraph">
                  <wp:posOffset>52004</wp:posOffset>
                </wp:positionV>
                <wp:extent cx="7770233" cy="437515"/>
                <wp:effectExtent l="0" t="0" r="2159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0233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84C" w:rsidRPr="004A084C" w:rsidRDefault="004A084C" w:rsidP="004A08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A084C">
                              <w:rPr>
                                <w:b/>
                                <w:sz w:val="32"/>
                                <w:szCs w:val="32"/>
                              </w:rPr>
                              <w:t>Quick Start Guide: Enterprise Skills Customer Learning Plan</w:t>
                            </w:r>
                          </w:p>
                          <w:p w:rsidR="004A084C" w:rsidRPr="00E612FB" w:rsidRDefault="004A084C" w:rsidP="004A084C">
                            <w:pPr>
                              <w:ind w:firstLine="72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1F6F85">
                              <w:rPr>
                                <w:b/>
                                <w:sz w:val="32"/>
                              </w:rPr>
                              <w:t>Enterprise Skills Customer Learning Plan</w:t>
                            </w:r>
                          </w:p>
                          <w:p w:rsidR="004A084C" w:rsidRDefault="004A084C" w:rsidP="004A08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19.45pt;margin-top:4.1pt;width:611.85pt;height:34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" fillcolor="#4472c4 [3204]" strokecolor="#1f3763 [1604]" strokeweight="1pt">
                <v:textbox>
                  <w:txbxContent>
                    <w:p w:rsidR="004A084C" w:rsidRPr="004A084C" w:rsidRDefault="004A084C" w:rsidP="004A084C">
                      <w:pPr>
                        <w:rPr>
                          <w:sz w:val="32"/>
                          <w:szCs w:val="32"/>
                        </w:rPr>
                      </w:pPr>
                      <w:r w:rsidRPr="004A084C">
                        <w:rPr>
                          <w:b/>
                          <w:sz w:val="32"/>
                          <w:szCs w:val="32"/>
                        </w:rPr>
                        <w:t>Quick Start Guide</w:t>
                      </w:r>
                      <w:r w:rsidRPr="004A084C"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Pr="004A084C">
                        <w:rPr>
                          <w:b/>
                          <w:sz w:val="32"/>
                          <w:szCs w:val="32"/>
                        </w:rPr>
                        <w:t>Enterprise Skills Customer Learning Plan</w:t>
                      </w:r>
                    </w:p>
                    <w:p w:rsidR="004A084C" w:rsidRPr="00E612FB" w:rsidRDefault="004A084C" w:rsidP="004A084C">
                      <w:pPr>
                        <w:ind w:firstLine="720"/>
                        <w:jc w:val="center"/>
                        <w:rPr>
                          <w:b/>
                          <w:sz w:val="40"/>
                        </w:rPr>
                      </w:pPr>
                      <w:r w:rsidRPr="001F6F85">
                        <w:rPr>
                          <w:b/>
                          <w:sz w:val="32"/>
                        </w:rPr>
                        <w:t>Enterprise Skills Customer Learning Plan</w:t>
                      </w:r>
                    </w:p>
                    <w:p w:rsidR="004A084C" w:rsidRDefault="004A084C" w:rsidP="004A08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612FB" w:rsidRDefault="00E612FB"/>
    <w:p w:rsidR="00E612FB" w:rsidRDefault="00501A6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6B8D5" wp14:editId="31CDB665">
                <wp:simplePos x="0" y="0"/>
                <wp:positionH relativeFrom="column">
                  <wp:posOffset>4202954</wp:posOffset>
                </wp:positionH>
                <wp:positionV relativeFrom="paragraph">
                  <wp:posOffset>104140</wp:posOffset>
                </wp:positionV>
                <wp:extent cx="3822279" cy="5286899"/>
                <wp:effectExtent l="0" t="0" r="2603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279" cy="52868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17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1A6E" w:rsidRPr="003F6734" w:rsidRDefault="00501A6E" w:rsidP="00501A6E">
                            <w:pPr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3F6734">
                              <w:rPr>
                                <w:b/>
                                <w:color w:val="4472C4" w:themeColor="accent1"/>
                              </w:rPr>
                              <w:t>3. Resources</w:t>
                            </w:r>
                          </w:p>
                          <w:p w:rsidR="00501A6E" w:rsidRPr="00E612FB" w:rsidRDefault="00501A6E" w:rsidP="00501A6E">
                            <w:r w:rsidRPr="00E612FB">
                              <w:rPr>
                                <w:i/>
                              </w:rPr>
                              <w:t>See the ECIF and SATV pages in the Intelligent Cloud Enterprise Skills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E612FB">
                              <w:rPr>
                                <w:i/>
                              </w:rPr>
                              <w:t>Initiative One Note</w:t>
                            </w:r>
                            <w:r w:rsidRPr="00E612FB">
                              <w:t xml:space="preserve"> - </w:t>
                            </w:r>
                            <w:hyperlink r:id="rId9" w:history="1">
                              <w:r w:rsidRPr="00353AC8">
                                <w:rPr>
                                  <w:rStyle w:val="Hyperlink"/>
                                </w:rPr>
                                <w:t>li</w:t>
                              </w:r>
                              <w:bookmarkStart w:id="0" w:name="_GoBack"/>
                              <w:bookmarkEnd w:id="0"/>
                              <w:r w:rsidRPr="00353AC8">
                                <w:rPr>
                                  <w:rStyle w:val="Hyperlink"/>
                                </w:rPr>
                                <w:t>nk</w:t>
                              </w:r>
                            </w:hyperlink>
                          </w:p>
                          <w:p w:rsidR="00501A6E" w:rsidRPr="00E612FB" w:rsidRDefault="00501A6E" w:rsidP="00501A6E">
                            <w:r w:rsidRPr="00E612FB">
                              <w:t>Reach out to the associated PSE listed to facilitate a connection to the</w:t>
                            </w:r>
                            <w:r>
                              <w:t xml:space="preserve"> </w:t>
                            </w:r>
                            <w:r w:rsidRPr="00E612FB">
                              <w:t>Learning Partner or to ask questions regarding the partner/training options</w:t>
                            </w:r>
                            <w:r>
                              <w:t xml:space="preserve"> </w:t>
                            </w:r>
                          </w:p>
                          <w:p w:rsidR="00501A6E" w:rsidRPr="00E612FB" w:rsidRDefault="00E8722E" w:rsidP="00501A6E">
                            <w:r>
                              <w:t>Note</w:t>
                            </w:r>
                            <w:r w:rsidR="00501A6E" w:rsidRPr="00E612FB">
                              <w:t>: please do not send a general inquiry email with multiple partner</w:t>
                            </w:r>
                            <w:r w:rsidR="00501A6E">
                              <w:t xml:space="preserve"> </w:t>
                            </w:r>
                            <w:r w:rsidR="00501A6E" w:rsidRPr="00E612FB">
                              <w:t xml:space="preserve">contacts on the to </w:t>
                            </w:r>
                            <w:proofErr w:type="gramStart"/>
                            <w:r w:rsidR="00501A6E" w:rsidRPr="00E612FB">
                              <w:t>line ,</w:t>
                            </w:r>
                            <w:proofErr w:type="gramEnd"/>
                            <w:r w:rsidR="00501A6E" w:rsidRPr="00E612FB">
                              <w:t xml:space="preserve"> In many cases these partners are competitors and</w:t>
                            </w:r>
                            <w:r w:rsidR="00501A6E">
                              <w:t xml:space="preserve"> </w:t>
                            </w:r>
                            <w:r w:rsidR="00501A6E" w:rsidRPr="00E612FB">
                              <w:t>this type of action leads to partner DSAT . If you have questions reach out to</w:t>
                            </w:r>
                            <w:r w:rsidR="00501A6E">
                              <w:t xml:space="preserve"> </w:t>
                            </w:r>
                            <w:r w:rsidR="00501A6E" w:rsidRPr="00E612FB">
                              <w:t>a Microsoft PSE.</w:t>
                            </w:r>
                          </w:p>
                          <w:p w:rsidR="00501A6E" w:rsidRPr="00E612FB" w:rsidRDefault="00501A6E" w:rsidP="00501A6E">
                            <w:r w:rsidRPr="00E612FB">
                              <w:t>If you're not sure where to start and who to contact, you can reach out to</w:t>
                            </w:r>
                            <w:r>
                              <w:t xml:space="preserve"> </w:t>
                            </w:r>
                            <w:r w:rsidRPr="00E612FB">
                              <w:t>the Learning Partner Coordination Desk (</w:t>
                            </w:r>
                            <w:proofErr w:type="spellStart"/>
                            <w:r w:rsidR="00353AC8">
                              <w:rPr>
                                <w:u w:val="single"/>
                              </w:rPr>
                              <w:fldChar w:fldCharType="begin"/>
                            </w:r>
                            <w:r w:rsidR="00353AC8">
                              <w:rPr>
                                <w:u w:val="single"/>
                              </w:rPr>
                              <w:instrText xml:space="preserve"> HYPERLINK "mailto:LPCDesk@microsoft.com" </w:instrText>
                            </w:r>
                            <w:r w:rsidR="00353AC8">
                              <w:rPr>
                                <w:u w:val="single"/>
                              </w:rPr>
                              <w:fldChar w:fldCharType="separate"/>
                            </w:r>
                            <w:r w:rsidRPr="00353AC8">
                              <w:rPr>
                                <w:rStyle w:val="Hyperlink"/>
                              </w:rPr>
                              <w:t>LPCDesk</w:t>
                            </w:r>
                            <w:proofErr w:type="spellEnd"/>
                            <w:r w:rsidR="00353AC8">
                              <w:rPr>
                                <w:u w:val="single"/>
                              </w:rPr>
                              <w:fldChar w:fldCharType="end"/>
                            </w:r>
                            <w:r w:rsidRPr="00E612FB">
                              <w:t>) to answer questions an</w:t>
                            </w:r>
                            <w:r>
                              <w:t xml:space="preserve">d </w:t>
                            </w:r>
                            <w:r w:rsidRPr="00E612FB">
                              <w:t>provide guidance about next steps on a customer - by - customer basis.</w:t>
                            </w:r>
                          </w:p>
                          <w:p w:rsidR="00501A6E" w:rsidRPr="00E612FB" w:rsidRDefault="00501A6E" w:rsidP="00501A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E612FB">
                              <w:rPr>
                                <w:b/>
                              </w:rPr>
                              <w:t>Fre</w:t>
                            </w:r>
                            <w:r>
                              <w:rPr>
                                <w:b/>
                              </w:rPr>
                              <w:t>e to paid (</w:t>
                            </w:r>
                            <w:r w:rsidRPr="00E612FB">
                              <w:rPr>
                                <w:b/>
                              </w:rPr>
                              <w:t>MCS/Learning Partners)</w:t>
                            </w:r>
                            <w:r w:rsidRPr="00E612FB">
                              <w:t xml:space="preserve"> </w:t>
                            </w:r>
                            <w:hyperlink r:id="rId10" w:history="1">
                              <w:r w:rsidRPr="00353AC8">
                                <w:rPr>
                                  <w:rStyle w:val="Hyperlink"/>
                                </w:rPr>
                                <w:t>link</w:t>
                              </w:r>
                            </w:hyperlink>
                            <w:r w:rsidRPr="00E612FB">
                              <w:t xml:space="preserve"> to delivery guide</w:t>
                            </w:r>
                          </w:p>
                          <w:p w:rsidR="00501A6E" w:rsidRPr="00E612FB" w:rsidRDefault="00501A6E" w:rsidP="00501A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E612FB">
                              <w:t>ECIF - to fund through-partner training - ~$14M (IC)</w:t>
                            </w:r>
                          </w:p>
                          <w:p w:rsidR="00501A6E" w:rsidRPr="00E612FB" w:rsidRDefault="00501A6E" w:rsidP="00501A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E612FB">
                              <w:t>Qualified pool of Learning Partners (WWL)</w:t>
                            </w:r>
                          </w:p>
                          <w:p w:rsidR="00501A6E" w:rsidRPr="00E612FB" w:rsidRDefault="00501A6E" w:rsidP="00501A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E612FB">
                              <w:t>Internal support to augment through-partner mod</w:t>
                            </w:r>
                          </w:p>
                          <w:p w:rsidR="00501A6E" w:rsidRDefault="00353AC8" w:rsidP="00501A6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PMM</w:t>
                            </w:r>
                            <w:r w:rsidR="00501A6E" w:rsidRPr="00E612FB">
                              <w:t xml:space="preserve">, vendor, GBB / </w:t>
                            </w:r>
                            <w:proofErr w:type="gramStart"/>
                            <w:r w:rsidR="00501A6E" w:rsidRPr="00E612FB">
                              <w:t>CSA ,</w:t>
                            </w:r>
                            <w:proofErr w:type="gramEnd"/>
                            <w:r w:rsidR="00501A6E" w:rsidRPr="00E612FB">
                              <w:t xml:space="preserve"> CSE , PFE</w:t>
                            </w:r>
                          </w:p>
                          <w:p w:rsidR="00501A6E" w:rsidRPr="00E612FB" w:rsidRDefault="00501A6E" w:rsidP="00501A6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E612FB">
                              <w:t>SATV - Software Assurances Training Voucher</w:t>
                            </w:r>
                          </w:p>
                          <w:p w:rsidR="00501A6E" w:rsidRPr="00E612FB" w:rsidRDefault="00501A6E" w:rsidP="00501A6E">
                            <w:r w:rsidRPr="00501A6E">
                              <w:t>Contact - Enterprise Skills Support</w:t>
                            </w:r>
                            <w:r w:rsidRPr="00E612FB">
                              <w:t xml:space="preserve"> </w:t>
                            </w:r>
                            <w:r w:rsidRPr="00501A6E">
                              <w:rPr>
                                <w:b/>
                                <w:i/>
                              </w:rPr>
                              <w:t>entskill@microsoft.com</w:t>
                            </w:r>
                          </w:p>
                          <w:p w:rsidR="00501A6E" w:rsidRDefault="00501A6E" w:rsidP="00501A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6B8D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30.95pt;margin-top:8.2pt;width:300.95pt;height:416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" fillcolor="#8eaadb [1940]" strokeweight=".5pt">
                <v:fill opacity="11051f"/>
                <v:textbox>
                  <w:txbxContent>
                    <w:p w:rsidR="00501A6E" w:rsidRPr="003F6734" w:rsidRDefault="00501A6E" w:rsidP="00501A6E">
                      <w:pPr>
                        <w:rPr>
                          <w:b/>
                          <w:color w:val="4472C4" w:themeColor="accent1"/>
                        </w:rPr>
                      </w:pPr>
                      <w:r w:rsidRPr="003F6734">
                        <w:rPr>
                          <w:b/>
                          <w:color w:val="4472C4" w:themeColor="accent1"/>
                        </w:rPr>
                        <w:t>3. Resources</w:t>
                      </w:r>
                    </w:p>
                    <w:p w:rsidR="00501A6E" w:rsidRPr="00E612FB" w:rsidRDefault="00501A6E" w:rsidP="00501A6E">
                      <w:r w:rsidRPr="00E612FB">
                        <w:rPr>
                          <w:i/>
                        </w:rPr>
                        <w:t>See the ECIF and SATV pages in the Intelligent Cloud Enterprise Skills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Pr="00E612FB">
                        <w:rPr>
                          <w:i/>
                        </w:rPr>
                        <w:t>Initiative One Note</w:t>
                      </w:r>
                      <w:r w:rsidRPr="00E612FB">
                        <w:t xml:space="preserve"> - </w:t>
                      </w:r>
                      <w:hyperlink r:id="rId11" w:history="1">
                        <w:r w:rsidRPr="00353AC8">
                          <w:rPr>
                            <w:rStyle w:val="Hyperlink"/>
                          </w:rPr>
                          <w:t>li</w:t>
                        </w:r>
                        <w:bookmarkStart w:id="1" w:name="_GoBack"/>
                        <w:bookmarkEnd w:id="1"/>
                        <w:r w:rsidRPr="00353AC8">
                          <w:rPr>
                            <w:rStyle w:val="Hyperlink"/>
                          </w:rPr>
                          <w:t>nk</w:t>
                        </w:r>
                      </w:hyperlink>
                    </w:p>
                    <w:p w:rsidR="00501A6E" w:rsidRPr="00E612FB" w:rsidRDefault="00501A6E" w:rsidP="00501A6E">
                      <w:r w:rsidRPr="00E612FB">
                        <w:t>Reach out to the associated PSE listed to facilitate a connection to the</w:t>
                      </w:r>
                      <w:r>
                        <w:t xml:space="preserve"> </w:t>
                      </w:r>
                      <w:r w:rsidRPr="00E612FB">
                        <w:t>Learning Partner or to ask questions regarding the partner/training options</w:t>
                      </w:r>
                      <w:r>
                        <w:t xml:space="preserve"> </w:t>
                      </w:r>
                    </w:p>
                    <w:p w:rsidR="00501A6E" w:rsidRPr="00E612FB" w:rsidRDefault="00E8722E" w:rsidP="00501A6E">
                      <w:r>
                        <w:t>Note</w:t>
                      </w:r>
                      <w:r w:rsidR="00501A6E" w:rsidRPr="00E612FB">
                        <w:t>: please do not send a general inquiry email with multiple partner</w:t>
                      </w:r>
                      <w:r w:rsidR="00501A6E">
                        <w:t xml:space="preserve"> </w:t>
                      </w:r>
                      <w:r w:rsidR="00501A6E" w:rsidRPr="00E612FB">
                        <w:t xml:space="preserve">contacts on the to </w:t>
                      </w:r>
                      <w:proofErr w:type="gramStart"/>
                      <w:r w:rsidR="00501A6E" w:rsidRPr="00E612FB">
                        <w:t>line ,</w:t>
                      </w:r>
                      <w:proofErr w:type="gramEnd"/>
                      <w:r w:rsidR="00501A6E" w:rsidRPr="00E612FB">
                        <w:t xml:space="preserve"> In many cases these partners are competitors and</w:t>
                      </w:r>
                      <w:r w:rsidR="00501A6E">
                        <w:t xml:space="preserve"> </w:t>
                      </w:r>
                      <w:r w:rsidR="00501A6E" w:rsidRPr="00E612FB">
                        <w:t>this type of action leads to partner DSAT . If you have questions reach out to</w:t>
                      </w:r>
                      <w:r w:rsidR="00501A6E">
                        <w:t xml:space="preserve"> </w:t>
                      </w:r>
                      <w:r w:rsidR="00501A6E" w:rsidRPr="00E612FB">
                        <w:t>a Microsoft PSE.</w:t>
                      </w:r>
                    </w:p>
                    <w:p w:rsidR="00501A6E" w:rsidRPr="00E612FB" w:rsidRDefault="00501A6E" w:rsidP="00501A6E">
                      <w:r w:rsidRPr="00E612FB">
                        <w:t>If you're not sure where to start and who to contact, you can reach out to</w:t>
                      </w:r>
                      <w:r>
                        <w:t xml:space="preserve"> </w:t>
                      </w:r>
                      <w:r w:rsidRPr="00E612FB">
                        <w:t>the Learning Partner Coordination Desk (</w:t>
                      </w:r>
                      <w:proofErr w:type="spellStart"/>
                      <w:r w:rsidR="00353AC8">
                        <w:rPr>
                          <w:u w:val="single"/>
                        </w:rPr>
                        <w:fldChar w:fldCharType="begin"/>
                      </w:r>
                      <w:r w:rsidR="00353AC8">
                        <w:rPr>
                          <w:u w:val="single"/>
                        </w:rPr>
                        <w:instrText xml:space="preserve"> HYPERLINK "mailto:LPCDesk@microsoft.com" </w:instrText>
                      </w:r>
                      <w:r w:rsidR="00353AC8">
                        <w:rPr>
                          <w:u w:val="single"/>
                        </w:rPr>
                        <w:fldChar w:fldCharType="separate"/>
                      </w:r>
                      <w:r w:rsidRPr="00353AC8">
                        <w:rPr>
                          <w:rStyle w:val="Hyperlink"/>
                        </w:rPr>
                        <w:t>LPCDesk</w:t>
                      </w:r>
                      <w:proofErr w:type="spellEnd"/>
                      <w:r w:rsidR="00353AC8">
                        <w:rPr>
                          <w:u w:val="single"/>
                        </w:rPr>
                        <w:fldChar w:fldCharType="end"/>
                      </w:r>
                      <w:r w:rsidRPr="00E612FB">
                        <w:t>) to answer questions an</w:t>
                      </w:r>
                      <w:r>
                        <w:t xml:space="preserve">d </w:t>
                      </w:r>
                      <w:r w:rsidRPr="00E612FB">
                        <w:t>provide guidance about next steps on a customer - by - customer basis.</w:t>
                      </w:r>
                    </w:p>
                    <w:p w:rsidR="00501A6E" w:rsidRPr="00E612FB" w:rsidRDefault="00501A6E" w:rsidP="00501A6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E612FB">
                        <w:rPr>
                          <w:b/>
                        </w:rPr>
                        <w:t>Fre</w:t>
                      </w:r>
                      <w:r>
                        <w:rPr>
                          <w:b/>
                        </w:rPr>
                        <w:t>e to paid (</w:t>
                      </w:r>
                      <w:r w:rsidRPr="00E612FB">
                        <w:rPr>
                          <w:b/>
                        </w:rPr>
                        <w:t>MCS/Learning Partners)</w:t>
                      </w:r>
                      <w:r w:rsidRPr="00E612FB">
                        <w:t xml:space="preserve"> </w:t>
                      </w:r>
                      <w:hyperlink r:id="rId12" w:history="1">
                        <w:r w:rsidRPr="00353AC8">
                          <w:rPr>
                            <w:rStyle w:val="Hyperlink"/>
                          </w:rPr>
                          <w:t>link</w:t>
                        </w:r>
                      </w:hyperlink>
                      <w:r w:rsidRPr="00E612FB">
                        <w:t xml:space="preserve"> to delivery guide</w:t>
                      </w:r>
                    </w:p>
                    <w:p w:rsidR="00501A6E" w:rsidRPr="00E612FB" w:rsidRDefault="00501A6E" w:rsidP="00501A6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E612FB">
                        <w:t>ECIF - to fund through-partner training - ~$14M (IC)</w:t>
                      </w:r>
                    </w:p>
                    <w:p w:rsidR="00501A6E" w:rsidRPr="00E612FB" w:rsidRDefault="00501A6E" w:rsidP="00501A6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E612FB">
                        <w:t>Qualified pool of Learning Partners (WWL)</w:t>
                      </w:r>
                    </w:p>
                    <w:p w:rsidR="00501A6E" w:rsidRPr="00E612FB" w:rsidRDefault="00501A6E" w:rsidP="00501A6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E612FB">
                        <w:t>Internal support to augment through-partner mod</w:t>
                      </w:r>
                    </w:p>
                    <w:p w:rsidR="00501A6E" w:rsidRDefault="00353AC8" w:rsidP="00501A6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PMM</w:t>
                      </w:r>
                      <w:r w:rsidR="00501A6E" w:rsidRPr="00E612FB">
                        <w:t xml:space="preserve">, vendor, GBB / </w:t>
                      </w:r>
                      <w:proofErr w:type="gramStart"/>
                      <w:r w:rsidR="00501A6E" w:rsidRPr="00E612FB">
                        <w:t>CSA ,</w:t>
                      </w:r>
                      <w:proofErr w:type="gramEnd"/>
                      <w:r w:rsidR="00501A6E" w:rsidRPr="00E612FB">
                        <w:t xml:space="preserve"> CSE , PFE</w:t>
                      </w:r>
                    </w:p>
                    <w:p w:rsidR="00501A6E" w:rsidRPr="00E612FB" w:rsidRDefault="00501A6E" w:rsidP="00501A6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E612FB">
                        <w:t>SATV - Software Assurances Training Voucher</w:t>
                      </w:r>
                    </w:p>
                    <w:p w:rsidR="00501A6E" w:rsidRPr="00E612FB" w:rsidRDefault="00501A6E" w:rsidP="00501A6E">
                      <w:r w:rsidRPr="00501A6E">
                        <w:t>Contact - Enterprise Skills Support</w:t>
                      </w:r>
                      <w:r w:rsidRPr="00E612FB">
                        <w:t xml:space="preserve"> </w:t>
                      </w:r>
                      <w:r w:rsidRPr="00501A6E">
                        <w:rPr>
                          <w:b/>
                          <w:i/>
                        </w:rPr>
                        <w:t>entskill@microsoft.com</w:t>
                      </w:r>
                    </w:p>
                    <w:p w:rsidR="00501A6E" w:rsidRDefault="00501A6E" w:rsidP="00501A6E"/>
                  </w:txbxContent>
                </v:textbox>
              </v:shape>
            </w:pict>
          </mc:Fallback>
        </mc:AlternateContent>
      </w:r>
      <w:r w:rsidR="00E612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229305</wp:posOffset>
                </wp:positionH>
                <wp:positionV relativeFrom="paragraph">
                  <wp:posOffset>107761</wp:posOffset>
                </wp:positionV>
                <wp:extent cx="3822279" cy="5282719"/>
                <wp:effectExtent l="0" t="0" r="2603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279" cy="5282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17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12FB" w:rsidRPr="00961C3D" w:rsidRDefault="00E612FB" w:rsidP="00E612FB">
                            <w:r w:rsidRPr="00E612FB">
                              <w:rPr>
                                <w:b/>
                                <w:color w:val="44546A" w:themeColor="text2"/>
                              </w:rPr>
                              <w:t>Quick Start guide</w:t>
                            </w:r>
                            <w:r>
                              <w:t xml:space="preserve">: </w:t>
                            </w:r>
                            <w:r w:rsidRPr="00961C3D">
                              <w:t>The goal of this is to provide an overview</w:t>
                            </w:r>
                            <w:r>
                              <w:t xml:space="preserve"> </w:t>
                            </w:r>
                            <w:r w:rsidRPr="00961C3D">
                              <w:t>and help</w:t>
                            </w:r>
                            <w:r>
                              <w:t xml:space="preserve"> </w:t>
                            </w:r>
                            <w:r w:rsidRPr="00961C3D">
                              <w:t>you navigate the resources available to you as you prepare to get your</w:t>
                            </w:r>
                            <w:r>
                              <w:t xml:space="preserve"> </w:t>
                            </w:r>
                            <w:r w:rsidRPr="00961C3D">
                              <w:t>customers trained and certified on Azure</w:t>
                            </w:r>
                          </w:p>
                          <w:p w:rsidR="00E612FB" w:rsidRPr="008A302A" w:rsidRDefault="00E612FB" w:rsidP="00E612F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612FB">
                              <w:rPr>
                                <w:b/>
                                <w:color w:val="4472C4" w:themeColor="accent1"/>
                              </w:rPr>
                              <w:t>1. CSA to identify customer learning needs</w:t>
                            </w:r>
                          </w:p>
                          <w:p w:rsidR="00E612FB" w:rsidRPr="00961C3D" w:rsidRDefault="00E612FB" w:rsidP="00E612FB">
                            <w:pPr>
                              <w:spacing w:after="0"/>
                            </w:pPr>
                            <w:r w:rsidRPr="00961C3D">
                              <w:t>Align with and use your Customer Success Solution Plan</w:t>
                            </w:r>
                          </w:p>
                          <w:p w:rsidR="00E612FB" w:rsidRDefault="00E612FB" w:rsidP="00E612FB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E612FB" w:rsidRPr="00E612FB" w:rsidRDefault="00E612FB" w:rsidP="00E612FB">
                            <w:pPr>
                              <w:spacing w:after="0"/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E612FB">
                              <w:rPr>
                                <w:b/>
                                <w:color w:val="44546A" w:themeColor="text2"/>
                              </w:rPr>
                              <w:t>Obtain Customer Commitment</w:t>
                            </w:r>
                          </w:p>
                          <w:p w:rsidR="00E612FB" w:rsidRPr="00191DB2" w:rsidRDefault="00E612FB" w:rsidP="00E612FB">
                            <w:pPr>
                              <w:spacing w:after="0"/>
                            </w:pPr>
                            <w:r>
                              <w:t>1</w:t>
                            </w:r>
                            <w:r w:rsidRPr="00191DB2">
                              <w:t>. CSA to identify Azure skills sponsor at customer.</w:t>
                            </w:r>
                          </w:p>
                          <w:p w:rsidR="00E612FB" w:rsidRPr="00191DB2" w:rsidRDefault="00E612FB" w:rsidP="00E612FB">
                            <w:pPr>
                              <w:spacing w:after="0"/>
                            </w:pPr>
                            <w:r w:rsidRPr="00191DB2">
                              <w:t>2. CSA to identify customer learning needs in respect to business</w:t>
                            </w:r>
                            <w:r>
                              <w:t xml:space="preserve"> goals</w:t>
                            </w:r>
                            <w:r w:rsidRPr="00191DB2">
                              <w:t>, and match with available courses from the training menu</w:t>
                            </w:r>
                            <w:r>
                              <w:t>.</w:t>
                            </w:r>
                            <w:r w:rsidRPr="00191DB2">
                              <w:t xml:space="preserve"> For</w:t>
                            </w:r>
                            <w:r>
                              <w:t xml:space="preserve"> </w:t>
                            </w:r>
                            <w:r w:rsidRPr="00191DB2">
                              <w:t>courses that will be delivered by Learning Partners, CSA should work</w:t>
                            </w:r>
                            <w:r>
                              <w:t xml:space="preserve"> </w:t>
                            </w:r>
                            <w:r w:rsidRPr="00191DB2">
                              <w:t>with the PSE who can provide guidance in both partner and content selection.</w:t>
                            </w:r>
                          </w:p>
                          <w:p w:rsidR="00E612FB" w:rsidRPr="00191DB2" w:rsidRDefault="00E612FB" w:rsidP="00E612FB">
                            <w:pPr>
                              <w:spacing w:after="0"/>
                            </w:pPr>
                            <w:r w:rsidRPr="00191DB2">
                              <w:t>3. CSA to obtain customer agreement on prioritized list of users</w:t>
                            </w:r>
                            <w:r>
                              <w:t>.</w:t>
                            </w:r>
                          </w:p>
                          <w:p w:rsidR="00E612FB" w:rsidRDefault="00E612FB" w:rsidP="00E612FB">
                            <w:pPr>
                              <w:spacing w:after="0"/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E612FB" w:rsidRPr="00E612FB" w:rsidRDefault="00E612FB" w:rsidP="00E612FB">
                            <w:pPr>
                              <w:spacing w:after="0"/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E612FB">
                              <w:rPr>
                                <w:b/>
                                <w:color w:val="44546A" w:themeColor="text2"/>
                              </w:rPr>
                              <w:t>Assess gaps to desired skills</w:t>
                            </w:r>
                          </w:p>
                          <w:p w:rsidR="00E612FB" w:rsidRPr="008A302A" w:rsidRDefault="00E612FB" w:rsidP="00E612FB">
                            <w:pPr>
                              <w:spacing w:after="0"/>
                            </w:pPr>
                            <w:r w:rsidRPr="008A302A">
                              <w:t>CSA to assess and document skills gaps of customer roles</w:t>
                            </w:r>
                          </w:p>
                          <w:p w:rsidR="00501A6E" w:rsidRDefault="00501A6E" w:rsidP="00501A6E">
                            <w:pPr>
                              <w:spacing w:after="0"/>
                              <w:rPr>
                                <w:b/>
                                <w:color w:val="4472C4" w:themeColor="accent1"/>
                              </w:rPr>
                            </w:pPr>
                          </w:p>
                          <w:p w:rsidR="00E612FB" w:rsidRPr="00E612FB" w:rsidRDefault="00501A6E" w:rsidP="00501A6E">
                            <w:pPr>
                              <w:spacing w:after="0"/>
                              <w:rPr>
                                <w:b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</w:rPr>
                              <w:t>2</w:t>
                            </w:r>
                            <w:r w:rsidR="00E612FB" w:rsidRPr="00E612FB">
                              <w:rPr>
                                <w:b/>
                                <w:color w:val="4472C4" w:themeColor="accent1"/>
                              </w:rPr>
                              <w:t>. Create customer learning plan</w:t>
                            </w:r>
                          </w:p>
                          <w:p w:rsidR="00E612FB" w:rsidRPr="008A302A" w:rsidRDefault="00E612FB" w:rsidP="00501A6E">
                            <w:pPr>
                              <w:spacing w:after="0"/>
                            </w:pPr>
                            <w:r w:rsidRPr="00E612FB">
                              <w:rPr>
                                <w:b/>
                                <w:color w:val="44546A" w:themeColor="text2"/>
                              </w:rPr>
                              <w:t>Learning Plan Template</w:t>
                            </w:r>
                            <w:r w:rsidRPr="00E612FB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r w:rsidRPr="008A302A">
                              <w:t xml:space="preserve">- </w:t>
                            </w:r>
                            <w:hyperlink r:id="rId13" w:history="1">
                              <w:r w:rsidR="00875A1A">
                                <w:rPr>
                                  <w:rStyle w:val="Hyperlink"/>
                                </w:rPr>
                                <w:t>Word L</w:t>
                              </w:r>
                              <w:r w:rsidRPr="00875A1A">
                                <w:rPr>
                                  <w:rStyle w:val="Hyperlink"/>
                                </w:rPr>
                                <w:t>ink</w:t>
                              </w:r>
                            </w:hyperlink>
                            <w:r w:rsidRPr="008A302A">
                              <w:t xml:space="preserve"> or </w:t>
                            </w:r>
                            <w:hyperlink r:id="rId14" w:history="1">
                              <w:r w:rsidRPr="00875A1A">
                                <w:rPr>
                                  <w:rStyle w:val="Hyperlink"/>
                                </w:rPr>
                                <w:t xml:space="preserve">Power Point </w:t>
                              </w:r>
                              <w:r w:rsidR="00875A1A">
                                <w:rPr>
                                  <w:rStyle w:val="Hyperlink"/>
                                </w:rPr>
                                <w:t>L</w:t>
                              </w:r>
                              <w:r w:rsidRPr="00875A1A">
                                <w:rPr>
                                  <w:rStyle w:val="Hyperlink"/>
                                </w:rPr>
                                <w:t>ink</w:t>
                              </w:r>
                            </w:hyperlink>
                          </w:p>
                          <w:p w:rsidR="00E612FB" w:rsidRPr="008A302A" w:rsidRDefault="00E612FB" w:rsidP="00E612FB">
                            <w:r w:rsidRPr="008A302A">
                              <w:t xml:space="preserve">Intelligent Cloud Enterprise Skills Initiative One Note - </w:t>
                            </w:r>
                            <w:hyperlink r:id="rId15" w:history="1">
                              <w:r w:rsidR="00875A1A">
                                <w:rPr>
                                  <w:rStyle w:val="Hyperlink"/>
                                </w:rPr>
                                <w:t>L</w:t>
                              </w:r>
                              <w:r w:rsidRPr="00875A1A">
                                <w:rPr>
                                  <w:rStyle w:val="Hyperlink"/>
                                </w:rPr>
                                <w:t>ink</w:t>
                              </w:r>
                            </w:hyperlink>
                            <w:r w:rsidRPr="008A302A">
                              <w:t xml:space="preserve"> - This delivery</w:t>
                            </w:r>
                            <w:r>
                              <w:t xml:space="preserve"> </w:t>
                            </w:r>
                            <w:r w:rsidRPr="008A302A">
                              <w:t>guide provides reference inf</w:t>
                            </w:r>
                            <w:r>
                              <w:t>ormation and execution guidance</w:t>
                            </w:r>
                            <w:r w:rsidRPr="008A302A">
                              <w:t>. It includes</w:t>
                            </w:r>
                            <w:r>
                              <w:t xml:space="preserve"> </w:t>
                            </w:r>
                            <w:r w:rsidRPr="008A302A">
                              <w:t>best practices from the field, step by step process for leveraging SATV and</w:t>
                            </w:r>
                            <w:r>
                              <w:t xml:space="preserve"> </w:t>
                            </w:r>
                            <w:r w:rsidR="00501A6E">
                              <w:t>ECIF</w:t>
                            </w:r>
                            <w:r w:rsidR="00031F57">
                              <w:t>, account team roles</w:t>
                            </w:r>
                            <w:r w:rsidR="00875A1A">
                              <w:t>, responsibilities</w:t>
                            </w:r>
                            <w:r w:rsidRPr="008A302A">
                              <w:t>, and engagement</w:t>
                            </w:r>
                          </w:p>
                          <w:p w:rsidR="00E612FB" w:rsidRDefault="00E612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8.05pt;margin-top:8.5pt;width:300.95pt;height:415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" fillcolor="#d9e2f3 [660]" strokeweight=".5pt">
                <v:fill opacity="11051f"/>
                <v:textbox>
                  <w:txbxContent>
                    <w:p w:rsidR="00E612FB" w:rsidRPr="00961C3D" w:rsidRDefault="00E612FB" w:rsidP="00E612FB">
                      <w:r w:rsidRPr="00E612FB">
                        <w:rPr>
                          <w:b/>
                          <w:color w:val="44546A" w:themeColor="text2"/>
                        </w:rPr>
                        <w:t>Quick Start guide</w:t>
                      </w:r>
                      <w:r>
                        <w:t xml:space="preserve">: </w:t>
                      </w:r>
                      <w:r w:rsidRPr="00961C3D">
                        <w:t>The goal of this is to provide an overview</w:t>
                      </w:r>
                      <w:r>
                        <w:t xml:space="preserve"> </w:t>
                      </w:r>
                      <w:r w:rsidRPr="00961C3D">
                        <w:t>and help</w:t>
                      </w:r>
                      <w:r>
                        <w:t xml:space="preserve"> </w:t>
                      </w:r>
                      <w:r w:rsidRPr="00961C3D">
                        <w:t>you navigate the resources available to you as you prepare to get your</w:t>
                      </w:r>
                      <w:r>
                        <w:t xml:space="preserve"> </w:t>
                      </w:r>
                      <w:r w:rsidRPr="00961C3D">
                        <w:t>customers trained and certified on Azure</w:t>
                      </w:r>
                    </w:p>
                    <w:p w:rsidR="00E612FB" w:rsidRPr="008A302A" w:rsidRDefault="00E612FB" w:rsidP="00E612FB">
                      <w:pPr>
                        <w:spacing w:after="0"/>
                        <w:rPr>
                          <w:b/>
                        </w:rPr>
                      </w:pPr>
                      <w:r w:rsidRPr="00E612FB">
                        <w:rPr>
                          <w:b/>
                          <w:color w:val="4472C4" w:themeColor="accent1"/>
                        </w:rPr>
                        <w:t>1. CSA to identify customer learning needs</w:t>
                      </w:r>
                    </w:p>
                    <w:p w:rsidR="00E612FB" w:rsidRPr="00961C3D" w:rsidRDefault="00E612FB" w:rsidP="00E612FB">
                      <w:pPr>
                        <w:spacing w:after="0"/>
                      </w:pPr>
                      <w:r w:rsidRPr="00961C3D">
                        <w:t>Align with and use your Customer Success Solution Plan</w:t>
                      </w:r>
                    </w:p>
                    <w:p w:rsidR="00E612FB" w:rsidRDefault="00E612FB" w:rsidP="00E612FB">
                      <w:pPr>
                        <w:spacing w:after="0"/>
                        <w:rPr>
                          <w:b/>
                        </w:rPr>
                      </w:pPr>
                    </w:p>
                    <w:p w:rsidR="00E612FB" w:rsidRPr="00E612FB" w:rsidRDefault="00E612FB" w:rsidP="00E612FB">
                      <w:pPr>
                        <w:spacing w:after="0"/>
                        <w:rPr>
                          <w:b/>
                          <w:color w:val="44546A" w:themeColor="text2"/>
                        </w:rPr>
                      </w:pPr>
                      <w:r w:rsidRPr="00E612FB">
                        <w:rPr>
                          <w:b/>
                          <w:color w:val="44546A" w:themeColor="text2"/>
                        </w:rPr>
                        <w:t>Obtain Customer Commitment</w:t>
                      </w:r>
                    </w:p>
                    <w:p w:rsidR="00E612FB" w:rsidRPr="00191DB2" w:rsidRDefault="00E612FB" w:rsidP="00E612FB">
                      <w:pPr>
                        <w:spacing w:after="0"/>
                      </w:pPr>
                      <w:r>
                        <w:t>1</w:t>
                      </w:r>
                      <w:r w:rsidRPr="00191DB2">
                        <w:t>. CSA to identify Azure skills sponsor at customer.</w:t>
                      </w:r>
                    </w:p>
                    <w:p w:rsidR="00E612FB" w:rsidRPr="00191DB2" w:rsidRDefault="00E612FB" w:rsidP="00E612FB">
                      <w:pPr>
                        <w:spacing w:after="0"/>
                      </w:pPr>
                      <w:r w:rsidRPr="00191DB2">
                        <w:t>2. CSA to identify customer learning needs in respect to business</w:t>
                      </w:r>
                      <w:r>
                        <w:t xml:space="preserve"> goals</w:t>
                      </w:r>
                      <w:r w:rsidRPr="00191DB2">
                        <w:t>, and match with available courses from the training menu</w:t>
                      </w:r>
                      <w:r>
                        <w:t>.</w:t>
                      </w:r>
                      <w:r w:rsidRPr="00191DB2">
                        <w:t xml:space="preserve"> For</w:t>
                      </w:r>
                      <w:r>
                        <w:t xml:space="preserve"> </w:t>
                      </w:r>
                      <w:r w:rsidRPr="00191DB2">
                        <w:t>courses that will be delivered by Learning Partners, CSA should work</w:t>
                      </w:r>
                      <w:r>
                        <w:t xml:space="preserve"> </w:t>
                      </w:r>
                      <w:r w:rsidRPr="00191DB2">
                        <w:t>with the PSE who can provide guidance in both partner and content selection.</w:t>
                      </w:r>
                    </w:p>
                    <w:p w:rsidR="00E612FB" w:rsidRPr="00191DB2" w:rsidRDefault="00E612FB" w:rsidP="00E612FB">
                      <w:pPr>
                        <w:spacing w:after="0"/>
                      </w:pPr>
                      <w:r w:rsidRPr="00191DB2">
                        <w:t>3. CSA to obtain customer agreement on prioritized list of users</w:t>
                      </w:r>
                      <w:r>
                        <w:t>.</w:t>
                      </w:r>
                    </w:p>
                    <w:p w:rsidR="00E612FB" w:rsidRDefault="00E612FB" w:rsidP="00E612FB">
                      <w:pPr>
                        <w:spacing w:after="0"/>
                        <w:rPr>
                          <w:b/>
                          <w:color w:val="44546A" w:themeColor="text2"/>
                        </w:rPr>
                      </w:pPr>
                    </w:p>
                    <w:p w:rsidR="00E612FB" w:rsidRPr="00E612FB" w:rsidRDefault="00E612FB" w:rsidP="00E612FB">
                      <w:pPr>
                        <w:spacing w:after="0"/>
                        <w:rPr>
                          <w:b/>
                          <w:color w:val="44546A" w:themeColor="text2"/>
                        </w:rPr>
                      </w:pPr>
                      <w:r w:rsidRPr="00E612FB">
                        <w:rPr>
                          <w:b/>
                          <w:color w:val="44546A" w:themeColor="text2"/>
                        </w:rPr>
                        <w:t>Assess gaps to desired skills</w:t>
                      </w:r>
                    </w:p>
                    <w:p w:rsidR="00E612FB" w:rsidRPr="008A302A" w:rsidRDefault="00E612FB" w:rsidP="00E612FB">
                      <w:pPr>
                        <w:spacing w:after="0"/>
                      </w:pPr>
                      <w:r w:rsidRPr="008A302A">
                        <w:t>CSA to assess and document skills gaps of customer roles</w:t>
                      </w:r>
                    </w:p>
                    <w:p w:rsidR="00501A6E" w:rsidRDefault="00501A6E" w:rsidP="00501A6E">
                      <w:pPr>
                        <w:spacing w:after="0"/>
                        <w:rPr>
                          <w:b/>
                          <w:color w:val="4472C4" w:themeColor="accent1"/>
                        </w:rPr>
                      </w:pPr>
                    </w:p>
                    <w:p w:rsidR="00E612FB" w:rsidRPr="00E612FB" w:rsidRDefault="00501A6E" w:rsidP="00501A6E">
                      <w:pPr>
                        <w:spacing w:after="0"/>
                        <w:rPr>
                          <w:b/>
                          <w:color w:val="4472C4" w:themeColor="accent1"/>
                        </w:rPr>
                      </w:pPr>
                      <w:r>
                        <w:rPr>
                          <w:b/>
                          <w:color w:val="4472C4" w:themeColor="accent1"/>
                        </w:rPr>
                        <w:t>2</w:t>
                      </w:r>
                      <w:r w:rsidR="00E612FB" w:rsidRPr="00E612FB">
                        <w:rPr>
                          <w:b/>
                          <w:color w:val="4472C4" w:themeColor="accent1"/>
                        </w:rPr>
                        <w:t>. Create customer learning plan</w:t>
                      </w:r>
                    </w:p>
                    <w:p w:rsidR="00E612FB" w:rsidRPr="008A302A" w:rsidRDefault="00E612FB" w:rsidP="00501A6E">
                      <w:pPr>
                        <w:spacing w:after="0"/>
                      </w:pPr>
                      <w:r w:rsidRPr="00E612FB">
                        <w:rPr>
                          <w:b/>
                          <w:color w:val="44546A" w:themeColor="text2"/>
                        </w:rPr>
                        <w:t>Learning Plan Template</w:t>
                      </w:r>
                      <w:r w:rsidRPr="00E612FB">
                        <w:rPr>
                          <w:color w:val="44546A" w:themeColor="text2"/>
                        </w:rPr>
                        <w:t xml:space="preserve"> </w:t>
                      </w:r>
                      <w:r w:rsidRPr="008A302A">
                        <w:t xml:space="preserve">- </w:t>
                      </w:r>
                      <w:hyperlink r:id="rId16" w:history="1">
                        <w:r w:rsidR="00875A1A">
                          <w:rPr>
                            <w:rStyle w:val="Hyperlink"/>
                          </w:rPr>
                          <w:t>Word L</w:t>
                        </w:r>
                        <w:r w:rsidRPr="00875A1A">
                          <w:rPr>
                            <w:rStyle w:val="Hyperlink"/>
                          </w:rPr>
                          <w:t>ink</w:t>
                        </w:r>
                      </w:hyperlink>
                      <w:r w:rsidRPr="008A302A">
                        <w:t xml:space="preserve"> or </w:t>
                      </w:r>
                      <w:hyperlink r:id="rId17" w:history="1">
                        <w:r w:rsidRPr="00875A1A">
                          <w:rPr>
                            <w:rStyle w:val="Hyperlink"/>
                          </w:rPr>
                          <w:t xml:space="preserve">Power Point </w:t>
                        </w:r>
                        <w:r w:rsidR="00875A1A">
                          <w:rPr>
                            <w:rStyle w:val="Hyperlink"/>
                          </w:rPr>
                          <w:t>L</w:t>
                        </w:r>
                        <w:r w:rsidRPr="00875A1A">
                          <w:rPr>
                            <w:rStyle w:val="Hyperlink"/>
                          </w:rPr>
                          <w:t>ink</w:t>
                        </w:r>
                      </w:hyperlink>
                    </w:p>
                    <w:p w:rsidR="00E612FB" w:rsidRPr="008A302A" w:rsidRDefault="00E612FB" w:rsidP="00E612FB">
                      <w:r w:rsidRPr="008A302A">
                        <w:t xml:space="preserve">Intelligent Cloud Enterprise Skills Initiative One Note - </w:t>
                      </w:r>
                      <w:hyperlink r:id="rId18" w:history="1">
                        <w:r w:rsidR="00875A1A">
                          <w:rPr>
                            <w:rStyle w:val="Hyperlink"/>
                          </w:rPr>
                          <w:t>L</w:t>
                        </w:r>
                        <w:r w:rsidRPr="00875A1A">
                          <w:rPr>
                            <w:rStyle w:val="Hyperlink"/>
                          </w:rPr>
                          <w:t>ink</w:t>
                        </w:r>
                      </w:hyperlink>
                      <w:r w:rsidRPr="008A302A">
                        <w:t xml:space="preserve"> - This delivery</w:t>
                      </w:r>
                      <w:r>
                        <w:t xml:space="preserve"> </w:t>
                      </w:r>
                      <w:r w:rsidRPr="008A302A">
                        <w:t>guide provides reference inf</w:t>
                      </w:r>
                      <w:r>
                        <w:t>ormation and execution guidance</w:t>
                      </w:r>
                      <w:r w:rsidRPr="008A302A">
                        <w:t>. It includes</w:t>
                      </w:r>
                      <w:r>
                        <w:t xml:space="preserve"> </w:t>
                      </w:r>
                      <w:r w:rsidRPr="008A302A">
                        <w:t>best practices from the field, step by step process for leveraging SATV and</w:t>
                      </w:r>
                      <w:r>
                        <w:t xml:space="preserve"> </w:t>
                      </w:r>
                      <w:r w:rsidR="00501A6E">
                        <w:t>ECIF</w:t>
                      </w:r>
                      <w:r w:rsidR="00031F57">
                        <w:t>, account team roles</w:t>
                      </w:r>
                      <w:r w:rsidR="00875A1A">
                        <w:t>, responsibilities</w:t>
                      </w:r>
                      <w:r w:rsidRPr="008A302A">
                        <w:t>, and engagement</w:t>
                      </w:r>
                    </w:p>
                    <w:p w:rsidR="00E612FB" w:rsidRDefault="00E612FB"/>
                  </w:txbxContent>
                </v:textbox>
              </v:shape>
            </w:pict>
          </mc:Fallback>
        </mc:AlternateContent>
      </w:r>
    </w:p>
    <w:p w:rsidR="00E612FB" w:rsidRDefault="00E612FB"/>
    <w:p w:rsidR="00E612FB" w:rsidRDefault="00E612FB"/>
    <w:p w:rsidR="00E612FB" w:rsidRDefault="00E612FB"/>
    <w:p w:rsidR="00E612FB" w:rsidRDefault="00E612FB"/>
    <w:p w:rsidR="00E612FB" w:rsidRDefault="00E612FB"/>
    <w:p w:rsidR="00E612FB" w:rsidRDefault="00E612FB"/>
    <w:p w:rsidR="00DE39C9" w:rsidRPr="008A302A" w:rsidRDefault="00DE39C9" w:rsidP="008A302A"/>
    <w:p w:rsidR="00E612FB" w:rsidRDefault="00E612FB" w:rsidP="008A302A">
      <w:pPr>
        <w:rPr>
          <w:b/>
        </w:rPr>
      </w:pPr>
    </w:p>
    <w:p w:rsidR="00E612FB" w:rsidRDefault="00E612FB" w:rsidP="008A302A">
      <w:pPr>
        <w:rPr>
          <w:b/>
        </w:rPr>
      </w:pPr>
    </w:p>
    <w:p w:rsidR="00E612FB" w:rsidRDefault="00E612FB" w:rsidP="008A302A">
      <w:pPr>
        <w:rPr>
          <w:b/>
        </w:rPr>
      </w:pPr>
    </w:p>
    <w:p w:rsidR="00E612FB" w:rsidRDefault="00E612FB" w:rsidP="008A302A">
      <w:pPr>
        <w:rPr>
          <w:b/>
        </w:rPr>
      </w:pPr>
    </w:p>
    <w:p w:rsidR="00E612FB" w:rsidRDefault="00E612FB" w:rsidP="008A302A">
      <w:pPr>
        <w:rPr>
          <w:b/>
        </w:rPr>
      </w:pPr>
    </w:p>
    <w:p w:rsidR="00E612FB" w:rsidRDefault="00E612FB" w:rsidP="008A302A">
      <w:pPr>
        <w:rPr>
          <w:b/>
        </w:rPr>
      </w:pPr>
    </w:p>
    <w:p w:rsidR="00E612FB" w:rsidRDefault="00E612FB" w:rsidP="008A302A">
      <w:pPr>
        <w:rPr>
          <w:b/>
        </w:rPr>
      </w:pPr>
    </w:p>
    <w:p w:rsidR="00E612FB" w:rsidRDefault="00E612FB" w:rsidP="008A302A">
      <w:pPr>
        <w:rPr>
          <w:b/>
        </w:rPr>
      </w:pPr>
    </w:p>
    <w:p w:rsidR="00E612FB" w:rsidRDefault="00E612FB" w:rsidP="008A302A">
      <w:pPr>
        <w:rPr>
          <w:b/>
        </w:rPr>
      </w:pPr>
    </w:p>
    <w:p w:rsidR="00E612FB" w:rsidRDefault="00E612FB" w:rsidP="008A302A">
      <w:pPr>
        <w:rPr>
          <w:b/>
        </w:rPr>
      </w:pPr>
    </w:p>
    <w:sectPr w:rsidR="00E612FB" w:rsidSect="00E612F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8E6" w:rsidRDefault="004B08E6" w:rsidP="00961C3D">
      <w:pPr>
        <w:spacing w:after="0" w:line="240" w:lineRule="auto"/>
      </w:pPr>
      <w:r>
        <w:separator/>
      </w:r>
    </w:p>
  </w:endnote>
  <w:endnote w:type="continuationSeparator" w:id="0">
    <w:p w:rsidR="004B08E6" w:rsidRDefault="004B08E6" w:rsidP="0096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A6E" w:rsidRDefault="00501A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2FB" w:rsidRDefault="00E612FB" w:rsidP="00E612FB">
    <w:pPr>
      <w:pStyle w:val="Footer"/>
      <w:jc w:val="right"/>
    </w:pPr>
    <w:r>
      <w:rPr>
        <w:noProof/>
      </w:rPr>
      <w:drawing>
        <wp:inline distT="0" distB="0" distL="0" distR="0">
          <wp:extent cx="1069972" cy="71331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s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980" cy="721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A6E" w:rsidRDefault="00501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8E6" w:rsidRDefault="004B08E6" w:rsidP="00961C3D">
      <w:pPr>
        <w:spacing w:after="0" w:line="240" w:lineRule="auto"/>
      </w:pPr>
      <w:r>
        <w:separator/>
      </w:r>
    </w:p>
  </w:footnote>
  <w:footnote w:type="continuationSeparator" w:id="0">
    <w:p w:rsidR="004B08E6" w:rsidRDefault="004B08E6" w:rsidP="0096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A6E" w:rsidRDefault="00501A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02A" w:rsidRDefault="008A302A" w:rsidP="008A302A">
    <w:r w:rsidRPr="00961C3D">
      <w:t>Quick Start guide</w:t>
    </w:r>
    <w:r>
      <w:t>: Enterprise Skills Customer Learning Plan</w:t>
    </w:r>
  </w:p>
  <w:p w:rsidR="008A302A" w:rsidRDefault="008A30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A6E" w:rsidRDefault="00501A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26CE4"/>
    <w:multiLevelType w:val="hybridMultilevel"/>
    <w:tmpl w:val="53A2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50E5D"/>
    <w:multiLevelType w:val="hybridMultilevel"/>
    <w:tmpl w:val="4F90C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F1BF1"/>
    <w:multiLevelType w:val="hybridMultilevel"/>
    <w:tmpl w:val="5B4264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746348"/>
    <w:multiLevelType w:val="hybridMultilevel"/>
    <w:tmpl w:val="3E4C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65843"/>
    <w:multiLevelType w:val="hybridMultilevel"/>
    <w:tmpl w:val="9DAC43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187F45"/>
    <w:multiLevelType w:val="hybridMultilevel"/>
    <w:tmpl w:val="701A12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3D"/>
    <w:rsid w:val="00011A25"/>
    <w:rsid w:val="00031F57"/>
    <w:rsid w:val="00191DB2"/>
    <w:rsid w:val="001F6F85"/>
    <w:rsid w:val="00353AC8"/>
    <w:rsid w:val="003F6734"/>
    <w:rsid w:val="004A084C"/>
    <w:rsid w:val="004B08E6"/>
    <w:rsid w:val="00501A6E"/>
    <w:rsid w:val="00617E62"/>
    <w:rsid w:val="006E512C"/>
    <w:rsid w:val="00875A1A"/>
    <w:rsid w:val="008A302A"/>
    <w:rsid w:val="00961C3D"/>
    <w:rsid w:val="009F6544"/>
    <w:rsid w:val="00CC6DA3"/>
    <w:rsid w:val="00DE39C9"/>
    <w:rsid w:val="00E612FB"/>
    <w:rsid w:val="00E8722E"/>
    <w:rsid w:val="00ED3E12"/>
    <w:rsid w:val="00F3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E8AF4A-ED6A-47C5-82A2-AEE8C283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1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02A"/>
  </w:style>
  <w:style w:type="paragraph" w:styleId="Footer">
    <w:name w:val="footer"/>
    <w:basedOn w:val="Normal"/>
    <w:link w:val="FooterChar"/>
    <w:uiPriority w:val="99"/>
    <w:unhideWhenUsed/>
    <w:rsid w:val="008A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02A"/>
  </w:style>
  <w:style w:type="character" w:styleId="Hyperlink">
    <w:name w:val="Hyperlink"/>
    <w:basedOn w:val="DefaultParagraphFont"/>
    <w:uiPriority w:val="99"/>
    <w:unhideWhenUsed/>
    <w:rsid w:val="00353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A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11A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9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microsoft.sharepoint.com/:w:/r/sites/Infopedia_G01KC/_layouts/15/WopiFrame.aspx?sourcedoc=%7B935362ec-e2d0-4f03-be22-8d1ccb45fa14%7D&amp;action=default&amp;DefaultItemOpen=1" TargetMode="External"/><Relationship Id="rId18" Type="http://schemas.openxmlformats.org/officeDocument/2006/relationships/hyperlink" Target="https://microsoft.sharepoint.com/sites/Infopedia_G01KC/_layouts/15/WopiFrame.aspx?sourcedoc=%7b666cba0e-5fae-414e-9a6e-5c9241b7b976%7d&amp;action=view&amp;wd=target%28Get%20started.one%7C6b578586-a035-4d36-9e84-4dbde26d34f9%2FIntroduction%7Cf15fd275-61c9-46cf-9c75-b5cf11ce84dc%2F%2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icrosoft.sharepoint.com/sites/Infopedia_G01KC/_layouts/15/WopiFrame.aspx?sourcedoc=%7b666cba0e-5fae-414e-9a6e-5c9241b7b976%7d&amp;action=view&amp;wd=target%28Get%20started.one%7C6b578586-a035-4d36-9e84-4dbde26d34f9%2FIntroduction%7Cf15fd275-61c9-46cf-9c75-b5cf11ce84dc%2F%29" TargetMode="External"/><Relationship Id="rId17" Type="http://schemas.openxmlformats.org/officeDocument/2006/relationships/hyperlink" Target="https://microsoft.sharepoint.com/:p:/r/sites/Infopedia_G01KC/_layouts/15/WopiFrame.aspx?sourcedoc=%7B7f737bf6-f82d-48e9-b9ba-e4e9336146ed%7D&amp;action=default&amp;DefaultItemOpen=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icrosoft.sharepoint.com/:w:/r/sites/Infopedia_G01KC/_layouts/15/WopiFrame.aspx?sourcedoc=%7B935362ec-e2d0-4f03-be22-8d1ccb45fa14%7D&amp;action=default&amp;DefaultItemOpen=1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crosoft.sharepoint.com/sites/Infopedia_G01KC/_layouts/15/WopiFrame.aspx?sourcedoc=%7b666cba0e-5fae-414e-9a6e-5c9241b7b976%7d&amp;action=view&amp;wd=target%28Get%20started.one%7C6b578586-a035-4d36-9e84-4dbde26d34f9%2FIntroduction%7Cf15fd275-61c9-46cf-9c75-b5cf11ce84dc%2F%29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microsoft.sharepoint.com/sites/Infopedia_G01KC/_layouts/15/WopiFrame.aspx?sourcedoc=%7b666cba0e-5fae-414e-9a6e-5c9241b7b976%7d&amp;action=view&amp;wd=target%28Get%20started.one%7C6b578586-a035-4d36-9e84-4dbde26d34f9%2FIntroduction%7Cf15fd275-61c9-46cf-9c75-b5cf11ce84dc%2F%29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microsoft.sharepoint.com/sites/Infopedia_G01KC/_layouts/15/WopiFrame.aspx?sourcedoc=%7b666cba0e-5fae-414e-9a6e-5c9241b7b976%7d&amp;action=view&amp;wd=target%28Get%20started.one%7C6b578586-a035-4d36-9e84-4dbde26d34f9%2FIntroduction%7Cf15fd275-61c9-46cf-9c75-b5cf11ce84dc%2F%29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crosoft.sharepoint.com/sites/Infopedia_G01KC/_layouts/15/WopiFrame.aspx?sourcedoc=%7b666cba0e-5fae-414e-9a6e-5c9241b7b976%7d&amp;action=view&amp;wd=target%28Get%20started.one%7C6b578586-a035-4d36-9e84-4dbde26d34f9%2FIntroduction%7Cf15fd275-61c9-46cf-9c75-b5cf11ce84dc%2F%29" TargetMode="External"/><Relationship Id="rId14" Type="http://schemas.openxmlformats.org/officeDocument/2006/relationships/hyperlink" Target="https://microsoft.sharepoint.com/:p:/r/sites/Infopedia_G01KC/_layouts/15/WopiFrame.aspx?sourcedoc=%7B7f737bf6-f82d-48e9-b9ba-e4e9336146ed%7D&amp;action=default&amp;DefaultItemOpen=1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C821A-A247-42F2-81DC-2D735C053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Shahnewaz</dc:creator>
  <cp:keywords/>
  <dc:description/>
  <cp:lastModifiedBy>Farhan Shahnewaz</cp:lastModifiedBy>
  <cp:revision>5</cp:revision>
  <dcterms:created xsi:type="dcterms:W3CDTF">2018-10-25T20:41:00Z</dcterms:created>
  <dcterms:modified xsi:type="dcterms:W3CDTF">2018-10-30T18:15:00Z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fashahne@microsoft.com</vt:lpwstr>
  </property>
  <property fmtid="{D5CDD505-2E9C-101B-9397-08002B2CF9AE}" pid="5" name="MSIP_Label_f42aa342-8706-4288-bd11-ebb85995028c_SetDate">
    <vt:lpwstr>2018-10-25T20:48:47.8053681Z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