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服装は個人の趣味にとどまらず、自己認知や意欲、他者評価、職業上の役割遂行に関わる。にもかかわらず、衣服を自分で選ぶ力がどう育つのかは十分に検討されていない。日本では学生も診断やアプリ、生成AIを「似合う」の手がかりとする一方、「自分はどうしたいか」を言語化できない場合がある。本研究は、助言を自らの目的とTPOに照らして吟味し採否を説明できる力を装い選択自律性（Clothing Choice Autonomy：CCA）と定義し、その形成過程と、装いから生じる持続的な心理的安定感（FPS）への効果を解明する。五つの主要コレクション開催都市（東京、パリ、ミラノ、ロンドン、ニューヨーク）の質的比較、東アジア3カ国（日本・台湾・韓国）各300名の量的比較、AIを含む教育介入（3群・計180名）により検証する。被服心理学の焦点を着用効果から選択主体の形成へ広げ、人・診断・アプリ・AIによる介助を統合するモデルと尺度を提示し、学生や就業者が主体的に服を選び社会へ参加するための教育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および台湾で得た質的データは、2年目の東アジア量的比較における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4320000" cy="928800"/>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4320000" cy="928800"/>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4140000" cy="1345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4140000" cy="1345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結果から尺度項目を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600000" cy="146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600000" cy="1462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FPS尺度は127名・125名の予備調査で信頼性と因子構造を確認し、日本感性工学会（2026年9月）で発表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【研究遂行能力】申請者は、</w:t>
      </w:r>
      <w:r>
        <w:rPr>
          <w:rFonts w:ascii="Cambria Math" w:eastAsia="ＭＳ 明朝" w:hAnsi="Cambria Math" w:cs="Cambria Math"/>
          <w:sz w:val="22"/>
        </w:rPr>
        <w:t>①</w:t>
      </w:r>
      <w:r>
        <w:rPr>
          <w:rFonts w:ascii="Times New Roman" w:eastAsia="ＭＳ 明朝"/>
          <w:sz w:val="22"/>
        </w:rPr>
        <w:t>半構造化面接と現地観察、</w:t>
      </w:r>
      <w:r>
        <w:rPr>
          <w:rFonts w:ascii="Cambria Math" w:eastAsia="ＭＳ 明朝" w:hAnsi="Cambria Math" w:cs="Cambria Math"/>
          <w:sz w:val="22"/>
        </w:rPr>
        <w:t>②</w:t>
      </w:r>
      <w:r>
        <w:rPr>
          <w:rFonts w:ascii="Times New Roman" w:eastAsia="ＭＳ 明朝"/>
          <w:sz w:val="22"/>
        </w:rPr>
        <w:t>尺度項目の作成と信頼性・妥当性の検証、</w:t>
      </w:r>
      <w:r>
        <w:rPr>
          <w:rFonts w:ascii="Cambria Math" w:eastAsia="ＭＳ 明朝" w:hAnsi="Cambria Math" w:cs="Cambria Math"/>
          <w:sz w:val="22"/>
        </w:rPr>
        <w:t>③</w:t>
      </w:r>
      <w:r>
        <w:rPr>
          <w:rFonts w:ascii="Times New Roman" w:eastAsia="ＭＳ 明朝"/>
          <w:sz w:val="22"/>
        </w:rPr>
        <w:t>多変量解析による類型化、</w:t>
      </w:r>
      <w:r>
        <w:rPr>
          <w:rFonts w:ascii="Cambria Math" w:eastAsia="ＭＳ 明朝" w:hAnsi="Cambria Math" w:cs="Cambria Math"/>
          <w:sz w:val="22"/>
        </w:rPr>
        <w:t>④</w:t>
      </w:r>
      <w:r>
        <w:rPr>
          <w:rFonts w:ascii="Times New Roman" w:eastAsia="ＭＳ 明朝"/>
          <w:sz w:val="22"/>
        </w:rPr>
        <w:t>授業と連動した縦断データの取得、</w:t>
      </w:r>
      <w:r>
        <w:rPr>
          <w:rFonts w:ascii="Cambria Math" w:eastAsia="ＭＳ 明朝" w:hAnsi="Cambria Math" w:cs="Cambria Math"/>
          <w:sz w:val="22"/>
        </w:rPr>
        <w:t>⑤</w:t>
      </w:r>
      <w:r>
        <w:rPr>
          <w:rFonts w:ascii="Times New Roman" w:eastAsia="ＭＳ 明朝"/>
          <w:sz w:val="22"/>
        </w:rPr>
        <w:t>多地域での調査調整を経験してきた。第</w:t>
      </w:r>
      <w:r>
        <w:rPr>
          <w:rFonts w:ascii="Times New Roman" w:eastAsia="ＭＳ 明朝"/>
          <w:sz w:val="22"/>
        </w:rPr>
        <w:t>1</w:t>
      </w:r>
      <w:r>
        <w:rPr>
          <w:rFonts w:ascii="Times New Roman" w:eastAsia="ＭＳ 明朝"/>
          <w:sz w:val="22"/>
        </w:rPr>
        <w:t>回調査では、日本語で自明視されやすい「似合う」を文化間で比較できる質問へ翻訳する際、語の直訳だけでは自己基準、他者評価、場面適合の違いを捉えられないことを確認した。この経験を踏まえ、逐語録の分析では複数研究者によるコード確認と反例探索を行い、質問紙では翻訳・逆翻訳、認知面接、測定不変性の検証を段階的に実施する。質的所見を尺度項目へ接続し、量的結果で再検討する混合研究法を一貫して運用できる点が、本研究を遂行する基盤であ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【研究分担者：石井国雄（東京家政大学・准教授／社会心理学）】石井は、色彩・着装が着用者の自己認知に及ぼす効果を統制実験で検証してきた</w:t>
      </w:r>
      <w:r>
        <w:rPr>
          <w:rFonts w:ascii="Times New Roman" w:eastAsia="ＭＳ 明朝"/>
          <w:sz w:val="22"/>
        </w:rPr>
        <w:t>[8][9][10]</w:t>
      </w:r>
      <w:r>
        <w:rPr>
          <w:rFonts w:ascii="Times New Roman" w:eastAsia="ＭＳ 明朝"/>
          <w:sz w:val="22"/>
        </w:rPr>
        <w:t>。本研究では、装い選択自</w:t>
      </w:r>
    </w:p>
    <w:p w14:paraId="332F22F8" w14:textId="77777777" w:rsidR="002B0075" w:rsidRDefault="002B0075" w:rsidP="002B0075">
      <w:r>
        <w:rPr>
          <w:rFonts w:ascii="Times New Roman" w:eastAsia="ＭＳ 明朝"/>
          <w:sz w:val="22"/>
        </w:rPr>
        <w:lastRenderedPageBreak/>
        <w:t>律性、評価懸念、</w:t>
      </w:r>
      <w:r>
        <w:rPr>
          <w:rFonts w:ascii="Times New Roman" w:eastAsia="ＭＳ 明朝"/>
          <w:sz w:val="22"/>
        </w:rPr>
        <w:t>FPS</w:t>
      </w:r>
      <w:r>
        <w:rPr>
          <w:rFonts w:ascii="Times New Roman" w:eastAsia="ＭＳ 明朝"/>
          <w:sz w:val="22"/>
        </w:rPr>
        <w:t>の因果関係を検証するため、尺度構成、比較群を伴う教育介入の設計、混合効果モデル、媒介分析を担当する。</w:t>
      </w:r>
      <w:r>
        <w:rPr>
          <w:rFonts w:ascii="Times New Roman" w:eastAsia="ＭＳ 明朝"/>
          <w:sz w:val="22"/>
        </w:rPr>
        <w:t>AI</w:t>
      </w:r>
      <w:r>
        <w:rPr>
          <w:rFonts w:ascii="Times New Roman" w:eastAsia="ＭＳ 明朝"/>
          <w:sz w:val="22"/>
        </w:rPr>
        <w:t>助言の提示条件と情報量を揃え、助言内容そのものの差と、利用者が助言を吟味する過程の効果を区別できる実験計画を設計する。代表者と同一キャンパスに所属するため、募集、授業実施、追跡測定、データ管理を継続的に協働できる。</w:t>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【研究協力体制】第</w:t>
      </w:r>
      <w:r>
        <w:rPr>
          <w:rFonts w:ascii="Times New Roman" w:eastAsia="ＭＳ 明朝"/>
          <w:sz w:val="22"/>
        </w:rPr>
        <w:t>1</w:t>
      </w:r>
      <w:r>
        <w:rPr>
          <w:rFonts w:ascii="Times New Roman" w:eastAsia="ＭＳ 明朝"/>
          <w:sz w:val="22"/>
        </w:rPr>
        <w:t>回調査で構築したパリ、ニューヨーク、台湾、韓国の教育機関・実務家との接点を継続する。欧米質的調査では、パリ、ミラノ、ロンドン、ニューヨークの現地協力者が参加者紹介、通訳、文化的解釈の確認に協力する。東アジアでは、嶺東科技大学の陳高生氏が台湾調査の翻訳確認と実施に協力する。韓国調査は清州大学教授と協力を交渉中であり、</w:t>
      </w:r>
      <w:r>
        <w:rPr>
          <w:rFonts w:ascii="Times New Roman" w:eastAsia="ＭＳ 明朝"/>
          <w:sz w:val="22"/>
        </w:rPr>
        <w:t>1</w:t>
      </w:r>
      <w:r>
        <w:rPr>
          <w:rFonts w:ascii="Times New Roman" w:eastAsia="ＭＳ 明朝"/>
          <w:sz w:val="22"/>
        </w:rPr>
        <w:t>年目に募集、翻訳、倫理手続を含む実施体制を確定する。台湾・韓国での打合せでは、単語の置換に終わらない翻訳方法、学生への依頼経路、回答者属性の揃え方、調査時期、データ受渡し方法を確認する。各地域で質問の意味が同じかを協力者と確認する一方、国ごとの差を固定的な国民性へ還元しない分析方針を共有する。研究説明、同意取得、データ管理、分析、公表の最終責任は研究代表者が負う。</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・オーストラリア（</w:t>
      </w:r>
      <w:r>
        <w:rPr>
          <w:rFonts w:ascii="Times New Roman" w:eastAsia="ＭＳ 明朝"/>
          <w:sz w:val="22"/>
        </w:rPr>
        <w:t>Curtin University</w:t>
      </w:r>
      <w:r>
        <w:rPr>
          <w:rFonts w:ascii="Times New Roman" w:eastAsia="ＭＳ 明朝"/>
          <w:sz w:val="22"/>
        </w:rPr>
        <w:t>）でのワードローブ研究・教育交流、ノルウェーでの現地調査など、複数地域での調査経験。次期研究では欧米の量的比較に加え、持続可能な衣生活と自己選択の関係を検討するため、オーストラリアおよび北欧への比較拡張を展望する。</w:t>
      </w:r>
    </w:p>
    <w:p w14:paraId="0298E50B" w14:textId="77777777" w:rsidR="002B0075" w:rsidRDefault="002B0075" w:rsidP="002B0075">
      <w:r>
        <w:rPr>
          <w:rFonts w:ascii="Times New Roman" w:eastAsia="ＭＳ 明朝"/>
          <w:sz w:val="22"/>
        </w:rPr>
        <w:t>・</w:t>
      </w:r>
      <w:r>
        <w:rPr>
          <w:rFonts w:ascii="Times New Roman" w:eastAsia="ＭＳ 明朝"/>
          <w:sz w:val="22"/>
        </w:rPr>
        <w:t>ARAHE</w:t>
      </w:r>
      <w:r>
        <w:rPr>
          <w:rFonts w:ascii="Times New Roman" w:eastAsia="ＭＳ 明朝"/>
          <w:sz w:val="22"/>
        </w:rPr>
        <w:t>（アジア地区家政学会）等での継続的な研究発表</w:t>
      </w:r>
      <w:r>
        <w:rPr>
          <w:rFonts w:ascii="Times New Roman" w:eastAsia="ＭＳ 明朝"/>
          <w:sz w:val="22"/>
        </w:rPr>
        <w:t>[4]</w:t>
      </w:r>
      <w:r>
        <w:rPr>
          <w:rFonts w:ascii="Times New Roman" w:eastAsia="ＭＳ 明朝"/>
          <w:sz w:val="22"/>
        </w:rPr>
        <w:t>と、家政学・服装学分野の国際ネットワーク。本研究では、このネットワークを単なる参加者募集の経路ではなく、概念と測定方法を共同で吟味する研究基盤として用いる。</w:t>
      </w:r>
      <w:r>
        <w:rPr>
          <w:rFonts w:ascii="Times New Roman" w:eastAsia="ＭＳ 明朝"/>
          <w:sz w:val="22"/>
        </w:rPr>
        <w:t>1</w:t>
      </w:r>
      <w:r>
        <w:rPr>
          <w:rFonts w:ascii="Times New Roman" w:eastAsia="ＭＳ 明朝"/>
          <w:sz w:val="22"/>
        </w:rPr>
        <w:t>年目の質的コードブック、</w:t>
      </w:r>
      <w:r>
        <w:rPr>
          <w:rFonts w:ascii="Times New Roman" w:eastAsia="ＭＳ 明朝"/>
          <w:sz w:val="22"/>
        </w:rPr>
        <w:t>2</w:t>
      </w:r>
      <w:r>
        <w:rPr>
          <w:rFonts w:ascii="Times New Roman" w:eastAsia="ＭＳ 明朝"/>
          <w:sz w:val="22"/>
        </w:rPr>
        <w:t>年目の翻訳版尺度、</w:t>
      </w:r>
      <w:r>
        <w:rPr>
          <w:rFonts w:ascii="Times New Roman" w:eastAsia="ＭＳ 明朝"/>
          <w:sz w:val="22"/>
        </w:rPr>
        <w:t>3</w:t>
      </w:r>
      <w:r>
        <w:rPr>
          <w:rFonts w:ascii="Times New Roman" w:eastAsia="ＭＳ 明朝"/>
          <w:sz w:val="22"/>
        </w:rPr>
        <w:t>年目の</w:t>
      </w:r>
      <w:r>
        <w:rPr>
          <w:rFonts w:ascii="Times New Roman" w:eastAsia="ＭＳ 明朝"/>
          <w:sz w:val="22"/>
        </w:rPr>
        <w:t>AI</w:t>
      </w:r>
      <w:r>
        <w:rPr>
          <w:rFonts w:ascii="Times New Roman" w:eastAsia="ＭＳ 明朝"/>
          <w:sz w:val="22"/>
        </w:rPr>
        <w:t>活用教材について、協力者から文化的解釈と教育現場での適用可能性に関する意見を得る。成果は国内学会だけでなく</w:t>
      </w:r>
      <w:r>
        <w:rPr>
          <w:rFonts w:ascii="Times New Roman" w:eastAsia="ＭＳ 明朝"/>
          <w:sz w:val="22"/>
        </w:rPr>
        <w:t>ARAHE</w:t>
      </w:r>
      <w:r>
        <w:rPr>
          <w:rFonts w:ascii="Times New Roman" w:eastAsia="ＭＳ 明朝"/>
          <w:sz w:val="22"/>
        </w:rPr>
        <w:t>等でも報告し、文化差を優劣や国民性として論じず、装いを学ぶ機会と助言利用の違いとして説明する国際比較の方法を共有する。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　東京家政大学は、被服学と社会心理学を学内に併置し、授業を用いた教育介入、比較群の確保、オンライン調査を実施できる。</w:t>
      </w:r>
      <w:r>
        <w:rPr>
          <w:rFonts w:ascii="Times New Roman" w:eastAsia="ＭＳ 明朝"/>
          <w:sz w:val="22"/>
        </w:rPr>
        <w:t>SPSS</w:t>
      </w:r>
      <w:r>
        <w:rPr>
          <w:rFonts w:ascii="Times New Roman" w:eastAsia="ＭＳ 明朝"/>
          <w:sz w:val="22"/>
        </w:rPr>
        <w:t>、</w:t>
      </w:r>
      <w:r>
        <w:rPr>
          <w:rFonts w:ascii="Times New Roman" w:eastAsia="ＭＳ 明朝"/>
          <w:sz w:val="22"/>
        </w:rPr>
        <w:t>KH Coder</w:t>
      </w:r>
      <w:r>
        <w:rPr>
          <w:rFonts w:ascii="Times New Roman" w:eastAsia="ＭＳ 明朝"/>
          <w:sz w:val="22"/>
        </w:rPr>
        <w:t>等の分析環境と国内外の文献資源も利用できる。研究代表者と分担者・石井は同一キャンパスに所属し、研究分担者・内藤とは</w:t>
      </w:r>
      <w:r>
        <w:rPr>
          <w:rFonts w:ascii="Times New Roman" w:eastAsia="ＭＳ 明朝"/>
          <w:sz w:val="22"/>
        </w:rPr>
        <w:lastRenderedPageBreak/>
        <w:t>日本家政学会被服心理学部会を通じて恒常的に協働できる。国内調査を東京家政大学と椙山女学園大学の</w:t>
      </w:r>
      <w:r>
        <w:rPr>
          <w:rFonts w:ascii="Times New Roman" w:eastAsia="ＭＳ 明朝"/>
          <w:sz w:val="22"/>
        </w:rPr>
        <w:t>2</w:t>
      </w:r>
      <w:r>
        <w:rPr>
          <w:rFonts w:ascii="Times New Roman" w:eastAsia="ＭＳ 明朝"/>
          <w:sz w:val="22"/>
        </w:rPr>
        <w:t>拠点で実施することにより、募集の安定性と標本の多様性を確保できる。調査票、翻訳版、コードブック、分析手順は版管理し、月例研究会で進捗、欠測、翻訳上の問題、分析判断を共有する。国際比較では、各地域の協力者が文化的妥当性を確認し、代表者と分担者が尺度構造とデータ品質を横断的に点検する。質的データは発言の文脈を保持した匿名化記録と分析用コードを分けて管理し、量的データは回答時間、同一回答の連続、欠測率等を用いて品質を確認する。教育介入では、授業担当者による評価と研究参加を分離し、教材の実施忠実度を記録する。主要仮説、除外基準、分析手順はデータ解析前に研究班で確定し、探索的分析と検証的分析を区別する。尺度項目、採点法、教育教材、質的コードブックを公開可能な形に整え、他大学が追試・授業実践に利用できる研究基盤を形成する。韓国の大学との協力交渉が予定より遅れた場合は、代替協力校との調整または倫理審査を経た調査会社への委託に切り替え、同一の対象条件と調査票を維持する。委託時も研究目的、標本条件、同意取得、匿名化、納品形式を仕様書で定め、研究者がデータ品質と分析の責任を負う。欧米質的調査でも、参加者募集の遅延に備えて教育機関と実務家の複数経路を確保する。学内競争資金</w:t>
      </w:r>
      <w:r>
        <w:rPr>
          <w:rFonts w:ascii="Times New Roman" w:eastAsia="ＭＳ 明朝"/>
          <w:sz w:val="22"/>
        </w:rPr>
        <w:t>2</w:t>
      </w:r>
      <w:r>
        <w:rPr>
          <w:rFonts w:ascii="Times New Roman" w:eastAsia="ＭＳ 明朝"/>
          <w:sz w:val="22"/>
        </w:rPr>
        <w:t>件によって取得した質的データと海外協力関係がすでにあり、採択後直ちに質的調査、研究協力打合せ、尺度開発へ着手できる人的・物的条件が整っている。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p>
    <w:p w14:paraId="4FE2A68E" w14:textId="77777777" w:rsidR="00465271" w:rsidRPr="0012111F" w:rsidRDefault="00465271" w:rsidP="000117BF">
      <w:pPr>
        <w:spacing w:line="220" w:lineRule="atLeast"/>
        <w:jc w:val="both"/>
        <w:rPr>
          <w:rFonts w:ascii="Times New Roman" w:eastAsia="ＭＳ 明朝" w:cs="Times New Roman"/>
          <w:sz w:val="22"/>
        </w:rPr>
      </w:pPr>
    </w:p>
    <w:p w14:paraId="451C6576" w14:textId="77777777" w:rsidR="00465271" w:rsidRPr="0012111F" w:rsidRDefault="00465271" w:rsidP="000117BF">
      <w:pPr>
        <w:spacing w:line="220" w:lineRule="atLeast"/>
        <w:jc w:val="both"/>
        <w:rPr>
          <w:rFonts w:ascii="Times New Roman" w:eastAsia="ＭＳ 明朝" w:cs="Times New Roman"/>
          <w:sz w:val="22"/>
        </w:rPr>
      </w:pPr>
    </w:p>
    <w:p w14:paraId="6D6D2B78" w14:textId="77777777" w:rsidR="00465271" w:rsidRPr="0012111F" w:rsidRDefault="00465271" w:rsidP="000117BF">
      <w:pPr>
        <w:spacing w:line="220" w:lineRule="atLeast"/>
        <w:jc w:val="both"/>
        <w:rPr>
          <w:rFonts w:ascii="Times New Roman" w:eastAsia="ＭＳ 明朝" w:cs="Times New Roman"/>
          <w:sz w:val="22"/>
        </w:rPr>
      </w:pPr>
    </w:p>
    <w:p w14:paraId="215C59C0" w14:textId="77777777" w:rsidR="009421C2" w:rsidRPr="0012111F" w:rsidRDefault="009421C2" w:rsidP="000117BF">
      <w:pPr>
        <w:spacing w:line="220" w:lineRule="atLeast"/>
        <w:jc w:val="both"/>
        <w:rPr>
          <w:rFonts w:ascii="Times New Roman" w:eastAsia="ＭＳ 明朝" w:cs="Times New Roman" w:hint="eastAsia"/>
          <w:sz w:val="22"/>
        </w:rPr>
      </w:pP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