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color w:val="4B5563"/>
          <w:sz w:val="28"/>
          <w:szCs w:val="28"/>
        </w:rPr>
        <w:t xml:space="preserve">FantasyTrades</w:t>
      </w:r>
    </w:p>
    <w:p>
      <w:pPr>
        <w:spacing w:after="100"/>
        <w:jc w:val="center"/>
      </w:pPr>
      <w:r>
        <w:rPr>
          <w:b/>
          <w:bCs/>
          <w:sz w:val="48"/>
          <w:szCs w:val="48"/>
        </w:rPr>
        <w:t xml:space="preserve">Pipeline Data Contract V1.1</w:t>
      </w:r>
    </w:p>
    <w:p>
      <w:pPr>
        <w:spacing w:after="200"/>
        <w:jc w:val="center"/>
      </w:pPr>
      <w:r>
        <w:rPr>
          <w:b/>
          <w:bCs/>
          <w:color w:val="F59E0B"/>
          <w:sz w:val="56"/>
          <w:szCs w:val="56"/>
        </w:rPr>
        <w:t xml:space="preserve">Errata 1</w:t>
      </w:r>
    </w:p>
    <w:p>
      <w:pPr>
        <w:spacing w:after="1200"/>
        <w:jc w:val="center"/>
      </w:pPr>
      <w:r>
        <w:rPr>
          <w:i/>
          <w:iCs/>
          <w:color w:val="4B5563"/>
          <w:sz w:val="24"/>
          <w:szCs w:val="24"/>
        </w:rPr>
        <w:t xml:space="preserve">Two amendments to the locked V1.1 SizingPolicy interface.</w:t>
      </w:r>
    </w:p>
    <w:p>
      <w:pPr>
        <w:spacing w:after="100"/>
        <w:jc w:val="center"/>
      </w:pPr>
      <w:r>
        <w:rPr>
          <w:b/>
          <w:bCs/>
          <w:color w:val="F59E0B"/>
          <w:sz w:val="22"/>
          <w:szCs w:val="22"/>
        </w:rPr>
        <w:t xml:space="preserve">Status: APPLIED · Authored: May 2026</w:t>
      </w:r>
    </w:p>
    <w:p>
      <w:pPr>
        <w:spacing w:after="100"/>
        <w:jc w:val="center"/>
      </w:pPr>
      <w:r>
        <w:rPr>
          <w:color w:val="4B5563"/>
          <w:sz w:val="22"/>
          <w:szCs w:val="22"/>
        </w:rPr>
        <w:t xml:space="preserve">Surfaced during Sizing Policy Schema V1 authoring</w:t>
      </w:r>
    </w:p>
    <w:p>
      <w:r>
        <w:br w:type="page"/>
      </w:r>
    </w:p>
    <w:p>
      <w:pPr>
        <w:pStyle w:val="Heading1"/>
      </w:pPr>
      <w:r>
        <w:t xml:space="preserve">V1.1 Errata 1: SizingPolicy Amendments</w:t>
      </w:r>
    </w:p>
    <w:p>
      <w:pPr>
        <w:pStyle w:val="Heading2"/>
      </w:pPr>
      <w:r>
        <w:t xml:space="preserve">Purpose of this document</w:t>
      </w:r>
    </w:p>
    <w:p>
      <w:pPr>
        <w:spacing w:after="120"/>
      </w:pPr>
      <w:r>
        <w:t xml:space="preserve">Pipeline Data Contract V1.1 was locked. While drafting the downstream Sizing Policy Schema V1, two issues with the locked SizingPolicy interface surfaced. This errata documents the changes, the reasoning, and the impact on downstream specs.</w:t>
      </w:r>
    </w:p>
    <w:p>
      <w:pPr>
        <w:spacing w:after="120"/>
      </w:pPr>
      <w:r>
        <w:t xml:space="preserve">This is the canonical record of the V1.1 → V1.1+errata1 amendment. The Pipeline Contract V1.1 document itself is not being rewritten; downstream specs cite this errata where they consume the post-amendment interface.</w:t>
      </w:r>
    </w:p>
    <w:p>
      <w:pPr>
        <w:pStyle w:val="Heading2"/>
      </w:pPr>
      <w:r>
        <w:t xml:space="preserve">The pre-errata SizingPolicy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 V1.1 as locked</w:t>
            </w:r>
          </w:p>
          <w:p>
            <w:pPr>
              <w:spacing w:after="0" w:line="240"/>
            </w:pPr>
            <w:r>
              <w:rPr>
                <w:rFonts w:ascii="Consolas" w:cs="Consolas" w:eastAsia="Consolas" w:hAnsi="Consolas"/>
                <w:sz w:val="18"/>
                <w:szCs w:val="18"/>
              </w:rPr>
              <w:t xml:space="preserve">interface SizingPolicy {</w:t>
            </w:r>
          </w:p>
          <w:p>
            <w:pPr>
              <w:spacing w:after="0" w:line="240"/>
            </w:pPr>
            <w:r>
              <w:rPr>
                <w:rFonts w:ascii="Consolas" w:cs="Consolas" w:eastAsia="Consolas" w:hAnsi="Consolas"/>
                <w:sz w:val="18"/>
                <w:szCs w:val="18"/>
              </w:rPr>
              <w:t xml:space="preserve">  method: 'linear' | 'kelly_capped' | 'fixed_buckets';</w:t>
            </w:r>
          </w:p>
          <w:p>
            <w:pPr>
              <w:spacing w:after="0" w:line="240"/>
            </w:pPr>
            <w:r>
              <w:rPr>
                <w:rFonts w:ascii="Consolas" w:cs="Consolas" w:eastAsia="Consolas" w:hAnsi="Consolas"/>
                <w:sz w:val="18"/>
                <w:szCs w:val="18"/>
              </w:rPr>
              <w:t xml:space="preserve">  baseSizePct: number;</w:t>
            </w:r>
          </w:p>
          <w:p>
            <w:pPr>
              <w:spacing w:after="0" w:line="240"/>
            </w:pPr>
            <w:r>
              <w:rPr>
                <w:rFonts w:ascii="Consolas" w:cs="Consolas" w:eastAsia="Consolas" w:hAnsi="Consolas"/>
                <w:sz w:val="18"/>
                <w:szCs w:val="18"/>
              </w:rPr>
              <w:t xml:space="preserve">  maxSizePct: number;</w:t>
            </w:r>
          </w:p>
          <w:p>
            <w:pPr>
              <w:spacing w:after="0" w:line="240"/>
            </w:pPr>
            <w:r>
              <w:rPr>
                <w:rFonts w:ascii="Consolas" w:cs="Consolas" w:eastAsia="Consolas" w:hAnsi="Consolas"/>
                <w:sz w:val="18"/>
                <w:szCs w:val="18"/>
              </w:rPr>
              <w:t xml:space="preserve">  convictionFloor: number;</w:t>
            </w:r>
          </w:p>
          <w:p>
            <w:pPr>
              <w:spacing w:after="0" w:line="240"/>
            </w:pPr>
            <w:r>
              <w:rPr>
                <w:rFonts w:ascii="Consolas" w:cs="Consolas" w:eastAsia="Consolas" w:hAnsi="Consolas"/>
                <w:sz w:val="18"/>
                <w:szCs w:val="18"/>
              </w:rPr>
              <w:t xml:space="preserve">}</w:t>
            </w:r>
          </w:p>
        </w:tc>
      </w:tr>
    </w:tbl>
    <w:p>
      <w:pPr>
        <w:pStyle w:val="Heading2"/>
      </w:pPr>
      <w:r>
        <w:t xml:space="preserve">The post-errata SizingPolicy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 V1.1 + Errata 1</w:t>
            </w:r>
          </w:p>
          <w:p>
            <w:pPr>
              <w:spacing w:after="0" w:line="240"/>
            </w:pPr>
            <w:r>
              <w:rPr>
                <w:rFonts w:ascii="Consolas" w:cs="Consolas" w:eastAsia="Consolas" w:hAnsi="Consolas"/>
                <w:sz w:val="18"/>
                <w:szCs w:val="18"/>
              </w:rPr>
              <w:t xml:space="preserve">interface SizingPolicy {</w:t>
            </w:r>
          </w:p>
          <w:p>
            <w:pPr>
              <w:spacing w:after="0" w:line="240"/>
            </w:pPr>
            <w:r>
              <w:rPr>
                <w:rFonts w:ascii="Consolas" w:cs="Consolas" w:eastAsia="Consolas" w:hAnsi="Consolas"/>
                <w:sz w:val="18"/>
                <w:szCs w:val="18"/>
              </w:rPr>
              <w:t xml:space="preserve">  sizingPolicyVersion: 1;            // NEW: forward compat</w:t>
            </w:r>
          </w:p>
          <w:p>
            <w:pPr>
              <w:spacing w:after="0" w:line="240"/>
            </w:pPr>
            <w:r>
              <w:rPr>
                <w:rFonts w:ascii="Consolas" w:cs="Consolas" w:eastAsia="Consolas" w:hAnsi="Consolas"/>
                <w:sz w:val="18"/>
                <w:szCs w:val="18"/>
              </w:rPr>
              <w:t xml:space="preserve">  archetypeId: string;               // NEW: provenance</w:t>
            </w:r>
          </w:p>
          <w:p>
            <w:pPr>
              <w:spacing w:after="0" w:line="240"/>
            </w:pPr>
            <w:r>
              <w:rPr>
                <w:rFonts w:ascii="Consolas" w:cs="Consolas" w:eastAsia="Consolas" w:hAnsi="Consolas"/>
                <w:sz w:val="18"/>
                <w:szCs w:val="18"/>
              </w:rPr>
              <w:t xml:space="preserve">  archetypeVersion: number;          // NEW: provenance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method: 'linear' | 'fixed_buckets';   // CHANGED: kelly_capped removed</w:t>
            </w:r>
          </w:p>
          <w:p>
            <w:pPr>
              <w:spacing w:after="0" w:line="240"/>
            </w:pPr>
            <w:r>
              <w:rPr>
                <w:rFonts w:ascii="Consolas" w:cs="Consolas" w:eastAsia="Consolas" w:hAnsi="Consolas"/>
                <w:sz w:val="18"/>
                <w:szCs w:val="18"/>
              </w:rPr>
              <w:t xml:space="preserve">  baseSizePct: number;</w:t>
            </w:r>
          </w:p>
          <w:p>
            <w:pPr>
              <w:spacing w:after="0" w:line="240"/>
            </w:pPr>
            <w:r>
              <w:rPr>
                <w:rFonts w:ascii="Consolas" w:cs="Consolas" w:eastAsia="Consolas" w:hAnsi="Consolas"/>
                <w:sz w:val="18"/>
                <w:szCs w:val="18"/>
              </w:rPr>
              <w:t xml:space="preserve">  maxSizePct: number;</w:t>
            </w:r>
          </w:p>
          <w:p>
            <w:pPr>
              <w:spacing w:after="0" w:line="240"/>
            </w:pPr>
            <w:r>
              <w:rPr>
                <w:rFonts w:ascii="Consolas" w:cs="Consolas" w:eastAsia="Consolas" w:hAnsi="Consolas"/>
                <w:sz w:val="18"/>
                <w:szCs w:val="18"/>
              </w:rPr>
              <w:t xml:space="preserve">  convictionFloor: number;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agreementWeight: number;           // NEW: signalAgreement modulation, 0-1</w:t>
            </w:r>
          </w:p>
          <w:p>
            <w:pPr>
              <w:spacing w:after="0" w:line="240"/>
            </w:pPr>
            <w:r>
              <w:rPr>
                <w:rFonts w:ascii="Consolas" w:cs="Consolas" w:eastAsia="Consolas" w:hAnsi="Consolas"/>
                <w:sz w:val="18"/>
                <w:szCs w:val="18"/>
              </w:rPr>
              <w:t xml:space="preserve">}</w:t>
            </w:r>
          </w:p>
        </w:tc>
      </w:tr>
    </w:tbl>
    <w:p>
      <w:pPr>
        <w:pStyle w:val="Heading2"/>
      </w:pPr>
      <w:r>
        <w:t xml:space="preserve">Amendment 1: Drop kelly_capped from V1</w:t>
      </w:r>
    </w:p>
    <w:p>
      <w:pPr>
        <w:pStyle w:val="Heading3"/>
      </w:pPr>
      <w:r>
        <w:t xml:space="preserve">What changed</w:t>
      </w:r>
    </w:p>
    <w:p>
      <w:pPr>
        <w:spacing w:after="120"/>
      </w:pPr>
      <w:r>
        <w:t xml:space="preserve">The method enum is reduced from three values to two: 'linear' | 'fixed_buckets'. The 'kelly_capped' value is removed.</w:t>
      </w:r>
    </w:p>
    <w:p>
      <w:pPr>
        <w:pStyle w:val="Heading3"/>
      </w:pPr>
      <w:r>
        <w:t xml:space="preserve">Why</w:t>
      </w:r>
    </w:p>
    <w:p>
      <w:pPr>
        <w:spacing w:after="120"/>
      </w:pPr>
      <w:r>
        <w:t xml:space="preserve">The Pipeline Contract V1.1 specified kelly_capped as 'approximates Kelly Criterion sizing capped at maxSizePct. Conservative scaling — slightly sub-Kelly to reduce ruin risk.' This is a hand-wave, not an algorithm.</w:t>
      </w:r>
    </w:p>
    <w:p>
      <w:pPr>
        <w:spacing w:after="120"/>
      </w:pPr>
      <w:r>
        <w:t xml:space="preserve">Kelly Criterion sizing requires per-trade win rate and win/loss ratio estimates. The agent does not have per-ticker win-rate infrastructure in V1. The 'conservative scaling — slightly sub-Kelly' description was a placeholder that did not specify how those inputs would be computed or what 'slightly sub-Kelly' meant in practice.</w:t>
      </w:r>
    </w:p>
    <w:p>
      <w:pPr>
        <w:spacing w:after="120"/>
      </w:pPr>
      <w:r>
        <w:t xml:space="preserve">Three options were considered:</w:t>
      </w:r>
    </w:p>
    <w:p>
      <w:pPr>
        <w:pStyle w:val="ListParagraph"/>
        <w:numPr>
          <w:ilvl w:val="0"/>
          <w:numId w:val="2"/>
        </w:numPr>
        <w:spacing w:after="80"/>
      </w:pPr>
      <w:r>
        <w:t xml:space="preserve">Option A (chosen): Drop kelly_capped from V1. Ship the two methods that work.</w:t>
      </w:r>
    </w:p>
    <w:p>
      <w:pPr>
        <w:pStyle w:val="ListParagraph"/>
        <w:numPr>
          <w:ilvl w:val="0"/>
          <w:numId w:val="2"/>
        </w:numPr>
        <w:spacing w:after="80"/>
      </w:pPr>
      <w:r>
        <w:t xml:space="preserve">Option B: 'Kelly-flavored' sizing using signalAgreement as a confidence proxy. Mathematically loose; would have produced qualitatively-Kelly-ish curves without true Kelly properties.</w:t>
      </w:r>
    </w:p>
    <w:p>
      <w:pPr>
        <w:pStyle w:val="ListParagraph"/>
        <w:numPr>
          <w:ilvl w:val="0"/>
          <w:numId w:val="2"/>
        </w:numPr>
        <w:spacing w:after="80"/>
      </w:pPr>
      <w:r>
        <w:t xml:space="preserve">Option C: Fully spec Kelly with placeholder inputs the agent populates later. Defers the work but ships an enum value that fails when invoked.</w:t>
      </w:r>
    </w:p>
    <w:p>
      <w:pPr>
        <w:spacing w:after="120"/>
      </w:pPr>
      <w:r>
        <w:t xml:space="preserve">Option A is the correct call. The other two preserve the contract's three-method enum at the cost of either shipping a method that doesn't actually work (C) or shipping a method that's misleadingly named (B). Better to take the small contract amendment now and add real Kelly support in V2 once win-rate infrastructure exists.</w:t>
      </w:r>
    </w:p>
    <w:p>
      <w:pPr>
        <w:pStyle w:val="Heading3"/>
      </w:pPr>
      <w:r>
        <w:t xml:space="preserve">Impact</w:t>
      </w:r>
    </w:p>
    <w:p>
      <w:pPr>
        <w:pStyle w:val="ListParagraph"/>
        <w:numPr>
          <w:ilvl w:val="0"/>
          <w:numId w:val="2"/>
        </w:numPr>
        <w:spacing w:after="80"/>
      </w:pPr>
      <w:r>
        <w:t xml:space="preserve">Pipeline Contract V1.1, Section 4.1 — SizingPolicy.method enum reduced from three values to two.</w:t>
      </w:r>
    </w:p>
    <w:p>
      <w:pPr>
        <w:pStyle w:val="ListParagraph"/>
        <w:numPr>
          <w:ilvl w:val="0"/>
          <w:numId w:val="2"/>
        </w:numPr>
        <w:spacing w:after="80"/>
      </w:pPr>
      <w:r>
        <w:t xml:space="preserve">Pipeline Contract V1.1, Section 8.2 — 'Method: kelly_capped' subsection becomes obsolete; treated as if it never existed for V1.</w:t>
      </w:r>
    </w:p>
    <w:p>
      <w:pPr>
        <w:pStyle w:val="ListParagraph"/>
        <w:numPr>
          <w:ilvl w:val="0"/>
          <w:numId w:val="2"/>
        </w:numPr>
        <w:spacing w:after="80"/>
      </w:pPr>
      <w:r>
        <w:t xml:space="preserve">No downstream agents have been built yet that reference kelly_capped. Zero data migration cost.</w:t>
      </w:r>
    </w:p>
    <w:p>
      <w:pPr>
        <w:pStyle w:val="Heading2"/>
      </w:pPr>
      <w:r>
        <w:t xml:space="preserve">Amendment 2: Add agreementWeight parameter</w:t>
      </w:r>
    </w:p>
    <w:p>
      <w:pPr>
        <w:pStyle w:val="Heading3"/>
      </w:pPr>
      <w:r>
        <w:t xml:space="preserve">What changed</w:t>
      </w:r>
    </w:p>
    <w:p>
      <w:pPr>
        <w:spacing w:after="120"/>
      </w:pPr>
      <w:r>
        <w:t xml:space="preserve">A new required field agreementWeight: number (range 0-1) is added to SizingPolicy. The Sizer (Stage 3.5) consumes signalAgreement (already produced by the Aggregator in Stage 2) and modulates the final size according to this weight.</w:t>
      </w:r>
    </w:p>
    <w:p>
      <w:pPr>
        <w:pStyle w:val="Heading3"/>
      </w:pPr>
      <w:r>
        <w:t xml:space="preserve">Why</w:t>
      </w:r>
    </w:p>
    <w:p>
      <w:pPr>
        <w:spacing w:after="120"/>
      </w:pPr>
      <w:r>
        <w:t xml:space="preserve">Pipeline Contract V1.1 produces signalAgreement in the Aggregator (Section 6.1) and flows it through to the Receipt for display, but never consumes it as an input to sizing. This wastes information.</w:t>
      </w:r>
    </w:p>
    <w:p>
      <w:pPr>
        <w:spacing w:after="120"/>
      </w:pPr>
      <w:r>
        <w:t xml:space="preserve">A 70-conviction trade with signalAgreement = 1.0 (unanimous) is a different bet than a 70-conviction trade with signalAgreement = 0.5 (sharply contested). Treating them as the same size leaves alpha on the table.</w:t>
      </w:r>
    </w:p>
    <w:p>
      <w:pPr>
        <w:spacing w:after="120"/>
      </w:pPr>
      <w:r>
        <w:t xml:space="preserve">The right place to consume signalAgreement is the Sizer. The right way to consume it is parameterized — different archetypes should weight agreement differently. Aggressive archetypes ('trust the top skill, treat dissent as noise') should have low agreementWeight; conservative archetypes ('only size up on consensus') should have high agreementWeight.</w:t>
      </w:r>
    </w:p>
    <w:p>
      <w:pPr>
        <w:pStyle w:val="Heading3"/>
      </w:pPr>
      <w:r>
        <w:t xml:space="preserve">The modulation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modulationFactor = 1 - agreementWeight × (1 - signalAgreement)</w:t>
            </w:r>
          </w:p>
          <w:p>
            <w:pPr>
              <w:spacing w:after="0" w:line="240"/>
            </w:pPr>
            <w:r>
              <w:rPr>
                <w:rFonts w:ascii="Consolas" w:cs="Consolas" w:eastAsia="Consolas" w:hAnsi="Consolas"/>
                <w:sz w:val="18"/>
                <w:szCs w:val="18"/>
              </w:rPr>
              <w:t xml:space="preserve">proposedSizePct = preAgreementSizePct × modulationFactor</w:t>
            </w:r>
          </w:p>
        </w:tc>
      </w:tr>
    </w:tbl>
    <w:p>
      <w:pPr>
        <w:spacing w:after="120"/>
      </w:pPr>
      <w:r>
        <w:t xml:space="preserve">Properties:</w:t>
      </w:r>
    </w:p>
    <w:p>
      <w:pPr>
        <w:pStyle w:val="ListParagraph"/>
        <w:numPr>
          <w:ilvl w:val="0"/>
          <w:numId w:val="2"/>
        </w:numPr>
        <w:spacing w:after="80"/>
      </w:pPr>
      <w:r>
        <w:t xml:space="preserve">agreementWeight = 0 disables modulation: final size always equals preAgreementSizePct.</w:t>
      </w:r>
    </w:p>
    <w:p>
      <w:pPr>
        <w:pStyle w:val="ListParagraph"/>
        <w:numPr>
          <w:ilvl w:val="0"/>
          <w:numId w:val="2"/>
        </w:numPr>
        <w:spacing w:after="80"/>
      </w:pPr>
      <w:r>
        <w:t xml:space="preserve">agreementWeight = 1 fully scales by agreement: final size = preAgreementSizePct × signalAgreement.</w:t>
      </w:r>
    </w:p>
    <w:p>
      <w:pPr>
        <w:pStyle w:val="ListParagraph"/>
        <w:numPr>
          <w:ilvl w:val="0"/>
          <w:numId w:val="2"/>
        </w:numPr>
        <w:spacing w:after="80"/>
      </w:pPr>
      <w:r>
        <w:t xml:space="preserve">Unanimous agreement (signalAgreement = 1) preserves full size at any weight: the agent is never penalized for unanimity.</w:t>
      </w:r>
    </w:p>
    <w:p>
      <w:pPr>
        <w:pStyle w:val="ListParagraph"/>
        <w:numPr>
          <w:ilvl w:val="0"/>
          <w:numId w:val="2"/>
        </w:numPr>
        <w:spacing w:after="80"/>
      </w:pPr>
      <w:r>
        <w:t xml:space="preserve">Monotonic in both inputs: higher agreement → equal-or-larger size; higher weight at low agreement → equal-or-smaller size.</w:t>
      </w:r>
    </w:p>
    <w:p>
      <w:pPr>
        <w:pStyle w:val="Heading3"/>
      </w:pPr>
      <w:r>
        <w:t xml:space="preserve">Impact</w:t>
      </w:r>
    </w:p>
    <w:p>
      <w:pPr>
        <w:pStyle w:val="ListParagraph"/>
        <w:numPr>
          <w:ilvl w:val="0"/>
          <w:numId w:val="2"/>
        </w:numPr>
        <w:spacing w:after="80"/>
      </w:pPr>
      <w:r>
        <w:t xml:space="preserve">Pipeline Contract V1.1, Section 4.1 — SizingPolicy gains agreementWeight required field.</w:t>
      </w:r>
    </w:p>
    <w:p>
      <w:pPr>
        <w:pStyle w:val="ListParagraph"/>
        <w:numPr>
          <w:ilvl w:val="0"/>
          <w:numId w:val="2"/>
        </w:numPr>
        <w:spacing w:after="80"/>
      </w:pPr>
      <w:r>
        <w:t xml:space="preserve">Pipeline Contract V1.1, Section 8 — Sizer algorithm extended with the modulation formula. The pseudocode in Section 8.2 is augmented; not invalidated.</w:t>
      </w:r>
    </w:p>
    <w:p>
      <w:pPr>
        <w:pStyle w:val="ListParagraph"/>
        <w:numPr>
          <w:ilvl w:val="0"/>
          <w:numId w:val="2"/>
        </w:numPr>
        <w:spacing w:after="80"/>
      </w:pPr>
      <w:r>
        <w:t xml:space="preserve">Receipt Reasoning (Section 10.1) — sizing.policyApplied may include reference to agreement modulation in human-readable form.</w:t>
      </w:r>
    </w:p>
    <w:p>
      <w:pPr>
        <w:pStyle w:val="ListParagraph"/>
        <w:numPr>
          <w:ilvl w:val="0"/>
          <w:numId w:val="2"/>
        </w:numPr>
        <w:spacing w:after="80"/>
      </w:pPr>
      <w:r>
        <w:t xml:space="preserve">Archetype defaults — every launch archetype must specify an agreementWeight. Reference values are in Sizing Policy Schema V1, Section 9.</w:t>
      </w:r>
    </w:p>
    <w:p>
      <w:pPr>
        <w:pStyle w:val="Heading2"/>
      </w:pPr>
      <w:r>
        <w:t xml:space="preserve">Amendment 3 (administrative): Provenance fields</w:t>
      </w:r>
    </w:p>
    <w:p>
      <w:pPr>
        <w:pStyle w:val="Heading3"/>
      </w:pPr>
      <w:r>
        <w:t xml:space="preserve">What changed</w:t>
      </w:r>
    </w:p>
    <w:p>
      <w:pPr>
        <w:spacing w:after="120"/>
      </w:pPr>
      <w:r>
        <w:t xml:space="preserve">Three administrative fields added to SizingPolicy for consistency with ConstraintSet:</w:t>
      </w:r>
    </w:p>
    <w:p>
      <w:pPr>
        <w:pStyle w:val="ListParagraph"/>
        <w:numPr>
          <w:ilvl w:val="0"/>
          <w:numId w:val="2"/>
        </w:numPr>
        <w:spacing w:after="80"/>
      </w:pPr>
      <w:r>
        <w:t xml:space="preserve">sizingPolicyVersion: 1 — reserved literal, enables future versioning without breaking compat.</w:t>
      </w:r>
    </w:p>
    <w:p>
      <w:pPr>
        <w:pStyle w:val="ListParagraph"/>
        <w:numPr>
          <w:ilvl w:val="0"/>
          <w:numId w:val="2"/>
        </w:numPr>
        <w:spacing w:after="80"/>
      </w:pPr>
      <w:r>
        <w:t xml:space="preserve">archetypeId: string — references the source archetype that produced this policy.</w:t>
      </w:r>
    </w:p>
    <w:p>
      <w:pPr>
        <w:pStyle w:val="ListParagraph"/>
        <w:numPr>
          <w:ilvl w:val="0"/>
          <w:numId w:val="2"/>
        </w:numPr>
        <w:spacing w:after="80"/>
      </w:pPr>
      <w:r>
        <w:t xml:space="preserve">archetypeVersion: number — pinned at agent creation, enables migration tracking.</w:t>
      </w:r>
    </w:p>
    <w:p>
      <w:pPr>
        <w:pStyle w:val="Heading3"/>
      </w:pPr>
      <w:r>
        <w:t xml:space="preserve">Why</w:t>
      </w:r>
    </w:p>
    <w:p>
      <w:pPr>
        <w:spacing w:after="120"/>
      </w:pPr>
      <w:r>
        <w:t xml:space="preserve">ConstraintSet has these fields. SizingPolicy should match for consistency. The fields enable identical capabilities for both schemas: receipt attribution to source archetype, detection of agents on outdated archetype definitions, analytics grouping.</w:t>
      </w:r>
    </w:p>
    <w:p>
      <w:pPr>
        <w:pStyle w:val="Heading3"/>
      </w:pPr>
      <w:r>
        <w:t xml:space="preserve">Impact</w:t>
      </w:r>
    </w:p>
    <w:p>
      <w:pPr>
        <w:pStyle w:val="ListParagraph"/>
        <w:numPr>
          <w:ilvl w:val="0"/>
          <w:numId w:val="2"/>
        </w:numPr>
        <w:spacing w:after="80"/>
      </w:pPr>
      <w:r>
        <w:t xml:space="preserve">Pipeline Contract V1.1, Section 4.1 — SizingPolicy gains three administrative fields.</w:t>
      </w:r>
    </w:p>
    <w:p>
      <w:pPr>
        <w:pStyle w:val="ListParagraph"/>
        <w:numPr>
          <w:ilvl w:val="0"/>
          <w:numId w:val="2"/>
        </w:numPr>
        <w:spacing w:after="80"/>
      </w:pPr>
      <w:r>
        <w:t xml:space="preserve">No semantic impact on Sizer execution; these fields are not consumed by the algorithm.</w:t>
      </w:r>
    </w:p>
    <w:p>
      <w:pPr>
        <w:pStyle w:val="Heading2"/>
      </w:pPr>
      <w:r>
        <w:t xml:space="preserve">Cumulative impact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8"/>
              <w:left w:val="single" w:color="E5E7EB" w:sz="4"/>
              <w:bottom w:val="single" w:color="E5E7EB" w:sz="4"/>
              <w:right w:val="single" w:color="E5E7EB" w:sz="4"/>
            </w:tcBorders>
            <w:shd w:fill="FEF3C7" w:val="clear"/>
            <w:tcMar>
              <w:top w:type="dxa" w:w="200"/>
              <w:left w:type="dxa" w:w="240"/>
              <w:bottom w:type="dxa" w:w="200"/>
              <w:right w:type="dxa" w:w="240"/>
            </w:tcMar>
          </w:tcPr>
          <w:p>
            <w:pPr>
              <w:spacing w:after="120"/>
            </w:pPr>
            <w:r>
              <w:rPr>
                <w:b/>
                <w:bCs/>
                <w:sz w:val="22"/>
                <w:szCs w:val="22"/>
              </w:rPr>
              <w:t xml:space="preserve">What this errata changes</w:t>
            </w:r>
          </w:p>
          <w:p>
            <w:pPr>
              <w:spacing w:after="80"/>
            </w:pPr>
            <w:r>
              <w:rPr>
                <w:sz w:val="22"/>
                <w:szCs w:val="22"/>
              </w:rPr>
              <w:t xml:space="preserve">1. SizingPolicy.method enum: removed 'kelly_capped'. Now 'linear' | 'fixed_buckets' only.</w:t>
            </w:r>
          </w:p>
          <w:p>
            <w:pPr>
              <w:spacing w:after="80"/>
            </w:pPr>
            <w:r>
              <w:rPr>
                <w:sz w:val="22"/>
                <w:szCs w:val="22"/>
              </w:rPr>
              <w:t xml:space="preserve">2. SizingPolicy gains agreementWeight: number (required, 0-1).</w:t>
            </w:r>
          </w:p>
          <w:p>
            <w:pPr>
              <w:spacing w:after="80"/>
            </w:pPr>
            <w:r>
              <w:rPr>
                <w:sz w:val="22"/>
                <w:szCs w:val="22"/>
              </w:rPr>
              <w:t xml:space="preserve">3. SizingPolicy gains three administrative fields: sizingPolicyVersion, archetypeId, archetypeVersion.</w:t>
            </w:r>
          </w:p>
          <w:p>
            <w:pPr>
              <w:spacing w:after="80"/>
            </w:pPr>
            <w:r>
              <w:rPr>
                <w:sz w:val="22"/>
                <w:szCs w:val="22"/>
              </w:rPr>
              <w:t xml:space="preserve">4. Sizer execution algorithm extended with agreement modulation formula.</w:t>
            </w:r>
          </w:p>
          <w:p>
            <w:pPr>
              <w:spacing w:after="80"/>
            </w:pPr>
            <w:r>
              <w:rPr>
                <w:sz w:val="22"/>
                <w:szCs w:val="22"/>
              </w:rPr>
              <w:t xml:space="preserve">5. No other interfaces affected. Stage 1, 2, 3, 4, 5 contracts unchanged.</w:t>
            </w:r>
          </w:p>
        </w:tc>
      </w:tr>
    </w:tbl>
    <w:p>
      <w:pPr>
        <w:pStyle w:val="Heading2"/>
      </w:pPr>
      <w:r>
        <w:t xml:space="preserve">Lock and forward references</w:t>
      </w:r>
    </w:p>
    <w:p>
      <w:pPr>
        <w:spacing w:after="120"/>
      </w:pPr>
      <w:r>
        <w:t xml:space="preserve">This errata is canonical. Downstream specs reference 'Pipeline Contract V1.1 + Errata 1' as the authoritative SizingPolicy shape.</w:t>
      </w:r>
    </w:p>
    <w:p>
      <w:pPr>
        <w:spacing w:after="120"/>
      </w:pPr>
      <w:r>
        <w:t xml:space="preserve">If the Pipeline Contract V1.1 document is republished in the future as V1.2, these amendments will be folded into the main document and this errata will be marked as superseded. Until then, this errata is required reading alongside the V1.1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C75E" w:sz="8"/>
              <w:left w:val="single" w:color="E5E7EB" w:sz="4"/>
              <w:bottom w:val="single" w:color="E5E7EB" w:sz="4"/>
              <w:right w:val="single" w:color="E5E7EB" w:sz="4"/>
            </w:tcBorders>
            <w:shd w:fill="FFF7E6" w:val="clear"/>
            <w:tcMar>
              <w:top w:type="dxa" w:w="200"/>
              <w:left w:type="dxa" w:w="240"/>
              <w:bottom w:type="dxa" w:w="200"/>
              <w:right w:type="dxa" w:w="240"/>
            </w:tcMar>
          </w:tcPr>
          <w:p>
            <w:pPr>
              <w:spacing w:after="120"/>
            </w:pPr>
            <w:r>
              <w:rPr>
                <w:b/>
                <w:bCs/>
                <w:sz w:val="22"/>
                <w:szCs w:val="22"/>
              </w:rPr>
              <w:t xml:space="preserve">How errata work going forward</w:t>
            </w:r>
          </w:p>
          <w:p>
            <w:pPr>
              <w:spacing w:after="80"/>
            </w:pPr>
            <w:r>
              <w:rPr>
                <w:sz w:val="22"/>
                <w:szCs w:val="22"/>
              </w:rPr>
              <w:t xml:space="preserve">Future spec drafting may surface other small issues that warrant contract amendments rather than full V1.2 rewrites. Each will produce a numbered Errata document (Errata 2, Errata 3, …).</w:t>
            </w:r>
          </w:p>
          <w:p>
            <w:pPr>
              <w:spacing w:after="80"/>
            </w:pPr>
            <w:r>
              <w:rPr>
                <w:sz w:val="22"/>
                <w:szCs w:val="22"/>
              </w:rPr>
              <w:t xml:space="preserve">Errata are cumulative and never deleted. The full canonical contract is V1.1 + all applicable Errata.</w:t>
            </w:r>
          </w:p>
          <w:p>
            <w:pPr>
              <w:spacing w:after="80"/>
            </w:pPr>
            <w:r>
              <w:rPr>
                <w:sz w:val="22"/>
                <w:szCs w:val="22"/>
              </w:rPr>
              <w:t xml:space="preserve">When errata accumulate enough to warrant consolidation, the contract is republished as V1.2 with all errata folded in. Errata documents become historical references at that point.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8"/>
        <w:szCs w:val="18"/>
      </w:rPr>
      <w:t xml:space="preserve">Page </w:t>
    </w:r>
    <w:r>
      <w:rPr>
        <w:color w:val="9CA3AF"/>
        <w:sz w:val="18"/>
        <w:szCs w:val="18"/>
      </w:rPr>
      <w:fldChar w:fldCharType="begin"/>
      <w:instrText xml:space="preserve">PAGE</w:instrText>
      <w:fldChar w:fldCharType="separate"/>
      <w:fldChar w:fldCharType="end"/>
    </w:r>
    <w:r>
      <w:rPr>
        <w:color w:val="9CA3AF"/>
        <w:sz w:val="18"/>
        <w:szCs w:val="18"/>
      </w:rPr>
      <w:t xml:space="preserve"> · Errata 1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CA3AF"/>
        <w:sz w:val="18"/>
        <w:szCs w:val="18"/>
      </w:rPr>
      <w:t xml:space="preserve">Pipeline Contract V1.1 · Errata 1 — APPLIED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2937"/>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1F2937"/>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4B556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Pipeline Contract V1.1 Errata 1</dc:title>
  <dc:creator>Claude (FantasyTrades architect)</dc:creator>
  <dc:description>Amendments to SizingPolicy interface</dc:description>
  <cp:lastModifiedBy>Un-named</cp:lastModifiedBy>
  <cp:revision>1</cp:revision>
  <dcterms:created xsi:type="dcterms:W3CDTF">2026-05-09T18:52:03.745Z</dcterms:created>
  <dcterms:modified xsi:type="dcterms:W3CDTF">2026-05-09T18:52:03.745Z</dcterms:modified>
</cp:coreProperties>
</file>

<file path=docProps/custom.xml><?xml version="1.0" encoding="utf-8"?>
<Properties xmlns="http://schemas.openxmlformats.org/officeDocument/2006/custom-properties" xmlns:vt="http://schemas.openxmlformats.org/officeDocument/2006/docPropsVTypes"/>
</file>