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F3A66" w14:textId="77777777" w:rsidR="005B5C3A" w:rsidRDefault="005B5C3A" w:rsidP="005B5C3A">
      <w:pPr>
        <w:spacing w:before="480" w:after="240" w:line="360" w:lineRule="auto"/>
        <w:rPr>
          <w:b/>
          <w:bCs/>
          <w:i/>
          <w:iCs/>
          <w:sz w:val="28"/>
          <w:szCs w:val="28"/>
        </w:rPr>
      </w:pPr>
      <w:r w:rsidRPr="007A5AD3">
        <w:rPr>
          <w:noProof/>
          <w:lang w:eastAsia="en-GB"/>
        </w:rPr>
        <w:drawing>
          <wp:anchor distT="0" distB="0" distL="114300" distR="114300" simplePos="0" relativeHeight="251659264" behindDoc="0" locked="0" layoutInCell="1" allowOverlap="1" wp14:anchorId="3FB8FACF" wp14:editId="367A9C0F">
            <wp:simplePos x="0" y="0"/>
            <wp:positionH relativeFrom="margin">
              <wp:posOffset>-78955</wp:posOffset>
            </wp:positionH>
            <wp:positionV relativeFrom="paragraph">
              <wp:posOffset>390</wp:posOffset>
            </wp:positionV>
            <wp:extent cx="1226185" cy="1259840"/>
            <wp:effectExtent l="0" t="0" r="0" b="0"/>
            <wp:wrapTopAndBottom/>
            <wp:docPr id="9" name="Picture 5" descr="USW-logo-Raspberry-Screen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W-logo-Raspberry-Screen_2.jpg"/>
                    <pic:cNvPicPr/>
                  </pic:nvPicPr>
                  <pic:blipFill>
                    <a:blip r:embed="rId7"/>
                    <a:stretch>
                      <a:fillRect/>
                    </a:stretch>
                  </pic:blipFill>
                  <pic:spPr>
                    <a:xfrm>
                      <a:off x="0" y="0"/>
                      <a:ext cx="1226185" cy="1259840"/>
                    </a:xfrm>
                    <a:prstGeom prst="rect">
                      <a:avLst/>
                    </a:prstGeom>
                  </pic:spPr>
                </pic:pic>
              </a:graphicData>
            </a:graphic>
            <wp14:sizeRelH relativeFrom="margin">
              <wp14:pctWidth>0</wp14:pctWidth>
            </wp14:sizeRelH>
            <wp14:sizeRelV relativeFrom="margin">
              <wp14:pctHeight>0</wp14:pctHeight>
            </wp14:sizeRelV>
          </wp:anchor>
        </w:drawing>
      </w:r>
    </w:p>
    <w:p w14:paraId="51903112" w14:textId="77777777" w:rsidR="005B5C3A" w:rsidRPr="00B625CB" w:rsidRDefault="005B5C3A" w:rsidP="005B5C3A">
      <w:pPr>
        <w:spacing w:before="480" w:after="240" w:line="360" w:lineRule="auto"/>
        <w:rPr>
          <w:b/>
          <w:bCs/>
          <w:sz w:val="28"/>
          <w:szCs w:val="28"/>
        </w:rPr>
      </w:pPr>
      <w:r w:rsidRPr="00B625CB">
        <w:rPr>
          <w:b/>
          <w:bCs/>
          <w:i/>
          <w:iCs/>
          <w:sz w:val="28"/>
          <w:szCs w:val="28"/>
        </w:rPr>
        <w:t>Trustworthy AI: A Comparative Experimental Study of Bias Mitigation Techniques in AI Driven Hiring Algorithms</w:t>
      </w:r>
    </w:p>
    <w:p w14:paraId="23B76D76" w14:textId="77777777" w:rsidR="005B5C3A" w:rsidRDefault="005B5C3A" w:rsidP="005B5C3A">
      <w:pPr>
        <w:spacing w:before="480" w:after="240" w:line="360" w:lineRule="auto"/>
        <w:rPr>
          <w:b/>
          <w:bCs/>
          <w:sz w:val="28"/>
          <w:szCs w:val="28"/>
        </w:rPr>
      </w:pPr>
      <w:r w:rsidRPr="00B625CB">
        <w:rPr>
          <w:b/>
          <w:bCs/>
          <w:sz w:val="28"/>
          <w:szCs w:val="28"/>
        </w:rPr>
        <w:t>Student: Faisal Aleem</w:t>
      </w:r>
    </w:p>
    <w:p w14:paraId="4EEF0D40" w14:textId="77777777" w:rsidR="005B5C3A" w:rsidRDefault="005B5C3A" w:rsidP="005B5C3A">
      <w:pPr>
        <w:spacing w:before="480" w:after="240" w:line="360" w:lineRule="auto"/>
        <w:rPr>
          <w:b/>
          <w:bCs/>
          <w:sz w:val="28"/>
          <w:szCs w:val="28"/>
        </w:rPr>
      </w:pPr>
      <w:r w:rsidRPr="00B625CB">
        <w:rPr>
          <w:b/>
          <w:bCs/>
          <w:sz w:val="28"/>
          <w:szCs w:val="28"/>
        </w:rPr>
        <w:t>Supervisor: Janusz</w:t>
      </w:r>
    </w:p>
    <w:p w14:paraId="43DC31BB" w14:textId="77777777" w:rsidR="005B5C3A" w:rsidRDefault="005B5C3A" w:rsidP="005B5C3A">
      <w:pPr>
        <w:spacing w:before="480" w:after="240" w:line="360" w:lineRule="auto"/>
        <w:rPr>
          <w:b/>
          <w:bCs/>
          <w:sz w:val="28"/>
          <w:szCs w:val="28"/>
        </w:rPr>
      </w:pPr>
      <w:r w:rsidRPr="00B625CB">
        <w:rPr>
          <w:b/>
          <w:bCs/>
          <w:sz w:val="28"/>
          <w:szCs w:val="28"/>
        </w:rPr>
        <w:t xml:space="preserve">IS4T702 MSc Project  </w:t>
      </w:r>
    </w:p>
    <w:p w14:paraId="716CB8D5" w14:textId="77777777" w:rsidR="005B5C3A" w:rsidRDefault="005B5C3A" w:rsidP="005B5C3A">
      <w:pPr>
        <w:spacing w:before="480" w:after="240" w:line="360" w:lineRule="auto"/>
        <w:rPr>
          <w:b/>
          <w:bCs/>
          <w:sz w:val="28"/>
          <w:szCs w:val="28"/>
        </w:rPr>
      </w:pPr>
    </w:p>
    <w:p w14:paraId="72FBC4C7" w14:textId="5C7D85F3" w:rsidR="005B5C3A" w:rsidRDefault="005B5C3A" w:rsidP="005B5C3A">
      <w:pPr>
        <w:spacing w:before="480" w:after="240" w:line="360" w:lineRule="auto"/>
      </w:pPr>
      <w:r w:rsidRPr="00B625CB">
        <w:rPr>
          <w:b/>
          <w:bCs/>
          <w:sz w:val="28"/>
          <w:szCs w:val="28"/>
          <w:highlight w:val="yellow"/>
        </w:rPr>
        <w:t xml:space="preserve">DRAFT: </w:t>
      </w:r>
      <w:r w:rsidRPr="005B5C3A">
        <w:rPr>
          <w:b/>
          <w:bCs/>
          <w:sz w:val="28"/>
          <w:szCs w:val="28"/>
          <w:highlight w:val="yellow"/>
        </w:rPr>
        <w:t xml:space="preserve">Chapter </w:t>
      </w:r>
      <w:r w:rsidRPr="005B5C3A">
        <w:rPr>
          <w:b/>
          <w:bCs/>
          <w:sz w:val="28"/>
          <w:szCs w:val="28"/>
          <w:highlight w:val="yellow"/>
        </w:rPr>
        <w:t>3</w:t>
      </w:r>
      <w:r w:rsidRPr="005B5C3A">
        <w:rPr>
          <w:b/>
          <w:bCs/>
          <w:sz w:val="28"/>
          <w:szCs w:val="28"/>
          <w:highlight w:val="yellow"/>
        </w:rPr>
        <w:t xml:space="preserve">: </w:t>
      </w:r>
      <w:r w:rsidRPr="005B5C3A">
        <w:rPr>
          <w:b/>
          <w:bCs/>
          <w:sz w:val="28"/>
          <w:szCs w:val="28"/>
          <w:highlight w:val="yellow"/>
        </w:rPr>
        <w:t>Methodology</w:t>
      </w:r>
    </w:p>
    <w:p w14:paraId="61C4BFD0" w14:textId="77777777" w:rsidR="005B5C3A" w:rsidRDefault="005B5C3A">
      <w:pPr>
        <w:pBdr>
          <w:bottom w:val="single" w:sz="6" w:space="1" w:color="1E3A5F"/>
        </w:pBdr>
        <w:spacing w:before="480" w:after="200" w:line="360" w:lineRule="auto"/>
        <w:rPr>
          <w:b/>
          <w:bCs/>
          <w:sz w:val="28"/>
          <w:szCs w:val="28"/>
        </w:rPr>
      </w:pPr>
    </w:p>
    <w:p w14:paraId="3914EFFF" w14:textId="77777777" w:rsidR="005B5C3A" w:rsidRDefault="005B5C3A">
      <w:pPr>
        <w:pBdr>
          <w:bottom w:val="single" w:sz="6" w:space="1" w:color="1E3A5F"/>
        </w:pBdr>
        <w:spacing w:before="480" w:after="200" w:line="360" w:lineRule="auto"/>
        <w:rPr>
          <w:b/>
          <w:bCs/>
          <w:sz w:val="28"/>
          <w:szCs w:val="28"/>
        </w:rPr>
      </w:pPr>
    </w:p>
    <w:p w14:paraId="25CC6991" w14:textId="77777777" w:rsidR="005B5C3A" w:rsidRDefault="005B5C3A">
      <w:pPr>
        <w:pBdr>
          <w:bottom w:val="single" w:sz="6" w:space="1" w:color="1E3A5F"/>
        </w:pBdr>
        <w:spacing w:before="480" w:after="200" w:line="360" w:lineRule="auto"/>
        <w:rPr>
          <w:b/>
          <w:bCs/>
          <w:sz w:val="28"/>
          <w:szCs w:val="28"/>
        </w:rPr>
      </w:pPr>
    </w:p>
    <w:p w14:paraId="03367676" w14:textId="77777777" w:rsidR="005B5C3A" w:rsidRDefault="005B5C3A">
      <w:pPr>
        <w:pBdr>
          <w:bottom w:val="single" w:sz="6" w:space="1" w:color="1E3A5F"/>
        </w:pBdr>
        <w:spacing w:before="480" w:after="200" w:line="360" w:lineRule="auto"/>
        <w:rPr>
          <w:b/>
          <w:bCs/>
          <w:sz w:val="28"/>
          <w:szCs w:val="28"/>
        </w:rPr>
      </w:pPr>
    </w:p>
    <w:p w14:paraId="09FE75F4" w14:textId="77777777" w:rsidR="005B5C3A" w:rsidRDefault="005B5C3A">
      <w:pPr>
        <w:pBdr>
          <w:bottom w:val="single" w:sz="6" w:space="1" w:color="1E3A5F"/>
        </w:pBdr>
        <w:spacing w:before="480" w:after="200" w:line="360" w:lineRule="auto"/>
        <w:rPr>
          <w:b/>
          <w:bCs/>
          <w:sz w:val="28"/>
          <w:szCs w:val="28"/>
        </w:rPr>
      </w:pPr>
    </w:p>
    <w:p w14:paraId="0585190A" w14:textId="53FF737D" w:rsidR="00FE38AF" w:rsidRDefault="00000000">
      <w:pPr>
        <w:pBdr>
          <w:bottom w:val="single" w:sz="6" w:space="1" w:color="1E3A5F"/>
        </w:pBdr>
        <w:spacing w:before="480" w:after="200" w:line="360" w:lineRule="auto"/>
      </w:pPr>
      <w:r>
        <w:rPr>
          <w:b/>
          <w:bCs/>
          <w:sz w:val="28"/>
          <w:szCs w:val="28"/>
        </w:rPr>
        <w:lastRenderedPageBreak/>
        <w:t>Chapter 3: Methodology</w:t>
      </w:r>
    </w:p>
    <w:p w14:paraId="5E1E5213" w14:textId="77777777" w:rsidR="00FE38AF" w:rsidRDefault="00000000">
      <w:pPr>
        <w:spacing w:before="360" w:after="160" w:line="360" w:lineRule="auto"/>
      </w:pPr>
      <w:r>
        <w:rPr>
          <w:b/>
          <w:bCs/>
        </w:rPr>
        <w:t>3.1 Introduction</w:t>
      </w:r>
    </w:p>
    <w:p w14:paraId="4C3F7AA5" w14:textId="77777777" w:rsidR="00FE38AF" w:rsidRDefault="00000000">
      <w:pPr>
        <w:spacing w:after="160" w:line="360" w:lineRule="auto"/>
        <w:jc w:val="both"/>
      </w:pPr>
      <w:r>
        <w:t>This chapter presents and justifies the methodological choices that underpin the comparative experimental study of bias mitigation techniques in AI driven hiring algorithms. It begins by situating the research within an appropriate philosophical paradigm and proceeds to describe the research design, dataset selection and justification, experimental framework, classifier selection, bias mitigation technique selection, fairness metric selection, tools and technical environment, reproducibility measures, validity considerations, and ethical clearance. Every methodological decision is justified with reference to the specific aims and objectives of the study and to established methodological principles in experimental computer science (Friedler et al., 2019; Barocas, Hardt and Moritz, 2023; Saunders, Lewis and Thornhill, 2019).</w:t>
      </w:r>
    </w:p>
    <w:p w14:paraId="3A50DA51" w14:textId="77777777" w:rsidR="00FE38AF" w:rsidRDefault="00000000">
      <w:pPr>
        <w:spacing w:before="360" w:after="160" w:line="360" w:lineRule="auto"/>
      </w:pPr>
      <w:r>
        <w:rPr>
          <w:b/>
          <w:bCs/>
        </w:rPr>
        <w:t>3.2 Research Philosophy</w:t>
      </w:r>
    </w:p>
    <w:p w14:paraId="4AD42F1D" w14:textId="77777777" w:rsidR="00FE38AF" w:rsidRDefault="00000000">
      <w:pPr>
        <w:spacing w:after="160" w:line="360" w:lineRule="auto"/>
        <w:jc w:val="both"/>
      </w:pPr>
      <w:r>
        <w:t>This study adopts a positivist research philosophy. Positivism holds that knowledge is derived from observable, measurable phenomena and that objective investigation through systematic, replicable procedures can produce reliable scientific knowledge (Saunders, Lewis and Thornhill, 2019). In the context of algorithmic fairness research, bias and fairness are treated as properties of classifier outputs that can be quantified, measured, and compared across experimental conditions without reference to subjective interpretations or context-specific value judgements about which outcomes are preferable.</w:t>
      </w:r>
    </w:p>
    <w:p w14:paraId="492055A2" w14:textId="77777777" w:rsidR="00FE38AF" w:rsidRDefault="00000000">
      <w:pPr>
        <w:spacing w:after="160" w:line="360" w:lineRule="auto"/>
        <w:jc w:val="both"/>
      </w:pPr>
      <w:r>
        <w:t>The positivist stance is appropriate for this study for three reasons. First, the research questions are empirical in nature: they concern the measurable effects of bias mitigation techniques on classifier performance and fairness outcomes, rather than the perceptions or experiences of individuals affected by those outcomes. Second, the study operates entirely on numerical datasets and produces numerical outputs that are well suited to objective measurement. Third, positivism ensures that findings are verifiable and reproducible by other researchers using the same data, tools, and protocols, which is an important criterion for experimental computer science research (Friedler et al., 2019).</w:t>
      </w:r>
    </w:p>
    <w:p w14:paraId="7882097B" w14:textId="77777777" w:rsidR="00FE38AF" w:rsidRDefault="00000000">
      <w:pPr>
        <w:spacing w:after="160" w:line="360" w:lineRule="auto"/>
        <w:jc w:val="both"/>
      </w:pPr>
      <w:r>
        <w:t xml:space="preserve">A post-positivist qualification is appropriate. Pure positivism assumes a direct correspondence between observable measurements and an underlying reality. In algorithmic fairness research, </w:t>
      </w:r>
      <w:proofErr w:type="gramStart"/>
      <w:r>
        <w:t>however</w:t>
      </w:r>
      <w:proofErr w:type="gramEnd"/>
      <w:r>
        <w:t xml:space="preserve">, fairness metrics are constructs that </w:t>
      </w:r>
      <w:proofErr w:type="spellStart"/>
      <w:r>
        <w:t>formalise</w:t>
      </w:r>
      <w:proofErr w:type="spellEnd"/>
      <w:r>
        <w:t xml:space="preserve"> contested normative concepts. </w:t>
      </w:r>
      <w:r>
        <w:lastRenderedPageBreak/>
        <w:t xml:space="preserve">Demographic parity, </w:t>
      </w:r>
      <w:proofErr w:type="spellStart"/>
      <w:r>
        <w:t>equalised</w:t>
      </w:r>
      <w:proofErr w:type="spellEnd"/>
      <w:r>
        <w:t xml:space="preserve"> odds, and counterfactual fairness each encode different assumptions about what fair treatment means (</w:t>
      </w:r>
      <w:proofErr w:type="spellStart"/>
      <w:r>
        <w:t>Chouldechova</w:t>
      </w:r>
      <w:proofErr w:type="spellEnd"/>
      <w:r>
        <w:t xml:space="preserve">, 2017; Barocas, Hardt and Moritz, 2023). This study acknowledges that its findings are specific to the fairness metrics selected and the datasets </w:t>
      </w:r>
      <w:proofErr w:type="gramStart"/>
      <w:r>
        <w:t>used, and</w:t>
      </w:r>
      <w:proofErr w:type="gramEnd"/>
      <w:r>
        <w:t xml:space="preserve"> does not claim to produce universal truths about which bias mitigation technique is best in all contexts.</w:t>
      </w:r>
    </w:p>
    <w:p w14:paraId="2FB2A786" w14:textId="77777777" w:rsidR="00FE38AF" w:rsidRDefault="00000000">
      <w:pPr>
        <w:spacing w:before="360" w:after="160" w:line="360" w:lineRule="auto"/>
      </w:pPr>
      <w:r>
        <w:rPr>
          <w:b/>
          <w:bCs/>
        </w:rPr>
        <w:t>3.3 Research Approach</w:t>
      </w:r>
    </w:p>
    <w:p w14:paraId="73D1929F" w14:textId="77777777" w:rsidR="00FE38AF" w:rsidRDefault="00000000">
      <w:pPr>
        <w:spacing w:after="160" w:line="360" w:lineRule="auto"/>
        <w:jc w:val="both"/>
      </w:pPr>
      <w:r>
        <w:t xml:space="preserve">The research approach is deductive. A deductive approach begins with established theory and hypotheses derived from the existing literature and proceeds to test those hypotheses through empirical observation (Saunders, Lewis and Thornhill, 2019). In this study, the theoretical framework established in Chapter 2 produces testable expectations: for example, that preprocessing techniques will reduce demographic parity difference while incurring some accuracy loss, that in processing techniques will produce more stable fairness improvements because fairness is built into the learning objective, and that postprocessing techniques will achieve </w:t>
      </w:r>
      <w:proofErr w:type="spellStart"/>
      <w:r>
        <w:t>equalised</w:t>
      </w:r>
      <w:proofErr w:type="spellEnd"/>
      <w:r>
        <w:t xml:space="preserve"> odds through group-specific threshold adjustment at the cost of potentially introducing group-differential treatment.</w:t>
      </w:r>
    </w:p>
    <w:p w14:paraId="49F2E0E3" w14:textId="77777777" w:rsidR="00FE38AF" w:rsidRDefault="00000000">
      <w:pPr>
        <w:spacing w:after="160" w:line="360" w:lineRule="auto"/>
        <w:jc w:val="both"/>
      </w:pPr>
      <w:r>
        <w:t xml:space="preserve">The deductive approach is appropriate because the algorithmic fairness literature provides a rich theoretical basis from which specific, testable hypotheses about the </w:t>
      </w:r>
      <w:proofErr w:type="spellStart"/>
      <w:r>
        <w:t>behaviour</w:t>
      </w:r>
      <w:proofErr w:type="spellEnd"/>
      <w:r>
        <w:t xml:space="preserve"> of each technique family can be derived. An inductive approach, which would generate theory from observed patterns in the data, would be less appropriate given the depth of existing theoretical and empirical work in this field and the well-established experimental traditions within it.</w:t>
      </w:r>
    </w:p>
    <w:p w14:paraId="05AA3983" w14:textId="77777777" w:rsidR="00FE38AF" w:rsidRDefault="00000000">
      <w:pPr>
        <w:spacing w:before="360" w:after="160" w:line="360" w:lineRule="auto"/>
      </w:pPr>
      <w:r>
        <w:rPr>
          <w:b/>
          <w:bCs/>
        </w:rPr>
        <w:t>3.4 Research Design</w:t>
      </w:r>
    </w:p>
    <w:p w14:paraId="6E6D1048" w14:textId="77777777" w:rsidR="00FE38AF" w:rsidRDefault="00000000">
      <w:pPr>
        <w:spacing w:after="160" w:line="360" w:lineRule="auto"/>
        <w:jc w:val="both"/>
      </w:pPr>
      <w:r>
        <w:t xml:space="preserve">The research design is a controlled comparative experiment. Experimental designs manipulate one or more independent variables while holding all other conditions constant, enabling causal inferences about the effects of </w:t>
      </w:r>
      <w:proofErr w:type="gramStart"/>
      <w:r>
        <w:t>the manipulation</w:t>
      </w:r>
      <w:proofErr w:type="gramEnd"/>
      <w:r>
        <w:t xml:space="preserve"> on the dependent variables of interest (Friedler et al., 2019). The design of this study is structured as follows: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FE38AF" w14:paraId="57EF96A2" w14:textId="77777777">
        <w:tblPrEx>
          <w:tblCellMar>
            <w:top w:w="0" w:type="dxa"/>
            <w:bottom w:w="0" w:type="dxa"/>
          </w:tblCellMar>
        </w:tblPrEx>
        <w:tc>
          <w:tcPr>
            <w:tcW w:w="2800" w:type="dxa"/>
            <w:tcBorders>
              <w:top w:val="single" w:sz="8" w:space="0" w:color="1E3A5F"/>
              <w:left w:val="single" w:sz="8" w:space="0" w:color="1E3A5F"/>
              <w:bottom w:val="single" w:sz="8" w:space="0" w:color="1E3A5F"/>
              <w:right w:val="single" w:sz="8" w:space="0" w:color="1E3A5F"/>
            </w:tcBorders>
            <w:shd w:val="clear" w:color="auto" w:fill="1E3A5F"/>
            <w:tcMar>
              <w:top w:w="80" w:type="dxa"/>
              <w:left w:w="100" w:type="dxa"/>
              <w:bottom w:w="80" w:type="dxa"/>
              <w:right w:w="100" w:type="dxa"/>
            </w:tcMar>
            <w:vAlign w:val="center"/>
          </w:tcPr>
          <w:p w14:paraId="6916951D" w14:textId="77777777" w:rsidR="00FE38AF" w:rsidRDefault="00000000">
            <w:pPr>
              <w:spacing w:line="360" w:lineRule="auto"/>
              <w:jc w:val="center"/>
            </w:pPr>
            <w:r>
              <w:rPr>
                <w:b/>
                <w:bCs/>
                <w:color w:val="FFFFFF"/>
                <w:sz w:val="20"/>
                <w:szCs w:val="20"/>
              </w:rPr>
              <w:t>Design Element</w:t>
            </w:r>
          </w:p>
        </w:tc>
        <w:tc>
          <w:tcPr>
            <w:tcW w:w="6226" w:type="dxa"/>
            <w:tcBorders>
              <w:top w:val="single" w:sz="8" w:space="0" w:color="1E3A5F"/>
              <w:left w:val="single" w:sz="8" w:space="0" w:color="1E3A5F"/>
              <w:bottom w:val="single" w:sz="8" w:space="0" w:color="1E3A5F"/>
              <w:right w:val="single" w:sz="8" w:space="0" w:color="1E3A5F"/>
            </w:tcBorders>
            <w:shd w:val="clear" w:color="auto" w:fill="1E3A5F"/>
            <w:tcMar>
              <w:top w:w="80" w:type="dxa"/>
              <w:left w:w="100" w:type="dxa"/>
              <w:bottom w:w="80" w:type="dxa"/>
              <w:right w:w="100" w:type="dxa"/>
            </w:tcMar>
            <w:vAlign w:val="center"/>
          </w:tcPr>
          <w:p w14:paraId="22635639" w14:textId="77777777" w:rsidR="00FE38AF" w:rsidRDefault="00000000">
            <w:pPr>
              <w:spacing w:line="360" w:lineRule="auto"/>
              <w:jc w:val="center"/>
            </w:pPr>
            <w:r>
              <w:rPr>
                <w:b/>
                <w:bCs/>
                <w:color w:val="FFFFFF"/>
                <w:sz w:val="20"/>
                <w:szCs w:val="20"/>
              </w:rPr>
              <w:t>Specification</w:t>
            </w:r>
          </w:p>
        </w:tc>
      </w:tr>
      <w:tr w:rsidR="00FE38AF" w14:paraId="41D6F818" w14:textId="77777777">
        <w:tblPrEx>
          <w:tblCellMar>
            <w:top w:w="0" w:type="dxa"/>
            <w:bottom w:w="0" w:type="dxa"/>
          </w:tblCellMar>
        </w:tblPrEx>
        <w:tc>
          <w:tcPr>
            <w:tcW w:w="2800" w:type="dxa"/>
            <w:tcBorders>
              <w:top w:val="single" w:sz="4" w:space="0" w:color="C8D2DF"/>
              <w:left w:val="single" w:sz="4" w:space="0" w:color="C8D2DF"/>
              <w:bottom w:val="single" w:sz="4" w:space="0" w:color="C8D2DF"/>
              <w:right w:val="single" w:sz="4" w:space="0" w:color="C8D2DF"/>
            </w:tcBorders>
            <w:shd w:val="clear" w:color="auto" w:fill="F4F6F9"/>
            <w:tcMar>
              <w:top w:w="80" w:type="dxa"/>
              <w:left w:w="100" w:type="dxa"/>
              <w:bottom w:w="80" w:type="dxa"/>
              <w:right w:w="100" w:type="dxa"/>
            </w:tcMar>
          </w:tcPr>
          <w:p w14:paraId="1D729B19" w14:textId="77777777" w:rsidR="00FE38AF" w:rsidRDefault="00000000">
            <w:pPr>
              <w:spacing w:line="360" w:lineRule="auto"/>
            </w:pPr>
            <w:r>
              <w:rPr>
                <w:b/>
                <w:bCs/>
                <w:color w:val="111111"/>
                <w:sz w:val="20"/>
                <w:szCs w:val="20"/>
              </w:rPr>
              <w:t>Independent Variable</w:t>
            </w:r>
          </w:p>
        </w:tc>
        <w:tc>
          <w:tcPr>
            <w:tcW w:w="6226" w:type="dxa"/>
            <w:tcBorders>
              <w:top w:val="single" w:sz="4" w:space="0" w:color="C8D2DF"/>
              <w:left w:val="single" w:sz="4" w:space="0" w:color="C8D2DF"/>
              <w:bottom w:val="single" w:sz="4" w:space="0" w:color="C8D2DF"/>
              <w:right w:val="single" w:sz="4" w:space="0" w:color="C8D2DF"/>
            </w:tcBorders>
            <w:shd w:val="clear" w:color="auto" w:fill="FFFFFF"/>
            <w:tcMar>
              <w:top w:w="80" w:type="dxa"/>
              <w:left w:w="100" w:type="dxa"/>
              <w:bottom w:w="80" w:type="dxa"/>
              <w:right w:w="100" w:type="dxa"/>
            </w:tcMar>
          </w:tcPr>
          <w:p w14:paraId="50B4C42E" w14:textId="77777777" w:rsidR="00FE38AF" w:rsidRDefault="00000000">
            <w:pPr>
              <w:spacing w:line="360" w:lineRule="auto"/>
            </w:pPr>
            <w:r>
              <w:rPr>
                <w:color w:val="111111"/>
                <w:sz w:val="20"/>
                <w:szCs w:val="20"/>
              </w:rPr>
              <w:t xml:space="preserve">Bias mitigation technique applied: five levels (no mitigation, Reweighing, Disparate Impact Remover, Prejudice Remover, </w:t>
            </w:r>
            <w:proofErr w:type="spellStart"/>
            <w:r>
              <w:rPr>
                <w:color w:val="111111"/>
                <w:sz w:val="20"/>
                <w:szCs w:val="20"/>
              </w:rPr>
              <w:t>Equalised</w:t>
            </w:r>
            <w:proofErr w:type="spellEnd"/>
            <w:r>
              <w:rPr>
                <w:color w:val="111111"/>
                <w:sz w:val="20"/>
                <w:szCs w:val="20"/>
              </w:rPr>
              <w:t xml:space="preserve"> Odds Postprocessing)</w:t>
            </w:r>
          </w:p>
        </w:tc>
      </w:tr>
      <w:tr w:rsidR="00FE38AF" w14:paraId="07244F70" w14:textId="77777777">
        <w:tblPrEx>
          <w:tblCellMar>
            <w:top w:w="0" w:type="dxa"/>
            <w:bottom w:w="0" w:type="dxa"/>
          </w:tblCellMar>
        </w:tblPrEx>
        <w:tc>
          <w:tcPr>
            <w:tcW w:w="2800" w:type="dxa"/>
            <w:tcBorders>
              <w:top w:val="single" w:sz="4" w:space="0" w:color="C8D2DF"/>
              <w:left w:val="single" w:sz="4" w:space="0" w:color="C8D2DF"/>
              <w:bottom w:val="single" w:sz="4" w:space="0" w:color="C8D2DF"/>
              <w:right w:val="single" w:sz="4" w:space="0" w:color="C8D2DF"/>
            </w:tcBorders>
            <w:shd w:val="clear" w:color="auto" w:fill="F4F6F9"/>
            <w:tcMar>
              <w:top w:w="80" w:type="dxa"/>
              <w:left w:w="100" w:type="dxa"/>
              <w:bottom w:w="80" w:type="dxa"/>
              <w:right w:w="100" w:type="dxa"/>
            </w:tcMar>
          </w:tcPr>
          <w:p w14:paraId="6EF89352" w14:textId="77777777" w:rsidR="00FE38AF" w:rsidRDefault="00000000">
            <w:pPr>
              <w:spacing w:line="360" w:lineRule="auto"/>
            </w:pPr>
            <w:r>
              <w:rPr>
                <w:b/>
                <w:bCs/>
                <w:color w:val="111111"/>
                <w:sz w:val="20"/>
                <w:szCs w:val="20"/>
              </w:rPr>
              <w:lastRenderedPageBreak/>
              <w:t>Dependent Variables</w:t>
            </w:r>
          </w:p>
        </w:tc>
        <w:tc>
          <w:tcPr>
            <w:tcW w:w="6226" w:type="dxa"/>
            <w:tcBorders>
              <w:top w:val="single" w:sz="4" w:space="0" w:color="C8D2DF"/>
              <w:left w:val="single" w:sz="4" w:space="0" w:color="C8D2DF"/>
              <w:bottom w:val="single" w:sz="4" w:space="0" w:color="C8D2DF"/>
              <w:right w:val="single" w:sz="4" w:space="0" w:color="C8D2DF"/>
            </w:tcBorders>
            <w:shd w:val="clear" w:color="auto" w:fill="F4F6F9"/>
            <w:tcMar>
              <w:top w:w="80" w:type="dxa"/>
              <w:left w:w="100" w:type="dxa"/>
              <w:bottom w:w="80" w:type="dxa"/>
              <w:right w:w="100" w:type="dxa"/>
            </w:tcMar>
          </w:tcPr>
          <w:p w14:paraId="5138B27D" w14:textId="77777777" w:rsidR="00FE38AF" w:rsidRDefault="00000000">
            <w:pPr>
              <w:spacing w:line="360" w:lineRule="auto"/>
            </w:pPr>
            <w:r>
              <w:rPr>
                <w:color w:val="111111"/>
                <w:sz w:val="20"/>
                <w:szCs w:val="20"/>
              </w:rPr>
              <w:t xml:space="preserve">Overall classification accuracy; demographic parity difference (DPD); average odds difference (AOD); </w:t>
            </w:r>
            <w:proofErr w:type="spellStart"/>
            <w:r>
              <w:rPr>
                <w:color w:val="111111"/>
                <w:sz w:val="20"/>
                <w:szCs w:val="20"/>
              </w:rPr>
              <w:t>equalised</w:t>
            </w:r>
            <w:proofErr w:type="spellEnd"/>
            <w:r>
              <w:rPr>
                <w:color w:val="111111"/>
                <w:sz w:val="20"/>
                <w:szCs w:val="20"/>
              </w:rPr>
              <w:t xml:space="preserve"> odds difference (EOD); disparate impact ratio (DIR)</w:t>
            </w:r>
          </w:p>
        </w:tc>
      </w:tr>
      <w:tr w:rsidR="00FE38AF" w14:paraId="357023A6" w14:textId="77777777">
        <w:tblPrEx>
          <w:tblCellMar>
            <w:top w:w="0" w:type="dxa"/>
            <w:bottom w:w="0" w:type="dxa"/>
          </w:tblCellMar>
        </w:tblPrEx>
        <w:tc>
          <w:tcPr>
            <w:tcW w:w="2800" w:type="dxa"/>
            <w:tcBorders>
              <w:top w:val="single" w:sz="4" w:space="0" w:color="C8D2DF"/>
              <w:left w:val="single" w:sz="4" w:space="0" w:color="C8D2DF"/>
              <w:bottom w:val="single" w:sz="4" w:space="0" w:color="C8D2DF"/>
              <w:right w:val="single" w:sz="4" w:space="0" w:color="C8D2DF"/>
            </w:tcBorders>
            <w:shd w:val="clear" w:color="auto" w:fill="F4F6F9"/>
            <w:tcMar>
              <w:top w:w="80" w:type="dxa"/>
              <w:left w:w="100" w:type="dxa"/>
              <w:bottom w:w="80" w:type="dxa"/>
              <w:right w:w="100" w:type="dxa"/>
            </w:tcMar>
          </w:tcPr>
          <w:p w14:paraId="17082FFE" w14:textId="77777777" w:rsidR="00FE38AF" w:rsidRDefault="00000000">
            <w:pPr>
              <w:spacing w:line="360" w:lineRule="auto"/>
            </w:pPr>
            <w:r>
              <w:rPr>
                <w:b/>
                <w:bCs/>
                <w:color w:val="111111"/>
                <w:sz w:val="20"/>
                <w:szCs w:val="20"/>
              </w:rPr>
              <w:t>Control Variables</w:t>
            </w:r>
          </w:p>
        </w:tc>
        <w:tc>
          <w:tcPr>
            <w:tcW w:w="6226" w:type="dxa"/>
            <w:tcBorders>
              <w:top w:val="single" w:sz="4" w:space="0" w:color="C8D2DF"/>
              <w:left w:val="single" w:sz="4" w:space="0" w:color="C8D2DF"/>
              <w:bottom w:val="single" w:sz="4" w:space="0" w:color="C8D2DF"/>
              <w:right w:val="single" w:sz="4" w:space="0" w:color="C8D2DF"/>
            </w:tcBorders>
            <w:shd w:val="clear" w:color="auto" w:fill="FFFFFF"/>
            <w:tcMar>
              <w:top w:w="80" w:type="dxa"/>
              <w:left w:w="100" w:type="dxa"/>
              <w:bottom w:w="80" w:type="dxa"/>
              <w:right w:w="100" w:type="dxa"/>
            </w:tcMar>
          </w:tcPr>
          <w:p w14:paraId="3025CE82" w14:textId="77777777" w:rsidR="00FE38AF" w:rsidRDefault="00000000">
            <w:pPr>
              <w:spacing w:line="360" w:lineRule="auto"/>
            </w:pPr>
            <w:r>
              <w:rPr>
                <w:color w:val="111111"/>
                <w:sz w:val="20"/>
                <w:szCs w:val="20"/>
              </w:rPr>
              <w:t>Dataset used; classifier architecture (logistic regression); train/test split ratio (70/30); random seed (42); protected attribute definition; fairness metric evaluation protocol</w:t>
            </w:r>
          </w:p>
        </w:tc>
      </w:tr>
      <w:tr w:rsidR="00FE38AF" w14:paraId="078356DD" w14:textId="77777777">
        <w:tblPrEx>
          <w:tblCellMar>
            <w:top w:w="0" w:type="dxa"/>
            <w:bottom w:w="0" w:type="dxa"/>
          </w:tblCellMar>
        </w:tblPrEx>
        <w:tc>
          <w:tcPr>
            <w:tcW w:w="2800" w:type="dxa"/>
            <w:tcBorders>
              <w:top w:val="single" w:sz="4" w:space="0" w:color="C8D2DF"/>
              <w:left w:val="single" w:sz="4" w:space="0" w:color="C8D2DF"/>
              <w:bottom w:val="single" w:sz="4" w:space="0" w:color="C8D2DF"/>
              <w:right w:val="single" w:sz="4" w:space="0" w:color="C8D2DF"/>
            </w:tcBorders>
            <w:shd w:val="clear" w:color="auto" w:fill="F4F6F9"/>
            <w:tcMar>
              <w:top w:w="80" w:type="dxa"/>
              <w:left w:w="100" w:type="dxa"/>
              <w:bottom w:w="80" w:type="dxa"/>
              <w:right w:w="100" w:type="dxa"/>
            </w:tcMar>
          </w:tcPr>
          <w:p w14:paraId="2A1469A7" w14:textId="77777777" w:rsidR="00FE38AF" w:rsidRDefault="00000000">
            <w:pPr>
              <w:spacing w:line="360" w:lineRule="auto"/>
            </w:pPr>
            <w:r>
              <w:rPr>
                <w:b/>
                <w:bCs/>
                <w:color w:val="111111"/>
                <w:sz w:val="20"/>
                <w:szCs w:val="20"/>
              </w:rPr>
              <w:t>Design Type</w:t>
            </w:r>
          </w:p>
        </w:tc>
        <w:tc>
          <w:tcPr>
            <w:tcW w:w="6226" w:type="dxa"/>
            <w:tcBorders>
              <w:top w:val="single" w:sz="4" w:space="0" w:color="C8D2DF"/>
              <w:left w:val="single" w:sz="4" w:space="0" w:color="C8D2DF"/>
              <w:bottom w:val="single" w:sz="4" w:space="0" w:color="C8D2DF"/>
              <w:right w:val="single" w:sz="4" w:space="0" w:color="C8D2DF"/>
            </w:tcBorders>
            <w:shd w:val="clear" w:color="auto" w:fill="F4F6F9"/>
            <w:tcMar>
              <w:top w:w="80" w:type="dxa"/>
              <w:left w:w="100" w:type="dxa"/>
              <w:bottom w:w="80" w:type="dxa"/>
              <w:right w:w="100" w:type="dxa"/>
            </w:tcMar>
          </w:tcPr>
          <w:p w14:paraId="6C25F70B" w14:textId="77777777" w:rsidR="00FE38AF" w:rsidRDefault="00000000">
            <w:pPr>
              <w:spacing w:line="360" w:lineRule="auto"/>
            </w:pPr>
            <w:proofErr w:type="gramStart"/>
            <w:r>
              <w:rPr>
                <w:color w:val="111111"/>
                <w:sz w:val="20"/>
                <w:szCs w:val="20"/>
              </w:rPr>
              <w:t>Within-subjects</w:t>
            </w:r>
            <w:proofErr w:type="gramEnd"/>
            <w:r>
              <w:rPr>
                <w:color w:val="111111"/>
                <w:sz w:val="20"/>
                <w:szCs w:val="20"/>
              </w:rPr>
              <w:t xml:space="preserve">: all five conditions applied to the same datasets and evaluated using the same fairness metrics, </w:t>
            </w:r>
            <w:proofErr w:type="gramStart"/>
            <w:r>
              <w:rPr>
                <w:color w:val="111111"/>
                <w:sz w:val="20"/>
                <w:szCs w:val="20"/>
              </w:rPr>
              <w:t>controlling for</w:t>
            </w:r>
            <w:proofErr w:type="gramEnd"/>
            <w:r>
              <w:rPr>
                <w:color w:val="111111"/>
                <w:sz w:val="20"/>
                <w:szCs w:val="20"/>
              </w:rPr>
              <w:t xml:space="preserve"> dataset-specific confounds</w:t>
            </w:r>
          </w:p>
        </w:tc>
      </w:tr>
      <w:tr w:rsidR="00FE38AF" w14:paraId="47DA2781" w14:textId="77777777">
        <w:tblPrEx>
          <w:tblCellMar>
            <w:top w:w="0" w:type="dxa"/>
            <w:bottom w:w="0" w:type="dxa"/>
          </w:tblCellMar>
        </w:tblPrEx>
        <w:tc>
          <w:tcPr>
            <w:tcW w:w="2800" w:type="dxa"/>
            <w:tcBorders>
              <w:top w:val="single" w:sz="4" w:space="0" w:color="C8D2DF"/>
              <w:left w:val="single" w:sz="4" w:space="0" w:color="C8D2DF"/>
              <w:bottom w:val="single" w:sz="4" w:space="0" w:color="C8D2DF"/>
              <w:right w:val="single" w:sz="4" w:space="0" w:color="C8D2DF"/>
            </w:tcBorders>
            <w:shd w:val="clear" w:color="auto" w:fill="F4F6F9"/>
            <w:tcMar>
              <w:top w:w="80" w:type="dxa"/>
              <w:left w:w="100" w:type="dxa"/>
              <w:bottom w:w="80" w:type="dxa"/>
              <w:right w:w="100" w:type="dxa"/>
            </w:tcMar>
          </w:tcPr>
          <w:p w14:paraId="54A8051F" w14:textId="77777777" w:rsidR="00FE38AF" w:rsidRDefault="00000000">
            <w:pPr>
              <w:spacing w:line="360" w:lineRule="auto"/>
            </w:pPr>
            <w:r>
              <w:rPr>
                <w:b/>
                <w:bCs/>
                <w:color w:val="111111"/>
                <w:sz w:val="20"/>
                <w:szCs w:val="20"/>
              </w:rPr>
              <w:t>Number of Conditions</w:t>
            </w:r>
          </w:p>
        </w:tc>
        <w:tc>
          <w:tcPr>
            <w:tcW w:w="6226" w:type="dxa"/>
            <w:tcBorders>
              <w:top w:val="single" w:sz="4" w:space="0" w:color="C8D2DF"/>
              <w:left w:val="single" w:sz="4" w:space="0" w:color="C8D2DF"/>
              <w:bottom w:val="single" w:sz="4" w:space="0" w:color="C8D2DF"/>
              <w:right w:val="single" w:sz="4" w:space="0" w:color="C8D2DF"/>
            </w:tcBorders>
            <w:shd w:val="clear" w:color="auto" w:fill="FFFFFF"/>
            <w:tcMar>
              <w:top w:w="80" w:type="dxa"/>
              <w:left w:w="100" w:type="dxa"/>
              <w:bottom w:w="80" w:type="dxa"/>
              <w:right w:w="100" w:type="dxa"/>
            </w:tcMar>
          </w:tcPr>
          <w:p w14:paraId="4CD94FE0" w14:textId="77777777" w:rsidR="00FE38AF" w:rsidRDefault="00000000">
            <w:pPr>
              <w:spacing w:line="360" w:lineRule="auto"/>
            </w:pPr>
            <w:r>
              <w:rPr>
                <w:color w:val="111111"/>
                <w:sz w:val="20"/>
                <w:szCs w:val="20"/>
              </w:rPr>
              <w:t>5 conditions x 2 datasets = 10 experimental runs</w:t>
            </w:r>
          </w:p>
        </w:tc>
      </w:tr>
    </w:tbl>
    <w:p w14:paraId="172A659E" w14:textId="77777777" w:rsidR="00FE38AF" w:rsidRDefault="00000000">
      <w:pPr>
        <w:spacing w:before="60" w:after="240" w:line="360" w:lineRule="auto"/>
        <w:jc w:val="center"/>
      </w:pPr>
      <w:r>
        <w:rPr>
          <w:i/>
          <w:iCs/>
          <w:color w:val="555555"/>
          <w:sz w:val="20"/>
          <w:szCs w:val="20"/>
        </w:rPr>
        <w:t>Table 3.1: Experimental Design Specification</w:t>
      </w:r>
    </w:p>
    <w:p w14:paraId="50892B80" w14:textId="77777777" w:rsidR="00FE38AF" w:rsidRDefault="00FE38AF">
      <w:pPr>
        <w:spacing w:after="160"/>
      </w:pPr>
    </w:p>
    <w:p w14:paraId="3956A3D1" w14:textId="77777777" w:rsidR="00FE38AF" w:rsidRDefault="00000000">
      <w:pPr>
        <w:spacing w:after="160" w:line="360" w:lineRule="auto"/>
        <w:jc w:val="both"/>
      </w:pPr>
      <w:r>
        <w:t>The within-subjects design ensures that any observed differences in fairness metrics across conditions are attributable to the mitigation technique applied rather than to variation in the dataset or classifier. This design replicates and extends the comparative methodology of Friedler et al. (2019), whose study applied nine fairness interventions to six datasets and demonstrated that no single technique consistently outperforms the others across all settings.</w:t>
      </w:r>
    </w:p>
    <w:p w14:paraId="4BD76C5B" w14:textId="77777777" w:rsidR="00FE38AF" w:rsidRDefault="00000000">
      <w:pPr>
        <w:spacing w:before="360" w:after="160" w:line="360" w:lineRule="auto"/>
      </w:pPr>
      <w:r>
        <w:rPr>
          <w:b/>
          <w:bCs/>
        </w:rPr>
        <w:t>3.5 Dataset Selection and Justification</w:t>
      </w:r>
    </w:p>
    <w:p w14:paraId="2264BA53" w14:textId="77777777" w:rsidR="00FE38AF" w:rsidRDefault="00000000">
      <w:pPr>
        <w:spacing w:after="160" w:line="360" w:lineRule="auto"/>
        <w:jc w:val="both"/>
      </w:pPr>
      <w:r>
        <w:t xml:space="preserve">Two publicly available benchmark datasets are used in this study. The selection criteria applied were: (1) public availability under a research-permissive </w:t>
      </w:r>
      <w:proofErr w:type="spellStart"/>
      <w:r>
        <w:t>licence</w:t>
      </w:r>
      <w:proofErr w:type="spellEnd"/>
      <w:r>
        <w:t>; (2) the presence of a clearly defined protected attribute relevant to discrimination analysis; (3) a binary classification task suitable for logistic regression; (4) prior use in the algorithmic fairness literature, enabling comparison with published results; and (5) documentation of a measurable demographic disparity in classifier outcomes.</w:t>
      </w:r>
    </w:p>
    <w:p w14:paraId="0D4CBEC6" w14:textId="77777777" w:rsidR="00FE38AF" w:rsidRDefault="00000000">
      <w:pPr>
        <w:spacing w:before="240" w:after="120" w:line="360" w:lineRule="auto"/>
      </w:pPr>
      <w:r>
        <w:rPr>
          <w:b/>
          <w:bCs/>
          <w:i/>
          <w:iCs/>
        </w:rPr>
        <w:t>3.5.1 UCI Adult Income Dataset</w:t>
      </w:r>
    </w:p>
    <w:p w14:paraId="543F6362" w14:textId="77777777" w:rsidR="00FE38AF" w:rsidRDefault="00000000">
      <w:pPr>
        <w:spacing w:after="160" w:line="360" w:lineRule="auto"/>
        <w:jc w:val="both"/>
      </w:pPr>
      <w:r>
        <w:t xml:space="preserve">The UCI Adult Income dataset (Dua and Graff, 2019) contains 48,842 instances derived from 1994 United States census records. The prediction task is to determine whether an individual earns more than 50,000 US dollars per year. The protected attribute used in this study is sex, with male classified as the privileged group and female as the unprivileged group. This dataset was selected because it is the most widely used benchmark in </w:t>
      </w:r>
      <w:proofErr w:type="gramStart"/>
      <w:r>
        <w:t>the fairness</w:t>
      </w:r>
      <w:proofErr w:type="gramEnd"/>
      <w:r>
        <w:t xml:space="preserve"> literature, appearing in foundational studies by Kamiran and </w:t>
      </w:r>
      <w:proofErr w:type="spellStart"/>
      <w:r>
        <w:t>Calders</w:t>
      </w:r>
      <w:proofErr w:type="spellEnd"/>
      <w:r>
        <w:t xml:space="preserve"> (2012), Feldman et al. (2015), and Bellamy et </w:t>
      </w:r>
      <w:r>
        <w:lastRenderedPageBreak/>
        <w:t>al. (2019), which facilitates direct comparison of experimental outcomes with prior work. The dataset exhibits a substantial and documented disparity: male instances have a positive class rate of approximately 30.4% compared with approximately 10.9% for female instances.</w:t>
      </w:r>
    </w:p>
    <w:p w14:paraId="1ED47BF2" w14:textId="77777777" w:rsidR="00FE38AF" w:rsidRDefault="00000000">
      <w:pPr>
        <w:spacing w:before="240" w:after="120" w:line="360" w:lineRule="auto"/>
      </w:pPr>
      <w:r>
        <w:rPr>
          <w:b/>
          <w:bCs/>
          <w:i/>
          <w:iCs/>
        </w:rPr>
        <w:t>3.5.2 COMPAS Recidivism Dataset</w:t>
      </w:r>
    </w:p>
    <w:p w14:paraId="58A3C87B" w14:textId="77777777" w:rsidR="00FE38AF" w:rsidRDefault="00000000">
      <w:pPr>
        <w:spacing w:after="160" w:line="360" w:lineRule="auto"/>
        <w:jc w:val="both"/>
      </w:pPr>
      <w:r>
        <w:t xml:space="preserve">The COMPAS dataset (Larson et al., 2016) contains approximately 7,000 records of defendants in Broward County, Florida, assessed for two-year recidivism risk. The protected attribute is race, with White defendants as the privileged group and Black defendants as the unprivileged group. This dataset was selected because it was the subject of the most influential empirical bias investigation in </w:t>
      </w:r>
      <w:proofErr w:type="gramStart"/>
      <w:r>
        <w:t>the fairness</w:t>
      </w:r>
      <w:proofErr w:type="gramEnd"/>
      <w:r>
        <w:t xml:space="preserve"> literature (Angwin et al., 2016) and provides a well-documented baseline against which results can be </w:t>
      </w:r>
      <w:proofErr w:type="spellStart"/>
      <w:r>
        <w:t>contextualised</w:t>
      </w:r>
      <w:proofErr w:type="spellEnd"/>
      <w:r>
        <w:t xml:space="preserve">. It presents a different decision context from the </w:t>
      </w:r>
      <w:proofErr w:type="gramStart"/>
      <w:r>
        <w:t>Adult</w:t>
      </w:r>
      <w:proofErr w:type="gramEnd"/>
      <w:r>
        <w:t xml:space="preserve"> dataset, enabling assessment of whether findings about the relative performance of mitigation techniques </w:t>
      </w:r>
      <w:proofErr w:type="spellStart"/>
      <w:r>
        <w:t>generalise</w:t>
      </w:r>
      <w:proofErr w:type="spellEnd"/>
      <w:r>
        <w:t xml:space="preserve"> across domains.</w:t>
      </w:r>
    </w:p>
    <w:p w14:paraId="1E4F0129" w14:textId="77777777" w:rsidR="00FE38AF" w:rsidRDefault="00000000">
      <w:pPr>
        <w:spacing w:before="240" w:after="120" w:line="360" w:lineRule="auto"/>
      </w:pPr>
      <w:r>
        <w:rPr>
          <w:b/>
          <w:bCs/>
          <w:i/>
          <w:iCs/>
        </w:rPr>
        <w:t>3.5.3 Dataset Limitations</w:t>
      </w:r>
    </w:p>
    <w:p w14:paraId="57EC39A4" w14:textId="77777777" w:rsidR="00FE38AF" w:rsidRDefault="00000000">
      <w:pPr>
        <w:spacing w:after="160" w:line="360" w:lineRule="auto"/>
        <w:jc w:val="both"/>
      </w:pPr>
      <w:r>
        <w:t xml:space="preserve">Both datasets have acknowledged limitations. The Adult dataset is derived from 1994 census data, meaning that its socioeconomic patterns reflect conditions more than three decades old and may not be representative of contemporary employment distributions. The COMPAS dataset relates to criminal justice rather than employment, making it an imperfect analogue for hiring decision contexts. The use of two datasets with different domains, protected attributes, and base rate distributions provides partial mitigation against these limitations by enabling assessment of result </w:t>
      </w:r>
      <w:proofErr w:type="spellStart"/>
      <w:r>
        <w:t>generalisability</w:t>
      </w:r>
      <w:proofErr w:type="spellEnd"/>
      <w:r>
        <w:t>, but the limitations are acknowledged explicitly in the discussion in Chapter 6.</w:t>
      </w:r>
    </w:p>
    <w:p w14:paraId="1C6C27D1" w14:textId="77777777" w:rsidR="00FE38AF" w:rsidRDefault="00000000">
      <w:pPr>
        <w:spacing w:before="360" w:after="160" w:line="360" w:lineRule="auto"/>
      </w:pPr>
      <w:r>
        <w:rPr>
          <w:b/>
          <w:bCs/>
        </w:rPr>
        <w:t>3.6 Experimental Framework and Conditions</w:t>
      </w:r>
    </w:p>
    <w:p w14:paraId="7C402B3A" w14:textId="77777777" w:rsidR="00FE38AF" w:rsidRDefault="00000000">
      <w:pPr>
        <w:spacing w:after="160" w:line="360" w:lineRule="auto"/>
        <w:jc w:val="both"/>
      </w:pPr>
      <w:r>
        <w:t xml:space="preserve">Each dataset is processed through five experimental conditions, one for each mitigation strategy and one for the baseline. Table 3.2 </w:t>
      </w:r>
      <w:proofErr w:type="spellStart"/>
      <w:r>
        <w:t>summarises</w:t>
      </w:r>
      <w:proofErr w:type="spellEnd"/>
      <w:r>
        <w:t xml:space="preserve"> the five conditions, the technique applied in each, the stage of the pipeline at which it intervenes, and the AIF360 implementation class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2"/>
        <w:gridCol w:w="1742"/>
        <w:gridCol w:w="1764"/>
        <w:gridCol w:w="2473"/>
        <w:gridCol w:w="2255"/>
      </w:tblGrid>
      <w:tr w:rsidR="00FE38AF" w14:paraId="08F77F2B" w14:textId="77777777">
        <w:tblPrEx>
          <w:tblCellMar>
            <w:top w:w="0" w:type="dxa"/>
            <w:bottom w:w="0" w:type="dxa"/>
          </w:tblCellMar>
        </w:tblPrEx>
        <w:tc>
          <w:tcPr>
            <w:tcW w:w="800" w:type="dxa"/>
            <w:tcBorders>
              <w:top w:val="single" w:sz="8" w:space="0" w:color="1E3A5F"/>
              <w:left w:val="single" w:sz="8" w:space="0" w:color="1E3A5F"/>
              <w:bottom w:val="single" w:sz="8" w:space="0" w:color="1E3A5F"/>
              <w:right w:val="single" w:sz="8" w:space="0" w:color="1E3A5F"/>
            </w:tcBorders>
            <w:shd w:val="clear" w:color="auto" w:fill="1E3A5F"/>
            <w:tcMar>
              <w:top w:w="80" w:type="dxa"/>
              <w:left w:w="100" w:type="dxa"/>
              <w:bottom w:w="80" w:type="dxa"/>
              <w:right w:w="100" w:type="dxa"/>
            </w:tcMar>
            <w:vAlign w:val="center"/>
          </w:tcPr>
          <w:p w14:paraId="44C75A03" w14:textId="77777777" w:rsidR="00FE38AF" w:rsidRDefault="00000000">
            <w:pPr>
              <w:spacing w:line="360" w:lineRule="auto"/>
              <w:jc w:val="center"/>
            </w:pPr>
            <w:r>
              <w:rPr>
                <w:b/>
                <w:bCs/>
                <w:color w:val="FFFFFF"/>
                <w:sz w:val="20"/>
                <w:szCs w:val="20"/>
              </w:rPr>
              <w:t>Cond.</w:t>
            </w:r>
          </w:p>
        </w:tc>
        <w:tc>
          <w:tcPr>
            <w:tcW w:w="1800" w:type="dxa"/>
            <w:tcBorders>
              <w:top w:val="single" w:sz="8" w:space="0" w:color="1E3A5F"/>
              <w:left w:val="single" w:sz="8" w:space="0" w:color="1E3A5F"/>
              <w:bottom w:val="single" w:sz="8" w:space="0" w:color="1E3A5F"/>
              <w:right w:val="single" w:sz="8" w:space="0" w:color="1E3A5F"/>
            </w:tcBorders>
            <w:shd w:val="clear" w:color="auto" w:fill="1E3A5F"/>
            <w:tcMar>
              <w:top w:w="80" w:type="dxa"/>
              <w:left w:w="100" w:type="dxa"/>
              <w:bottom w:w="80" w:type="dxa"/>
              <w:right w:w="100" w:type="dxa"/>
            </w:tcMar>
            <w:vAlign w:val="center"/>
          </w:tcPr>
          <w:p w14:paraId="2ED50E5E" w14:textId="77777777" w:rsidR="00FE38AF" w:rsidRDefault="00000000">
            <w:pPr>
              <w:spacing w:line="360" w:lineRule="auto"/>
              <w:jc w:val="center"/>
            </w:pPr>
            <w:r>
              <w:rPr>
                <w:b/>
                <w:bCs/>
                <w:color w:val="FFFFFF"/>
                <w:sz w:val="20"/>
                <w:szCs w:val="20"/>
              </w:rPr>
              <w:t>Name</w:t>
            </w:r>
          </w:p>
        </w:tc>
        <w:tc>
          <w:tcPr>
            <w:tcW w:w="1800" w:type="dxa"/>
            <w:tcBorders>
              <w:top w:val="single" w:sz="8" w:space="0" w:color="1E3A5F"/>
              <w:left w:val="single" w:sz="8" w:space="0" w:color="1E3A5F"/>
              <w:bottom w:val="single" w:sz="8" w:space="0" w:color="1E3A5F"/>
              <w:right w:val="single" w:sz="8" w:space="0" w:color="1E3A5F"/>
            </w:tcBorders>
            <w:shd w:val="clear" w:color="auto" w:fill="1E3A5F"/>
            <w:tcMar>
              <w:top w:w="80" w:type="dxa"/>
              <w:left w:w="100" w:type="dxa"/>
              <w:bottom w:w="80" w:type="dxa"/>
              <w:right w:w="100" w:type="dxa"/>
            </w:tcMar>
            <w:vAlign w:val="center"/>
          </w:tcPr>
          <w:p w14:paraId="3E94E77E" w14:textId="77777777" w:rsidR="00FE38AF" w:rsidRDefault="00000000">
            <w:pPr>
              <w:spacing w:line="360" w:lineRule="auto"/>
              <w:jc w:val="center"/>
            </w:pPr>
            <w:r>
              <w:rPr>
                <w:b/>
                <w:bCs/>
                <w:color w:val="FFFFFF"/>
                <w:sz w:val="20"/>
                <w:szCs w:val="20"/>
              </w:rPr>
              <w:t>Family</w:t>
            </w:r>
          </w:p>
        </w:tc>
        <w:tc>
          <w:tcPr>
            <w:tcW w:w="2600" w:type="dxa"/>
            <w:tcBorders>
              <w:top w:val="single" w:sz="8" w:space="0" w:color="1E3A5F"/>
              <w:left w:val="single" w:sz="8" w:space="0" w:color="1E3A5F"/>
              <w:bottom w:val="single" w:sz="8" w:space="0" w:color="1E3A5F"/>
              <w:right w:val="single" w:sz="8" w:space="0" w:color="1E3A5F"/>
            </w:tcBorders>
            <w:shd w:val="clear" w:color="auto" w:fill="1E3A5F"/>
            <w:tcMar>
              <w:top w:w="80" w:type="dxa"/>
              <w:left w:w="100" w:type="dxa"/>
              <w:bottom w:w="80" w:type="dxa"/>
              <w:right w:w="100" w:type="dxa"/>
            </w:tcMar>
            <w:vAlign w:val="center"/>
          </w:tcPr>
          <w:p w14:paraId="7181A137" w14:textId="77777777" w:rsidR="00FE38AF" w:rsidRDefault="00000000">
            <w:pPr>
              <w:spacing w:line="360" w:lineRule="auto"/>
              <w:jc w:val="center"/>
            </w:pPr>
            <w:r>
              <w:rPr>
                <w:b/>
                <w:bCs/>
                <w:color w:val="FFFFFF"/>
                <w:sz w:val="20"/>
                <w:szCs w:val="20"/>
              </w:rPr>
              <w:t>Description</w:t>
            </w:r>
          </w:p>
        </w:tc>
        <w:tc>
          <w:tcPr>
            <w:tcW w:w="2026" w:type="dxa"/>
            <w:tcBorders>
              <w:top w:val="single" w:sz="8" w:space="0" w:color="1E3A5F"/>
              <w:left w:val="single" w:sz="8" w:space="0" w:color="1E3A5F"/>
              <w:bottom w:val="single" w:sz="8" w:space="0" w:color="1E3A5F"/>
              <w:right w:val="single" w:sz="8" w:space="0" w:color="1E3A5F"/>
            </w:tcBorders>
            <w:shd w:val="clear" w:color="auto" w:fill="1E3A5F"/>
            <w:tcMar>
              <w:top w:w="80" w:type="dxa"/>
              <w:left w:w="100" w:type="dxa"/>
              <w:bottom w:w="80" w:type="dxa"/>
              <w:right w:w="100" w:type="dxa"/>
            </w:tcMar>
            <w:vAlign w:val="center"/>
          </w:tcPr>
          <w:p w14:paraId="1512B005" w14:textId="77777777" w:rsidR="00FE38AF" w:rsidRDefault="00000000">
            <w:pPr>
              <w:spacing w:line="360" w:lineRule="auto"/>
              <w:jc w:val="center"/>
            </w:pPr>
            <w:r>
              <w:rPr>
                <w:b/>
                <w:bCs/>
                <w:color w:val="FFFFFF"/>
                <w:sz w:val="20"/>
                <w:szCs w:val="20"/>
              </w:rPr>
              <w:t>AIF360 Class</w:t>
            </w:r>
          </w:p>
        </w:tc>
      </w:tr>
      <w:tr w:rsidR="00FE38AF" w14:paraId="40C9C3E6" w14:textId="77777777">
        <w:tblPrEx>
          <w:tblCellMar>
            <w:top w:w="0" w:type="dxa"/>
            <w:bottom w:w="0" w:type="dxa"/>
          </w:tblCellMar>
        </w:tblPrEx>
        <w:tc>
          <w:tcPr>
            <w:tcW w:w="800" w:type="dxa"/>
            <w:tcBorders>
              <w:top w:val="single" w:sz="4" w:space="0" w:color="C8D2DF"/>
              <w:left w:val="single" w:sz="4" w:space="0" w:color="C8D2DF"/>
              <w:bottom w:val="single" w:sz="4" w:space="0" w:color="C8D2DF"/>
              <w:right w:val="single" w:sz="4" w:space="0" w:color="C8D2DF"/>
            </w:tcBorders>
            <w:shd w:val="clear" w:color="auto" w:fill="F4F6F9"/>
            <w:tcMar>
              <w:top w:w="80" w:type="dxa"/>
              <w:left w:w="100" w:type="dxa"/>
              <w:bottom w:w="80" w:type="dxa"/>
              <w:right w:w="100" w:type="dxa"/>
            </w:tcMar>
          </w:tcPr>
          <w:p w14:paraId="19D655D0" w14:textId="77777777" w:rsidR="00FE38AF" w:rsidRDefault="00000000">
            <w:pPr>
              <w:spacing w:line="360" w:lineRule="auto"/>
            </w:pPr>
            <w:r>
              <w:rPr>
                <w:color w:val="111111"/>
                <w:sz w:val="20"/>
                <w:szCs w:val="20"/>
              </w:rPr>
              <w:t>C1</w:t>
            </w:r>
          </w:p>
        </w:tc>
        <w:tc>
          <w:tcPr>
            <w:tcW w:w="1800" w:type="dxa"/>
            <w:tcBorders>
              <w:top w:val="single" w:sz="4" w:space="0" w:color="C8D2DF"/>
              <w:left w:val="single" w:sz="4" w:space="0" w:color="C8D2DF"/>
              <w:bottom w:val="single" w:sz="4" w:space="0" w:color="C8D2DF"/>
              <w:right w:val="single" w:sz="4" w:space="0" w:color="C8D2DF"/>
            </w:tcBorders>
            <w:shd w:val="clear" w:color="auto" w:fill="FFFFFF"/>
            <w:tcMar>
              <w:top w:w="80" w:type="dxa"/>
              <w:left w:w="100" w:type="dxa"/>
              <w:bottom w:w="80" w:type="dxa"/>
              <w:right w:w="100" w:type="dxa"/>
            </w:tcMar>
          </w:tcPr>
          <w:p w14:paraId="4EA6C116" w14:textId="77777777" w:rsidR="00FE38AF" w:rsidRDefault="00000000">
            <w:pPr>
              <w:spacing w:line="360" w:lineRule="auto"/>
            </w:pPr>
            <w:r>
              <w:rPr>
                <w:color w:val="111111"/>
                <w:sz w:val="20"/>
                <w:szCs w:val="20"/>
              </w:rPr>
              <w:t>Baseline</w:t>
            </w:r>
          </w:p>
        </w:tc>
        <w:tc>
          <w:tcPr>
            <w:tcW w:w="1800" w:type="dxa"/>
            <w:tcBorders>
              <w:top w:val="single" w:sz="4" w:space="0" w:color="C8D2DF"/>
              <w:left w:val="single" w:sz="4" w:space="0" w:color="C8D2DF"/>
              <w:bottom w:val="single" w:sz="4" w:space="0" w:color="C8D2DF"/>
              <w:right w:val="single" w:sz="4" w:space="0" w:color="C8D2DF"/>
            </w:tcBorders>
            <w:shd w:val="clear" w:color="auto" w:fill="F4F6F9"/>
            <w:tcMar>
              <w:top w:w="80" w:type="dxa"/>
              <w:left w:w="100" w:type="dxa"/>
              <w:bottom w:w="80" w:type="dxa"/>
              <w:right w:w="100" w:type="dxa"/>
            </w:tcMar>
          </w:tcPr>
          <w:p w14:paraId="6E4A4F7E" w14:textId="77777777" w:rsidR="00FE38AF" w:rsidRDefault="00000000">
            <w:pPr>
              <w:spacing w:line="360" w:lineRule="auto"/>
            </w:pPr>
            <w:r>
              <w:rPr>
                <w:color w:val="111111"/>
                <w:sz w:val="20"/>
                <w:szCs w:val="20"/>
              </w:rPr>
              <w:t>None</w:t>
            </w:r>
          </w:p>
        </w:tc>
        <w:tc>
          <w:tcPr>
            <w:tcW w:w="2600" w:type="dxa"/>
            <w:tcBorders>
              <w:top w:val="single" w:sz="4" w:space="0" w:color="C8D2DF"/>
              <w:left w:val="single" w:sz="4" w:space="0" w:color="C8D2DF"/>
              <w:bottom w:val="single" w:sz="4" w:space="0" w:color="C8D2DF"/>
              <w:right w:val="single" w:sz="4" w:space="0" w:color="C8D2DF"/>
            </w:tcBorders>
            <w:shd w:val="clear" w:color="auto" w:fill="FFFFFF"/>
            <w:tcMar>
              <w:top w:w="80" w:type="dxa"/>
              <w:left w:w="100" w:type="dxa"/>
              <w:bottom w:w="80" w:type="dxa"/>
              <w:right w:w="100" w:type="dxa"/>
            </w:tcMar>
          </w:tcPr>
          <w:p w14:paraId="33D88132" w14:textId="77777777" w:rsidR="00FE38AF" w:rsidRDefault="00000000">
            <w:pPr>
              <w:spacing w:line="360" w:lineRule="auto"/>
            </w:pPr>
            <w:r>
              <w:rPr>
                <w:color w:val="111111"/>
                <w:sz w:val="20"/>
                <w:szCs w:val="20"/>
              </w:rPr>
              <w:t>Logistic regression trained on unmodified data with no fairness constraint</w:t>
            </w:r>
          </w:p>
        </w:tc>
        <w:tc>
          <w:tcPr>
            <w:tcW w:w="2026" w:type="dxa"/>
            <w:tcBorders>
              <w:top w:val="single" w:sz="4" w:space="0" w:color="C8D2DF"/>
              <w:left w:val="single" w:sz="4" w:space="0" w:color="C8D2DF"/>
              <w:bottom w:val="single" w:sz="4" w:space="0" w:color="C8D2DF"/>
              <w:right w:val="single" w:sz="4" w:space="0" w:color="C8D2DF"/>
            </w:tcBorders>
            <w:shd w:val="clear" w:color="auto" w:fill="F4F6F9"/>
            <w:tcMar>
              <w:top w:w="80" w:type="dxa"/>
              <w:left w:w="100" w:type="dxa"/>
              <w:bottom w:w="80" w:type="dxa"/>
              <w:right w:w="100" w:type="dxa"/>
            </w:tcMar>
          </w:tcPr>
          <w:p w14:paraId="13E12EB6" w14:textId="77777777" w:rsidR="00FE38AF" w:rsidRDefault="00000000">
            <w:pPr>
              <w:spacing w:line="360" w:lineRule="auto"/>
            </w:pPr>
            <w:proofErr w:type="spellStart"/>
            <w:proofErr w:type="gramStart"/>
            <w:r>
              <w:rPr>
                <w:color w:val="111111"/>
                <w:sz w:val="20"/>
                <w:szCs w:val="20"/>
              </w:rPr>
              <w:t>LogisticRegression</w:t>
            </w:r>
            <w:proofErr w:type="spellEnd"/>
            <w:proofErr w:type="gramEnd"/>
            <w:r>
              <w:rPr>
                <w:color w:val="111111"/>
                <w:sz w:val="20"/>
                <w:szCs w:val="20"/>
              </w:rPr>
              <w:t xml:space="preserve"> (scikit-learn)</w:t>
            </w:r>
          </w:p>
        </w:tc>
      </w:tr>
      <w:tr w:rsidR="00FE38AF" w14:paraId="032017F4" w14:textId="77777777">
        <w:tblPrEx>
          <w:tblCellMar>
            <w:top w:w="0" w:type="dxa"/>
            <w:bottom w:w="0" w:type="dxa"/>
          </w:tblCellMar>
        </w:tblPrEx>
        <w:tc>
          <w:tcPr>
            <w:tcW w:w="800" w:type="dxa"/>
            <w:tcBorders>
              <w:top w:val="single" w:sz="4" w:space="0" w:color="C8D2DF"/>
              <w:left w:val="single" w:sz="4" w:space="0" w:color="C8D2DF"/>
              <w:bottom w:val="single" w:sz="4" w:space="0" w:color="C8D2DF"/>
              <w:right w:val="single" w:sz="4" w:space="0" w:color="C8D2DF"/>
            </w:tcBorders>
            <w:shd w:val="clear" w:color="auto" w:fill="F4F6F9"/>
            <w:tcMar>
              <w:top w:w="80" w:type="dxa"/>
              <w:left w:w="100" w:type="dxa"/>
              <w:bottom w:w="80" w:type="dxa"/>
              <w:right w:w="100" w:type="dxa"/>
            </w:tcMar>
          </w:tcPr>
          <w:p w14:paraId="176D28D9" w14:textId="77777777" w:rsidR="00FE38AF" w:rsidRDefault="00000000">
            <w:pPr>
              <w:spacing w:line="360" w:lineRule="auto"/>
            </w:pPr>
            <w:r>
              <w:rPr>
                <w:color w:val="111111"/>
                <w:sz w:val="20"/>
                <w:szCs w:val="20"/>
              </w:rPr>
              <w:lastRenderedPageBreak/>
              <w:t>C2</w:t>
            </w:r>
          </w:p>
        </w:tc>
        <w:tc>
          <w:tcPr>
            <w:tcW w:w="1800" w:type="dxa"/>
            <w:tcBorders>
              <w:top w:val="single" w:sz="4" w:space="0" w:color="C8D2DF"/>
              <w:left w:val="single" w:sz="4" w:space="0" w:color="C8D2DF"/>
              <w:bottom w:val="single" w:sz="4" w:space="0" w:color="C8D2DF"/>
              <w:right w:val="single" w:sz="4" w:space="0" w:color="C8D2DF"/>
            </w:tcBorders>
            <w:shd w:val="clear" w:color="auto" w:fill="FFFFFF"/>
            <w:tcMar>
              <w:top w:w="80" w:type="dxa"/>
              <w:left w:w="100" w:type="dxa"/>
              <w:bottom w:w="80" w:type="dxa"/>
              <w:right w:w="100" w:type="dxa"/>
            </w:tcMar>
          </w:tcPr>
          <w:p w14:paraId="51C4BB96" w14:textId="77777777" w:rsidR="00FE38AF" w:rsidRDefault="00000000">
            <w:pPr>
              <w:spacing w:line="360" w:lineRule="auto"/>
            </w:pPr>
            <w:r>
              <w:rPr>
                <w:color w:val="111111"/>
                <w:sz w:val="20"/>
                <w:szCs w:val="20"/>
              </w:rPr>
              <w:t>Reweighing</w:t>
            </w:r>
          </w:p>
        </w:tc>
        <w:tc>
          <w:tcPr>
            <w:tcW w:w="1800" w:type="dxa"/>
            <w:tcBorders>
              <w:top w:val="single" w:sz="4" w:space="0" w:color="C8D2DF"/>
              <w:left w:val="single" w:sz="4" w:space="0" w:color="C8D2DF"/>
              <w:bottom w:val="single" w:sz="4" w:space="0" w:color="C8D2DF"/>
              <w:right w:val="single" w:sz="4" w:space="0" w:color="C8D2DF"/>
            </w:tcBorders>
            <w:shd w:val="clear" w:color="auto" w:fill="F4F6F9"/>
            <w:tcMar>
              <w:top w:w="80" w:type="dxa"/>
              <w:left w:w="100" w:type="dxa"/>
              <w:bottom w:w="80" w:type="dxa"/>
              <w:right w:w="100" w:type="dxa"/>
            </w:tcMar>
          </w:tcPr>
          <w:p w14:paraId="035D5086" w14:textId="77777777" w:rsidR="00FE38AF" w:rsidRDefault="00000000">
            <w:pPr>
              <w:spacing w:line="360" w:lineRule="auto"/>
            </w:pPr>
            <w:r>
              <w:rPr>
                <w:color w:val="111111"/>
                <w:sz w:val="20"/>
                <w:szCs w:val="20"/>
              </w:rPr>
              <w:t>Preprocessing</w:t>
            </w:r>
          </w:p>
        </w:tc>
        <w:tc>
          <w:tcPr>
            <w:tcW w:w="2600" w:type="dxa"/>
            <w:tcBorders>
              <w:top w:val="single" w:sz="4" w:space="0" w:color="C8D2DF"/>
              <w:left w:val="single" w:sz="4" w:space="0" w:color="C8D2DF"/>
              <w:bottom w:val="single" w:sz="4" w:space="0" w:color="C8D2DF"/>
              <w:right w:val="single" w:sz="4" w:space="0" w:color="C8D2DF"/>
            </w:tcBorders>
            <w:shd w:val="clear" w:color="auto" w:fill="FFFFFF"/>
            <w:tcMar>
              <w:top w:w="80" w:type="dxa"/>
              <w:left w:w="100" w:type="dxa"/>
              <w:bottom w:w="80" w:type="dxa"/>
              <w:right w:w="100" w:type="dxa"/>
            </w:tcMar>
          </w:tcPr>
          <w:p w14:paraId="2DE6CECA" w14:textId="77777777" w:rsidR="00FE38AF" w:rsidRDefault="00000000">
            <w:pPr>
              <w:spacing w:line="360" w:lineRule="auto"/>
            </w:pPr>
            <w:r>
              <w:rPr>
                <w:color w:val="111111"/>
                <w:sz w:val="20"/>
                <w:szCs w:val="20"/>
              </w:rPr>
              <w:t xml:space="preserve">Training instances </w:t>
            </w:r>
            <w:proofErr w:type="gramStart"/>
            <w:r>
              <w:rPr>
                <w:color w:val="111111"/>
                <w:sz w:val="20"/>
                <w:szCs w:val="20"/>
              </w:rPr>
              <w:t>reweighted</w:t>
            </w:r>
            <w:proofErr w:type="gramEnd"/>
            <w:r>
              <w:rPr>
                <w:color w:val="111111"/>
                <w:sz w:val="20"/>
                <w:szCs w:val="20"/>
              </w:rPr>
              <w:t xml:space="preserve"> to balance group outcome distributions</w:t>
            </w:r>
          </w:p>
        </w:tc>
        <w:tc>
          <w:tcPr>
            <w:tcW w:w="2026" w:type="dxa"/>
            <w:tcBorders>
              <w:top w:val="single" w:sz="4" w:space="0" w:color="C8D2DF"/>
              <w:left w:val="single" w:sz="4" w:space="0" w:color="C8D2DF"/>
              <w:bottom w:val="single" w:sz="4" w:space="0" w:color="C8D2DF"/>
              <w:right w:val="single" w:sz="4" w:space="0" w:color="C8D2DF"/>
            </w:tcBorders>
            <w:shd w:val="clear" w:color="auto" w:fill="F4F6F9"/>
            <w:tcMar>
              <w:top w:w="80" w:type="dxa"/>
              <w:left w:w="100" w:type="dxa"/>
              <w:bottom w:w="80" w:type="dxa"/>
              <w:right w:w="100" w:type="dxa"/>
            </w:tcMar>
          </w:tcPr>
          <w:p w14:paraId="0A97F85F" w14:textId="77777777" w:rsidR="00FE38AF" w:rsidRDefault="00000000">
            <w:pPr>
              <w:spacing w:line="360" w:lineRule="auto"/>
            </w:pPr>
            <w:r>
              <w:rPr>
                <w:color w:val="111111"/>
                <w:sz w:val="20"/>
                <w:szCs w:val="20"/>
              </w:rPr>
              <w:t>Reweighing</w:t>
            </w:r>
          </w:p>
        </w:tc>
      </w:tr>
      <w:tr w:rsidR="00FE38AF" w14:paraId="1F224A76" w14:textId="77777777">
        <w:tblPrEx>
          <w:tblCellMar>
            <w:top w:w="0" w:type="dxa"/>
            <w:bottom w:w="0" w:type="dxa"/>
          </w:tblCellMar>
        </w:tblPrEx>
        <w:tc>
          <w:tcPr>
            <w:tcW w:w="800" w:type="dxa"/>
            <w:tcBorders>
              <w:top w:val="single" w:sz="4" w:space="0" w:color="C8D2DF"/>
              <w:left w:val="single" w:sz="4" w:space="0" w:color="C8D2DF"/>
              <w:bottom w:val="single" w:sz="4" w:space="0" w:color="C8D2DF"/>
              <w:right w:val="single" w:sz="4" w:space="0" w:color="C8D2DF"/>
            </w:tcBorders>
            <w:shd w:val="clear" w:color="auto" w:fill="F4F6F9"/>
            <w:tcMar>
              <w:top w:w="80" w:type="dxa"/>
              <w:left w:w="100" w:type="dxa"/>
              <w:bottom w:w="80" w:type="dxa"/>
              <w:right w:w="100" w:type="dxa"/>
            </w:tcMar>
          </w:tcPr>
          <w:p w14:paraId="01438B0A" w14:textId="77777777" w:rsidR="00FE38AF" w:rsidRDefault="00000000">
            <w:pPr>
              <w:spacing w:line="360" w:lineRule="auto"/>
            </w:pPr>
            <w:r>
              <w:rPr>
                <w:color w:val="111111"/>
                <w:sz w:val="20"/>
                <w:szCs w:val="20"/>
              </w:rPr>
              <w:t>C3</w:t>
            </w:r>
          </w:p>
        </w:tc>
        <w:tc>
          <w:tcPr>
            <w:tcW w:w="1800" w:type="dxa"/>
            <w:tcBorders>
              <w:top w:val="single" w:sz="4" w:space="0" w:color="C8D2DF"/>
              <w:left w:val="single" w:sz="4" w:space="0" w:color="C8D2DF"/>
              <w:bottom w:val="single" w:sz="4" w:space="0" w:color="C8D2DF"/>
              <w:right w:val="single" w:sz="4" w:space="0" w:color="C8D2DF"/>
            </w:tcBorders>
            <w:shd w:val="clear" w:color="auto" w:fill="FFFFFF"/>
            <w:tcMar>
              <w:top w:w="80" w:type="dxa"/>
              <w:left w:w="100" w:type="dxa"/>
              <w:bottom w:w="80" w:type="dxa"/>
              <w:right w:w="100" w:type="dxa"/>
            </w:tcMar>
          </w:tcPr>
          <w:p w14:paraId="1739B63C" w14:textId="77777777" w:rsidR="00FE38AF" w:rsidRDefault="00000000">
            <w:pPr>
              <w:spacing w:line="360" w:lineRule="auto"/>
            </w:pPr>
            <w:r>
              <w:rPr>
                <w:color w:val="111111"/>
                <w:sz w:val="20"/>
                <w:szCs w:val="20"/>
              </w:rPr>
              <w:t>Dispar. Impact Rem.</w:t>
            </w:r>
          </w:p>
        </w:tc>
        <w:tc>
          <w:tcPr>
            <w:tcW w:w="1800" w:type="dxa"/>
            <w:tcBorders>
              <w:top w:val="single" w:sz="4" w:space="0" w:color="C8D2DF"/>
              <w:left w:val="single" w:sz="4" w:space="0" w:color="C8D2DF"/>
              <w:bottom w:val="single" w:sz="4" w:space="0" w:color="C8D2DF"/>
              <w:right w:val="single" w:sz="4" w:space="0" w:color="C8D2DF"/>
            </w:tcBorders>
            <w:shd w:val="clear" w:color="auto" w:fill="F4F6F9"/>
            <w:tcMar>
              <w:top w:w="80" w:type="dxa"/>
              <w:left w:w="100" w:type="dxa"/>
              <w:bottom w:w="80" w:type="dxa"/>
              <w:right w:w="100" w:type="dxa"/>
            </w:tcMar>
          </w:tcPr>
          <w:p w14:paraId="1C10DDBB" w14:textId="77777777" w:rsidR="00FE38AF" w:rsidRDefault="00000000">
            <w:pPr>
              <w:spacing w:line="360" w:lineRule="auto"/>
            </w:pPr>
            <w:r>
              <w:rPr>
                <w:color w:val="111111"/>
                <w:sz w:val="20"/>
                <w:szCs w:val="20"/>
              </w:rPr>
              <w:t>Preprocessing</w:t>
            </w:r>
          </w:p>
        </w:tc>
        <w:tc>
          <w:tcPr>
            <w:tcW w:w="2600" w:type="dxa"/>
            <w:tcBorders>
              <w:top w:val="single" w:sz="4" w:space="0" w:color="C8D2DF"/>
              <w:left w:val="single" w:sz="4" w:space="0" w:color="C8D2DF"/>
              <w:bottom w:val="single" w:sz="4" w:space="0" w:color="C8D2DF"/>
              <w:right w:val="single" w:sz="4" w:space="0" w:color="C8D2DF"/>
            </w:tcBorders>
            <w:shd w:val="clear" w:color="auto" w:fill="FFFFFF"/>
            <w:tcMar>
              <w:top w:w="80" w:type="dxa"/>
              <w:left w:w="100" w:type="dxa"/>
              <w:bottom w:w="80" w:type="dxa"/>
              <w:right w:w="100" w:type="dxa"/>
            </w:tcMar>
          </w:tcPr>
          <w:p w14:paraId="4E170FA7" w14:textId="77777777" w:rsidR="00FE38AF" w:rsidRDefault="00000000">
            <w:pPr>
              <w:spacing w:line="360" w:lineRule="auto"/>
            </w:pPr>
            <w:r>
              <w:rPr>
                <w:color w:val="111111"/>
                <w:sz w:val="20"/>
                <w:szCs w:val="20"/>
              </w:rPr>
              <w:t>Feature values repaired to reduce correlation with protected attribute (repair level 0.8)</w:t>
            </w:r>
          </w:p>
        </w:tc>
        <w:tc>
          <w:tcPr>
            <w:tcW w:w="2026" w:type="dxa"/>
            <w:tcBorders>
              <w:top w:val="single" w:sz="4" w:space="0" w:color="C8D2DF"/>
              <w:left w:val="single" w:sz="4" w:space="0" w:color="C8D2DF"/>
              <w:bottom w:val="single" w:sz="4" w:space="0" w:color="C8D2DF"/>
              <w:right w:val="single" w:sz="4" w:space="0" w:color="C8D2DF"/>
            </w:tcBorders>
            <w:shd w:val="clear" w:color="auto" w:fill="F4F6F9"/>
            <w:tcMar>
              <w:top w:w="80" w:type="dxa"/>
              <w:left w:w="100" w:type="dxa"/>
              <w:bottom w:w="80" w:type="dxa"/>
              <w:right w:w="100" w:type="dxa"/>
            </w:tcMar>
          </w:tcPr>
          <w:p w14:paraId="65C058FA" w14:textId="77777777" w:rsidR="00FE38AF" w:rsidRDefault="00000000">
            <w:pPr>
              <w:spacing w:line="360" w:lineRule="auto"/>
            </w:pPr>
            <w:proofErr w:type="spellStart"/>
            <w:r>
              <w:rPr>
                <w:color w:val="111111"/>
                <w:sz w:val="20"/>
                <w:szCs w:val="20"/>
              </w:rPr>
              <w:t>DisparateImpactRemover</w:t>
            </w:r>
            <w:proofErr w:type="spellEnd"/>
          </w:p>
        </w:tc>
      </w:tr>
      <w:tr w:rsidR="00FE38AF" w14:paraId="5D50279E" w14:textId="77777777">
        <w:tblPrEx>
          <w:tblCellMar>
            <w:top w:w="0" w:type="dxa"/>
            <w:bottom w:w="0" w:type="dxa"/>
          </w:tblCellMar>
        </w:tblPrEx>
        <w:tc>
          <w:tcPr>
            <w:tcW w:w="800" w:type="dxa"/>
            <w:tcBorders>
              <w:top w:val="single" w:sz="4" w:space="0" w:color="C8D2DF"/>
              <w:left w:val="single" w:sz="4" w:space="0" w:color="C8D2DF"/>
              <w:bottom w:val="single" w:sz="4" w:space="0" w:color="C8D2DF"/>
              <w:right w:val="single" w:sz="4" w:space="0" w:color="C8D2DF"/>
            </w:tcBorders>
            <w:shd w:val="clear" w:color="auto" w:fill="F4F6F9"/>
            <w:tcMar>
              <w:top w:w="80" w:type="dxa"/>
              <w:left w:w="100" w:type="dxa"/>
              <w:bottom w:w="80" w:type="dxa"/>
              <w:right w:w="100" w:type="dxa"/>
            </w:tcMar>
          </w:tcPr>
          <w:p w14:paraId="018F49F7" w14:textId="77777777" w:rsidR="00FE38AF" w:rsidRDefault="00000000">
            <w:pPr>
              <w:spacing w:line="360" w:lineRule="auto"/>
            </w:pPr>
            <w:r>
              <w:rPr>
                <w:color w:val="111111"/>
                <w:sz w:val="20"/>
                <w:szCs w:val="20"/>
              </w:rPr>
              <w:t>C4</w:t>
            </w:r>
          </w:p>
        </w:tc>
        <w:tc>
          <w:tcPr>
            <w:tcW w:w="1800" w:type="dxa"/>
            <w:tcBorders>
              <w:top w:val="single" w:sz="4" w:space="0" w:color="C8D2DF"/>
              <w:left w:val="single" w:sz="4" w:space="0" w:color="C8D2DF"/>
              <w:bottom w:val="single" w:sz="4" w:space="0" w:color="C8D2DF"/>
              <w:right w:val="single" w:sz="4" w:space="0" w:color="C8D2DF"/>
            </w:tcBorders>
            <w:shd w:val="clear" w:color="auto" w:fill="FFFFFF"/>
            <w:tcMar>
              <w:top w:w="80" w:type="dxa"/>
              <w:left w:w="100" w:type="dxa"/>
              <w:bottom w:w="80" w:type="dxa"/>
              <w:right w:w="100" w:type="dxa"/>
            </w:tcMar>
          </w:tcPr>
          <w:p w14:paraId="71154BF0" w14:textId="77777777" w:rsidR="00FE38AF" w:rsidRDefault="00000000">
            <w:pPr>
              <w:spacing w:line="360" w:lineRule="auto"/>
            </w:pPr>
            <w:r>
              <w:rPr>
                <w:color w:val="111111"/>
                <w:sz w:val="20"/>
                <w:szCs w:val="20"/>
              </w:rPr>
              <w:t>Prejudice Remover</w:t>
            </w:r>
          </w:p>
        </w:tc>
        <w:tc>
          <w:tcPr>
            <w:tcW w:w="1800" w:type="dxa"/>
            <w:tcBorders>
              <w:top w:val="single" w:sz="4" w:space="0" w:color="C8D2DF"/>
              <w:left w:val="single" w:sz="4" w:space="0" w:color="C8D2DF"/>
              <w:bottom w:val="single" w:sz="4" w:space="0" w:color="C8D2DF"/>
              <w:right w:val="single" w:sz="4" w:space="0" w:color="C8D2DF"/>
            </w:tcBorders>
            <w:shd w:val="clear" w:color="auto" w:fill="F4F6F9"/>
            <w:tcMar>
              <w:top w:w="80" w:type="dxa"/>
              <w:left w:w="100" w:type="dxa"/>
              <w:bottom w:w="80" w:type="dxa"/>
              <w:right w:w="100" w:type="dxa"/>
            </w:tcMar>
          </w:tcPr>
          <w:p w14:paraId="590F33C4" w14:textId="77777777" w:rsidR="00FE38AF" w:rsidRDefault="00000000">
            <w:pPr>
              <w:spacing w:line="360" w:lineRule="auto"/>
            </w:pPr>
            <w:r>
              <w:rPr>
                <w:color w:val="111111"/>
                <w:sz w:val="20"/>
                <w:szCs w:val="20"/>
              </w:rPr>
              <w:t>In-processing</w:t>
            </w:r>
          </w:p>
        </w:tc>
        <w:tc>
          <w:tcPr>
            <w:tcW w:w="2600" w:type="dxa"/>
            <w:tcBorders>
              <w:top w:val="single" w:sz="4" w:space="0" w:color="C8D2DF"/>
              <w:left w:val="single" w:sz="4" w:space="0" w:color="C8D2DF"/>
              <w:bottom w:val="single" w:sz="4" w:space="0" w:color="C8D2DF"/>
              <w:right w:val="single" w:sz="4" w:space="0" w:color="C8D2DF"/>
            </w:tcBorders>
            <w:shd w:val="clear" w:color="auto" w:fill="FFFFFF"/>
            <w:tcMar>
              <w:top w:w="80" w:type="dxa"/>
              <w:left w:w="100" w:type="dxa"/>
              <w:bottom w:w="80" w:type="dxa"/>
              <w:right w:w="100" w:type="dxa"/>
            </w:tcMar>
          </w:tcPr>
          <w:p w14:paraId="3741DC11" w14:textId="77777777" w:rsidR="00FE38AF" w:rsidRDefault="00000000">
            <w:pPr>
              <w:spacing w:line="360" w:lineRule="auto"/>
            </w:pPr>
            <w:r>
              <w:rPr>
                <w:color w:val="111111"/>
                <w:sz w:val="20"/>
                <w:szCs w:val="20"/>
              </w:rPr>
              <w:t>Mutual information penalty term added to training objective (eta = 25.0)</w:t>
            </w:r>
          </w:p>
        </w:tc>
        <w:tc>
          <w:tcPr>
            <w:tcW w:w="2026" w:type="dxa"/>
            <w:tcBorders>
              <w:top w:val="single" w:sz="4" w:space="0" w:color="C8D2DF"/>
              <w:left w:val="single" w:sz="4" w:space="0" w:color="C8D2DF"/>
              <w:bottom w:val="single" w:sz="4" w:space="0" w:color="C8D2DF"/>
              <w:right w:val="single" w:sz="4" w:space="0" w:color="C8D2DF"/>
            </w:tcBorders>
            <w:shd w:val="clear" w:color="auto" w:fill="F4F6F9"/>
            <w:tcMar>
              <w:top w:w="80" w:type="dxa"/>
              <w:left w:w="100" w:type="dxa"/>
              <w:bottom w:w="80" w:type="dxa"/>
              <w:right w:w="100" w:type="dxa"/>
            </w:tcMar>
          </w:tcPr>
          <w:p w14:paraId="74A4474C" w14:textId="77777777" w:rsidR="00FE38AF" w:rsidRDefault="00000000">
            <w:pPr>
              <w:spacing w:line="360" w:lineRule="auto"/>
            </w:pPr>
            <w:proofErr w:type="spellStart"/>
            <w:r>
              <w:rPr>
                <w:color w:val="111111"/>
                <w:sz w:val="20"/>
                <w:szCs w:val="20"/>
              </w:rPr>
              <w:t>PrejudiceRemover</w:t>
            </w:r>
            <w:proofErr w:type="spellEnd"/>
          </w:p>
        </w:tc>
      </w:tr>
      <w:tr w:rsidR="00FE38AF" w14:paraId="0FA53888" w14:textId="77777777">
        <w:tblPrEx>
          <w:tblCellMar>
            <w:top w:w="0" w:type="dxa"/>
            <w:bottom w:w="0" w:type="dxa"/>
          </w:tblCellMar>
        </w:tblPrEx>
        <w:tc>
          <w:tcPr>
            <w:tcW w:w="800" w:type="dxa"/>
            <w:tcBorders>
              <w:top w:val="single" w:sz="4" w:space="0" w:color="C8D2DF"/>
              <w:left w:val="single" w:sz="4" w:space="0" w:color="C8D2DF"/>
              <w:bottom w:val="single" w:sz="4" w:space="0" w:color="C8D2DF"/>
              <w:right w:val="single" w:sz="4" w:space="0" w:color="C8D2DF"/>
            </w:tcBorders>
            <w:shd w:val="clear" w:color="auto" w:fill="F4F6F9"/>
            <w:tcMar>
              <w:top w:w="80" w:type="dxa"/>
              <w:left w:w="100" w:type="dxa"/>
              <w:bottom w:w="80" w:type="dxa"/>
              <w:right w:w="100" w:type="dxa"/>
            </w:tcMar>
          </w:tcPr>
          <w:p w14:paraId="670CBFB9" w14:textId="77777777" w:rsidR="00FE38AF" w:rsidRDefault="00000000">
            <w:pPr>
              <w:spacing w:line="360" w:lineRule="auto"/>
            </w:pPr>
            <w:r>
              <w:rPr>
                <w:color w:val="111111"/>
                <w:sz w:val="20"/>
                <w:szCs w:val="20"/>
              </w:rPr>
              <w:t>C5</w:t>
            </w:r>
          </w:p>
        </w:tc>
        <w:tc>
          <w:tcPr>
            <w:tcW w:w="1800" w:type="dxa"/>
            <w:tcBorders>
              <w:top w:val="single" w:sz="4" w:space="0" w:color="C8D2DF"/>
              <w:left w:val="single" w:sz="4" w:space="0" w:color="C8D2DF"/>
              <w:bottom w:val="single" w:sz="4" w:space="0" w:color="C8D2DF"/>
              <w:right w:val="single" w:sz="4" w:space="0" w:color="C8D2DF"/>
            </w:tcBorders>
            <w:shd w:val="clear" w:color="auto" w:fill="FFFFFF"/>
            <w:tcMar>
              <w:top w:w="80" w:type="dxa"/>
              <w:left w:w="100" w:type="dxa"/>
              <w:bottom w:w="80" w:type="dxa"/>
              <w:right w:w="100" w:type="dxa"/>
            </w:tcMar>
          </w:tcPr>
          <w:p w14:paraId="6F24088D" w14:textId="77777777" w:rsidR="00FE38AF" w:rsidRDefault="00000000">
            <w:pPr>
              <w:spacing w:line="360" w:lineRule="auto"/>
            </w:pPr>
            <w:proofErr w:type="spellStart"/>
            <w:r>
              <w:rPr>
                <w:color w:val="111111"/>
                <w:sz w:val="20"/>
                <w:szCs w:val="20"/>
              </w:rPr>
              <w:t>Equalised</w:t>
            </w:r>
            <w:proofErr w:type="spellEnd"/>
            <w:r>
              <w:rPr>
                <w:color w:val="111111"/>
                <w:sz w:val="20"/>
                <w:szCs w:val="20"/>
              </w:rPr>
              <w:t xml:space="preserve"> Odds PP</w:t>
            </w:r>
          </w:p>
        </w:tc>
        <w:tc>
          <w:tcPr>
            <w:tcW w:w="1800" w:type="dxa"/>
            <w:tcBorders>
              <w:top w:val="single" w:sz="4" w:space="0" w:color="C8D2DF"/>
              <w:left w:val="single" w:sz="4" w:space="0" w:color="C8D2DF"/>
              <w:bottom w:val="single" w:sz="4" w:space="0" w:color="C8D2DF"/>
              <w:right w:val="single" w:sz="4" w:space="0" w:color="C8D2DF"/>
            </w:tcBorders>
            <w:shd w:val="clear" w:color="auto" w:fill="F4F6F9"/>
            <w:tcMar>
              <w:top w:w="80" w:type="dxa"/>
              <w:left w:w="100" w:type="dxa"/>
              <w:bottom w:w="80" w:type="dxa"/>
              <w:right w:w="100" w:type="dxa"/>
            </w:tcMar>
          </w:tcPr>
          <w:p w14:paraId="5468FC16" w14:textId="77777777" w:rsidR="00FE38AF" w:rsidRDefault="00000000">
            <w:pPr>
              <w:spacing w:line="360" w:lineRule="auto"/>
            </w:pPr>
            <w:r>
              <w:rPr>
                <w:color w:val="111111"/>
                <w:sz w:val="20"/>
                <w:szCs w:val="20"/>
              </w:rPr>
              <w:t>Postprocessing</w:t>
            </w:r>
          </w:p>
        </w:tc>
        <w:tc>
          <w:tcPr>
            <w:tcW w:w="2600" w:type="dxa"/>
            <w:tcBorders>
              <w:top w:val="single" w:sz="4" w:space="0" w:color="C8D2DF"/>
              <w:left w:val="single" w:sz="4" w:space="0" w:color="C8D2DF"/>
              <w:bottom w:val="single" w:sz="4" w:space="0" w:color="C8D2DF"/>
              <w:right w:val="single" w:sz="4" w:space="0" w:color="C8D2DF"/>
            </w:tcBorders>
            <w:shd w:val="clear" w:color="auto" w:fill="FFFFFF"/>
            <w:tcMar>
              <w:top w:w="80" w:type="dxa"/>
              <w:left w:w="100" w:type="dxa"/>
              <w:bottom w:w="80" w:type="dxa"/>
              <w:right w:w="100" w:type="dxa"/>
            </w:tcMar>
          </w:tcPr>
          <w:p w14:paraId="5A9BC35D" w14:textId="77777777" w:rsidR="00FE38AF" w:rsidRDefault="00000000">
            <w:pPr>
              <w:spacing w:line="360" w:lineRule="auto"/>
            </w:pPr>
            <w:r>
              <w:rPr>
                <w:color w:val="111111"/>
                <w:sz w:val="20"/>
                <w:szCs w:val="20"/>
              </w:rPr>
              <w:t xml:space="preserve">Group-specific decision thresholds derived by solving a linear </w:t>
            </w:r>
            <w:proofErr w:type="spellStart"/>
            <w:r>
              <w:rPr>
                <w:color w:val="111111"/>
                <w:sz w:val="20"/>
                <w:szCs w:val="20"/>
              </w:rPr>
              <w:t>programme</w:t>
            </w:r>
            <w:proofErr w:type="spellEnd"/>
            <w:r>
              <w:rPr>
                <w:color w:val="111111"/>
                <w:sz w:val="20"/>
                <w:szCs w:val="20"/>
              </w:rPr>
              <w:t xml:space="preserve"> on classifier scores</w:t>
            </w:r>
          </w:p>
        </w:tc>
        <w:tc>
          <w:tcPr>
            <w:tcW w:w="2026" w:type="dxa"/>
            <w:tcBorders>
              <w:top w:val="single" w:sz="4" w:space="0" w:color="C8D2DF"/>
              <w:left w:val="single" w:sz="4" w:space="0" w:color="C8D2DF"/>
              <w:bottom w:val="single" w:sz="4" w:space="0" w:color="C8D2DF"/>
              <w:right w:val="single" w:sz="4" w:space="0" w:color="C8D2DF"/>
            </w:tcBorders>
            <w:shd w:val="clear" w:color="auto" w:fill="F4F6F9"/>
            <w:tcMar>
              <w:top w:w="80" w:type="dxa"/>
              <w:left w:w="100" w:type="dxa"/>
              <w:bottom w:w="80" w:type="dxa"/>
              <w:right w:w="100" w:type="dxa"/>
            </w:tcMar>
          </w:tcPr>
          <w:p w14:paraId="24A2ABCA" w14:textId="77777777" w:rsidR="00FE38AF" w:rsidRDefault="00000000">
            <w:pPr>
              <w:spacing w:line="360" w:lineRule="auto"/>
            </w:pPr>
            <w:proofErr w:type="spellStart"/>
            <w:r>
              <w:rPr>
                <w:color w:val="111111"/>
                <w:sz w:val="20"/>
                <w:szCs w:val="20"/>
              </w:rPr>
              <w:t>EqOddsPostprocessing</w:t>
            </w:r>
            <w:proofErr w:type="spellEnd"/>
          </w:p>
        </w:tc>
      </w:tr>
    </w:tbl>
    <w:p w14:paraId="50766C35" w14:textId="77777777" w:rsidR="00FE38AF" w:rsidRDefault="00000000">
      <w:pPr>
        <w:spacing w:before="60" w:after="240" w:line="360" w:lineRule="auto"/>
        <w:jc w:val="center"/>
      </w:pPr>
      <w:r>
        <w:rPr>
          <w:i/>
          <w:iCs/>
          <w:color w:val="555555"/>
          <w:sz w:val="20"/>
          <w:szCs w:val="20"/>
        </w:rPr>
        <w:t>Table 3.2: Five Experimental Conditions with Technique Details and Implementation Classes</w:t>
      </w:r>
    </w:p>
    <w:p w14:paraId="6A220CEF" w14:textId="77777777" w:rsidR="00FE38AF" w:rsidRDefault="00FE38AF">
      <w:pPr>
        <w:spacing w:after="160"/>
      </w:pPr>
    </w:p>
    <w:p w14:paraId="37572B4E" w14:textId="77777777" w:rsidR="00FE38AF" w:rsidRDefault="00000000">
      <w:pPr>
        <w:spacing w:after="160" w:line="360" w:lineRule="auto"/>
        <w:jc w:val="both"/>
      </w:pPr>
      <w:r>
        <w:t xml:space="preserve">For each condition, the dataset is split into a training partition (70% of instances) and a test partition (30% of instances) using a fixed random seed of 42. Preprocessing techniques (Conditions 2 and 3) are applied to the training partition only and then the fitted model is evaluated on the unmodified test partition. The in-processing technique (Condition 4) modifies the learning objective during training and is evaluated on the same test partition. The postprocessing technique (Condition 5) trains a standard logistic regression classifier and then adjusts its outputs on the test partition using the </w:t>
      </w:r>
      <w:proofErr w:type="spellStart"/>
      <w:r>
        <w:t>equalised</w:t>
      </w:r>
      <w:proofErr w:type="spellEnd"/>
      <w:r>
        <w:t xml:space="preserve"> odds </w:t>
      </w:r>
      <w:proofErr w:type="spellStart"/>
      <w:r>
        <w:t>optimisation</w:t>
      </w:r>
      <w:proofErr w:type="spellEnd"/>
      <w:r>
        <w:t>. All fairness metrics are computed on the held-out test partition in all conditions.</w:t>
      </w:r>
    </w:p>
    <w:p w14:paraId="26251A31" w14:textId="77777777" w:rsidR="00FE38AF" w:rsidRDefault="00000000">
      <w:pPr>
        <w:spacing w:before="360" w:after="160" w:line="360" w:lineRule="auto"/>
      </w:pPr>
      <w:r>
        <w:rPr>
          <w:b/>
          <w:bCs/>
        </w:rPr>
        <w:t>3.7 Classifier Selection and Justification</w:t>
      </w:r>
    </w:p>
    <w:p w14:paraId="786A8EE2" w14:textId="77777777" w:rsidR="00FE38AF" w:rsidRDefault="00000000">
      <w:pPr>
        <w:spacing w:after="160" w:line="360" w:lineRule="auto"/>
        <w:jc w:val="both"/>
      </w:pPr>
      <w:r>
        <w:t xml:space="preserve">Logistic regression is used as the base classifier across all five experimental conditions. This choice is justified on three grounds. First, logistic regression is the most widely used baseline classifier in the algorithmic fairness literature, appearing in foundational studies by Kamiran and </w:t>
      </w:r>
      <w:proofErr w:type="spellStart"/>
      <w:r>
        <w:t>Calders</w:t>
      </w:r>
      <w:proofErr w:type="spellEnd"/>
      <w:r>
        <w:t xml:space="preserve"> (2012), Feldman et al. (2015), Bellamy et al. (2019), and Friedler et al. (2019), which enables direct comparison of experimental outcomes with those reported in those studies. Second, logistic regression is inherently interpretable and produces calibrated probability scores, which is a requirement of the postprocessing technique employed in </w:t>
      </w:r>
      <w:r>
        <w:lastRenderedPageBreak/>
        <w:t>Condition 5. Third, using a consistent classifier architecture across all conditions ensures that observed differences in fairness metric outcomes are attributable solely to the mitigation technique applied rather than to variation in model capacity or architecture.</w:t>
      </w:r>
    </w:p>
    <w:p w14:paraId="2AF86013" w14:textId="77777777" w:rsidR="00FE38AF" w:rsidRDefault="00000000">
      <w:pPr>
        <w:spacing w:after="160" w:line="360" w:lineRule="auto"/>
        <w:jc w:val="both"/>
      </w:pPr>
      <w:r>
        <w:t xml:space="preserve">The decision to use a single classifier type is an explicit scope constraint of this study. The implications of this choice and its effect on the </w:t>
      </w:r>
      <w:proofErr w:type="spellStart"/>
      <w:r>
        <w:t>generalisability</w:t>
      </w:r>
      <w:proofErr w:type="spellEnd"/>
      <w:r>
        <w:t xml:space="preserve"> of findings are discussed in Chapter 6, where the extension of the experimental pipeline to random forest and gradient boosting classifiers is identified as a priority direction for future work.</w:t>
      </w:r>
    </w:p>
    <w:p w14:paraId="158A8901" w14:textId="77777777" w:rsidR="00FE38AF" w:rsidRDefault="00000000">
      <w:pPr>
        <w:spacing w:before="360" w:after="160" w:line="360" w:lineRule="auto"/>
      </w:pPr>
      <w:r>
        <w:rPr>
          <w:b/>
          <w:bCs/>
        </w:rPr>
        <w:t>3.8 Bias Mitigation Technique Selection</w:t>
      </w:r>
    </w:p>
    <w:p w14:paraId="7EB6A581" w14:textId="77777777" w:rsidR="00FE38AF" w:rsidRDefault="00000000">
      <w:pPr>
        <w:spacing w:after="160" w:line="360" w:lineRule="auto"/>
        <w:jc w:val="both"/>
      </w:pPr>
      <w:r>
        <w:t>The four bias mitigation techniques were selected to ensure comprehensive coverage of all three technique families while remaining within the scope of a single-semester project. The selection criteria were: (1) the technique must be drawn from a published, peer-reviewed study; (2) it must be implemented in the IBM AI Fairness 360 toolkit (Bellamy et al., 2019) to ensure consistency and reproducibility; (3) at least one technique must be drawn from each of the three families; and (4) the selection should include a within-family comparison for at least one family.</w:t>
      </w:r>
    </w:p>
    <w:p w14:paraId="3FF84445" w14:textId="77777777" w:rsidR="00FE38AF" w:rsidRDefault="00000000">
      <w:pPr>
        <w:spacing w:after="160" w:line="360" w:lineRule="auto"/>
        <w:jc w:val="both"/>
      </w:pPr>
      <w:r>
        <w:t xml:space="preserve">Two preprocessing techniques are included (Reweighing and Disparate Impact Remover) to enable a within-family comparison in addition to the across-family comparison. The Prejudice Remover is included as the </w:t>
      </w:r>
      <w:proofErr w:type="gramStart"/>
      <w:r>
        <w:t>in processing</w:t>
      </w:r>
      <w:proofErr w:type="gramEnd"/>
      <w:r>
        <w:t xml:space="preserve"> representative because it does not require TensorFlow and is therefore more computationally accessible than adversarial debiasing, which </w:t>
      </w:r>
      <w:proofErr w:type="gramStart"/>
      <w:r>
        <w:t>would require</w:t>
      </w:r>
      <w:proofErr w:type="gramEnd"/>
      <w:r>
        <w:t xml:space="preserve"> a deep learning framework. The </w:t>
      </w:r>
      <w:proofErr w:type="spellStart"/>
      <w:r>
        <w:t>Equalised</w:t>
      </w:r>
      <w:proofErr w:type="spellEnd"/>
      <w:r>
        <w:t xml:space="preserve"> Odds Postprocessing method is included as the postprocessing representative because it has a clear theoretical grounding in the </w:t>
      </w:r>
      <w:proofErr w:type="spellStart"/>
      <w:r>
        <w:t>equalised</w:t>
      </w:r>
      <w:proofErr w:type="spellEnd"/>
      <w:r>
        <w:t xml:space="preserve"> odds fairness criterion (Hardt, Price and Srebro, 2016) and is directly applicable to the output of any trained binary classifier.</w:t>
      </w:r>
    </w:p>
    <w:p w14:paraId="325FCF07" w14:textId="77777777" w:rsidR="00FE38AF" w:rsidRDefault="00000000">
      <w:pPr>
        <w:spacing w:before="360" w:after="160" w:line="360" w:lineRule="auto"/>
      </w:pPr>
      <w:r>
        <w:rPr>
          <w:b/>
          <w:bCs/>
        </w:rPr>
        <w:t>3.9 Fairness Metric Selection and Justification</w:t>
      </w:r>
    </w:p>
    <w:p w14:paraId="20960FB8" w14:textId="77777777" w:rsidR="00FE38AF" w:rsidRDefault="00000000">
      <w:pPr>
        <w:spacing w:after="160" w:line="360" w:lineRule="auto"/>
        <w:jc w:val="both"/>
      </w:pPr>
      <w:r>
        <w:t xml:space="preserve">Four fairness metrics are computed for each experimental condition. The metrics were selected to provide complementary coverage of the key group fairness criteria identified in the literature, consistent with the recommendation of Barocas, Hardt and Moritz (2023) that fairness evaluations should employ multiple criteria rather than a single metric. Table 3.3 </w:t>
      </w:r>
      <w:proofErr w:type="spellStart"/>
      <w:r>
        <w:t>summarises</w:t>
      </w:r>
      <w:proofErr w:type="spellEnd"/>
      <w:r>
        <w:t xml:space="preserve"> the four metrics, their definitions, and the justification for their inclusion.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600"/>
        <w:gridCol w:w="2300"/>
        <w:gridCol w:w="2226"/>
      </w:tblGrid>
      <w:tr w:rsidR="00FE38AF" w14:paraId="6A09B5CC" w14:textId="77777777">
        <w:tblPrEx>
          <w:tblCellMar>
            <w:top w:w="0" w:type="dxa"/>
            <w:bottom w:w="0" w:type="dxa"/>
          </w:tblCellMar>
        </w:tblPrEx>
        <w:tc>
          <w:tcPr>
            <w:tcW w:w="1900" w:type="dxa"/>
            <w:tcBorders>
              <w:top w:val="single" w:sz="8" w:space="0" w:color="1E3A5F"/>
              <w:left w:val="single" w:sz="8" w:space="0" w:color="1E3A5F"/>
              <w:bottom w:val="single" w:sz="8" w:space="0" w:color="1E3A5F"/>
              <w:right w:val="single" w:sz="8" w:space="0" w:color="1E3A5F"/>
            </w:tcBorders>
            <w:shd w:val="clear" w:color="auto" w:fill="1E3A5F"/>
            <w:tcMar>
              <w:top w:w="80" w:type="dxa"/>
              <w:left w:w="100" w:type="dxa"/>
              <w:bottom w:w="80" w:type="dxa"/>
              <w:right w:w="100" w:type="dxa"/>
            </w:tcMar>
            <w:vAlign w:val="center"/>
          </w:tcPr>
          <w:p w14:paraId="37E5C6F5" w14:textId="77777777" w:rsidR="00FE38AF" w:rsidRDefault="00000000">
            <w:pPr>
              <w:spacing w:line="360" w:lineRule="auto"/>
              <w:jc w:val="center"/>
            </w:pPr>
            <w:r>
              <w:rPr>
                <w:b/>
                <w:bCs/>
                <w:color w:val="FFFFFF"/>
                <w:sz w:val="20"/>
                <w:szCs w:val="20"/>
              </w:rPr>
              <w:lastRenderedPageBreak/>
              <w:t>Metric</w:t>
            </w:r>
          </w:p>
        </w:tc>
        <w:tc>
          <w:tcPr>
            <w:tcW w:w="2600" w:type="dxa"/>
            <w:tcBorders>
              <w:top w:val="single" w:sz="8" w:space="0" w:color="1E3A5F"/>
              <w:left w:val="single" w:sz="8" w:space="0" w:color="1E3A5F"/>
              <w:bottom w:val="single" w:sz="8" w:space="0" w:color="1E3A5F"/>
              <w:right w:val="single" w:sz="8" w:space="0" w:color="1E3A5F"/>
            </w:tcBorders>
            <w:shd w:val="clear" w:color="auto" w:fill="1E3A5F"/>
            <w:tcMar>
              <w:top w:w="80" w:type="dxa"/>
              <w:left w:w="100" w:type="dxa"/>
              <w:bottom w:w="80" w:type="dxa"/>
              <w:right w:w="100" w:type="dxa"/>
            </w:tcMar>
            <w:vAlign w:val="center"/>
          </w:tcPr>
          <w:p w14:paraId="050E78ED" w14:textId="77777777" w:rsidR="00FE38AF" w:rsidRDefault="00000000">
            <w:pPr>
              <w:spacing w:line="360" w:lineRule="auto"/>
              <w:jc w:val="center"/>
            </w:pPr>
            <w:r>
              <w:rPr>
                <w:b/>
                <w:bCs/>
                <w:color w:val="FFFFFF"/>
                <w:sz w:val="20"/>
                <w:szCs w:val="20"/>
              </w:rPr>
              <w:t>Formula (shorthand)</w:t>
            </w:r>
          </w:p>
        </w:tc>
        <w:tc>
          <w:tcPr>
            <w:tcW w:w="2300" w:type="dxa"/>
            <w:tcBorders>
              <w:top w:val="single" w:sz="8" w:space="0" w:color="1E3A5F"/>
              <w:left w:val="single" w:sz="8" w:space="0" w:color="1E3A5F"/>
              <w:bottom w:val="single" w:sz="8" w:space="0" w:color="1E3A5F"/>
              <w:right w:val="single" w:sz="8" w:space="0" w:color="1E3A5F"/>
            </w:tcBorders>
            <w:shd w:val="clear" w:color="auto" w:fill="1E3A5F"/>
            <w:tcMar>
              <w:top w:w="80" w:type="dxa"/>
              <w:left w:w="100" w:type="dxa"/>
              <w:bottom w:w="80" w:type="dxa"/>
              <w:right w:w="100" w:type="dxa"/>
            </w:tcMar>
            <w:vAlign w:val="center"/>
          </w:tcPr>
          <w:p w14:paraId="1741E05C" w14:textId="77777777" w:rsidR="00FE38AF" w:rsidRDefault="00000000">
            <w:pPr>
              <w:spacing w:line="360" w:lineRule="auto"/>
              <w:jc w:val="center"/>
            </w:pPr>
            <w:r>
              <w:rPr>
                <w:b/>
                <w:bCs/>
                <w:color w:val="FFFFFF"/>
                <w:sz w:val="20"/>
                <w:szCs w:val="20"/>
              </w:rPr>
              <w:t>Perfect Value</w:t>
            </w:r>
          </w:p>
        </w:tc>
        <w:tc>
          <w:tcPr>
            <w:tcW w:w="2226" w:type="dxa"/>
            <w:tcBorders>
              <w:top w:val="single" w:sz="8" w:space="0" w:color="1E3A5F"/>
              <w:left w:val="single" w:sz="8" w:space="0" w:color="1E3A5F"/>
              <w:bottom w:val="single" w:sz="8" w:space="0" w:color="1E3A5F"/>
              <w:right w:val="single" w:sz="8" w:space="0" w:color="1E3A5F"/>
            </w:tcBorders>
            <w:shd w:val="clear" w:color="auto" w:fill="1E3A5F"/>
            <w:tcMar>
              <w:top w:w="80" w:type="dxa"/>
              <w:left w:w="100" w:type="dxa"/>
              <w:bottom w:w="80" w:type="dxa"/>
              <w:right w:w="100" w:type="dxa"/>
            </w:tcMar>
            <w:vAlign w:val="center"/>
          </w:tcPr>
          <w:p w14:paraId="5548EF1B" w14:textId="77777777" w:rsidR="00FE38AF" w:rsidRDefault="00000000">
            <w:pPr>
              <w:spacing w:line="360" w:lineRule="auto"/>
              <w:jc w:val="center"/>
            </w:pPr>
            <w:r>
              <w:rPr>
                <w:b/>
                <w:bCs/>
                <w:color w:val="FFFFFF"/>
                <w:sz w:val="20"/>
                <w:szCs w:val="20"/>
              </w:rPr>
              <w:t>Justification for Inclusion</w:t>
            </w:r>
          </w:p>
        </w:tc>
      </w:tr>
      <w:tr w:rsidR="00FE38AF" w14:paraId="139BE051" w14:textId="77777777">
        <w:tblPrEx>
          <w:tblCellMar>
            <w:top w:w="0" w:type="dxa"/>
            <w:bottom w:w="0" w:type="dxa"/>
          </w:tblCellMar>
        </w:tblPrEx>
        <w:tc>
          <w:tcPr>
            <w:tcW w:w="1900" w:type="dxa"/>
            <w:tcBorders>
              <w:top w:val="single" w:sz="4" w:space="0" w:color="C8D2DF"/>
              <w:left w:val="single" w:sz="4" w:space="0" w:color="C8D2DF"/>
              <w:bottom w:val="single" w:sz="4" w:space="0" w:color="C8D2DF"/>
              <w:right w:val="single" w:sz="4" w:space="0" w:color="C8D2DF"/>
            </w:tcBorders>
            <w:shd w:val="clear" w:color="auto" w:fill="F4F6F9"/>
            <w:tcMar>
              <w:top w:w="80" w:type="dxa"/>
              <w:left w:w="100" w:type="dxa"/>
              <w:bottom w:w="80" w:type="dxa"/>
              <w:right w:w="100" w:type="dxa"/>
            </w:tcMar>
          </w:tcPr>
          <w:p w14:paraId="11904EE5" w14:textId="77777777" w:rsidR="00FE38AF" w:rsidRDefault="00000000">
            <w:pPr>
              <w:spacing w:line="360" w:lineRule="auto"/>
            </w:pPr>
            <w:r>
              <w:rPr>
                <w:b/>
                <w:bCs/>
                <w:color w:val="111111"/>
                <w:sz w:val="20"/>
                <w:szCs w:val="20"/>
              </w:rPr>
              <w:t>Demographic Parity Difference (DPD)</w:t>
            </w:r>
          </w:p>
        </w:tc>
        <w:tc>
          <w:tcPr>
            <w:tcW w:w="2600" w:type="dxa"/>
            <w:tcBorders>
              <w:top w:val="single" w:sz="4" w:space="0" w:color="C8D2DF"/>
              <w:left w:val="single" w:sz="4" w:space="0" w:color="C8D2DF"/>
              <w:bottom w:val="single" w:sz="4" w:space="0" w:color="C8D2DF"/>
              <w:right w:val="single" w:sz="4" w:space="0" w:color="C8D2DF"/>
            </w:tcBorders>
            <w:shd w:val="clear" w:color="auto" w:fill="FFFFFF"/>
            <w:tcMar>
              <w:top w:w="80" w:type="dxa"/>
              <w:left w:w="100" w:type="dxa"/>
              <w:bottom w:w="80" w:type="dxa"/>
              <w:right w:w="100" w:type="dxa"/>
            </w:tcMar>
          </w:tcPr>
          <w:p w14:paraId="682F5D5D" w14:textId="77777777" w:rsidR="00FE38AF" w:rsidRDefault="00000000">
            <w:pPr>
              <w:spacing w:line="360" w:lineRule="auto"/>
            </w:pPr>
            <w:r>
              <w:rPr>
                <w:color w:val="111111"/>
                <w:sz w:val="20"/>
                <w:szCs w:val="20"/>
              </w:rPr>
              <w:t>P(Y-hat=1|S-) minus P(Y-hat=1|S+)</w:t>
            </w:r>
          </w:p>
        </w:tc>
        <w:tc>
          <w:tcPr>
            <w:tcW w:w="2300" w:type="dxa"/>
            <w:tcBorders>
              <w:top w:val="single" w:sz="4" w:space="0" w:color="C8D2DF"/>
              <w:left w:val="single" w:sz="4" w:space="0" w:color="C8D2DF"/>
              <w:bottom w:val="single" w:sz="4" w:space="0" w:color="C8D2DF"/>
              <w:right w:val="single" w:sz="4" w:space="0" w:color="C8D2DF"/>
            </w:tcBorders>
            <w:shd w:val="clear" w:color="auto" w:fill="F4F6F9"/>
            <w:tcMar>
              <w:top w:w="80" w:type="dxa"/>
              <w:left w:w="100" w:type="dxa"/>
              <w:bottom w:w="80" w:type="dxa"/>
              <w:right w:w="100" w:type="dxa"/>
            </w:tcMar>
          </w:tcPr>
          <w:p w14:paraId="7C1D9F22" w14:textId="77777777" w:rsidR="00FE38AF" w:rsidRDefault="00000000">
            <w:pPr>
              <w:spacing w:line="360" w:lineRule="auto"/>
            </w:pPr>
            <w:r>
              <w:rPr>
                <w:color w:val="111111"/>
                <w:sz w:val="20"/>
                <w:szCs w:val="20"/>
              </w:rPr>
              <w:t>0</w:t>
            </w:r>
          </w:p>
        </w:tc>
        <w:tc>
          <w:tcPr>
            <w:tcW w:w="2226" w:type="dxa"/>
            <w:tcBorders>
              <w:top w:val="single" w:sz="4" w:space="0" w:color="C8D2DF"/>
              <w:left w:val="single" w:sz="4" w:space="0" w:color="C8D2DF"/>
              <w:bottom w:val="single" w:sz="4" w:space="0" w:color="C8D2DF"/>
              <w:right w:val="single" w:sz="4" w:space="0" w:color="C8D2DF"/>
            </w:tcBorders>
            <w:shd w:val="clear" w:color="auto" w:fill="FFFFFF"/>
            <w:tcMar>
              <w:top w:w="80" w:type="dxa"/>
              <w:left w:w="100" w:type="dxa"/>
              <w:bottom w:w="80" w:type="dxa"/>
              <w:right w:w="100" w:type="dxa"/>
            </w:tcMar>
          </w:tcPr>
          <w:p w14:paraId="176EE034" w14:textId="77777777" w:rsidR="00FE38AF" w:rsidRDefault="00000000">
            <w:pPr>
              <w:spacing w:line="360" w:lineRule="auto"/>
            </w:pPr>
            <w:r>
              <w:rPr>
                <w:color w:val="111111"/>
                <w:sz w:val="20"/>
                <w:szCs w:val="20"/>
              </w:rPr>
              <w:t>Measures equality of positive prediction rates across groups; directly linked to legal disparate impact doctrine</w:t>
            </w:r>
          </w:p>
        </w:tc>
      </w:tr>
      <w:tr w:rsidR="00FE38AF" w14:paraId="583CA599" w14:textId="77777777">
        <w:tblPrEx>
          <w:tblCellMar>
            <w:top w:w="0" w:type="dxa"/>
            <w:bottom w:w="0" w:type="dxa"/>
          </w:tblCellMar>
        </w:tblPrEx>
        <w:tc>
          <w:tcPr>
            <w:tcW w:w="1900" w:type="dxa"/>
            <w:tcBorders>
              <w:top w:val="single" w:sz="4" w:space="0" w:color="C8D2DF"/>
              <w:left w:val="single" w:sz="4" w:space="0" w:color="C8D2DF"/>
              <w:bottom w:val="single" w:sz="4" w:space="0" w:color="C8D2DF"/>
              <w:right w:val="single" w:sz="4" w:space="0" w:color="C8D2DF"/>
            </w:tcBorders>
            <w:shd w:val="clear" w:color="auto" w:fill="F4F6F9"/>
            <w:tcMar>
              <w:top w:w="80" w:type="dxa"/>
              <w:left w:w="100" w:type="dxa"/>
              <w:bottom w:w="80" w:type="dxa"/>
              <w:right w:w="100" w:type="dxa"/>
            </w:tcMar>
          </w:tcPr>
          <w:p w14:paraId="5DF94A75" w14:textId="77777777" w:rsidR="00FE38AF" w:rsidRDefault="00000000">
            <w:pPr>
              <w:spacing w:line="360" w:lineRule="auto"/>
            </w:pPr>
            <w:r>
              <w:rPr>
                <w:b/>
                <w:bCs/>
                <w:color w:val="111111"/>
                <w:sz w:val="20"/>
                <w:szCs w:val="20"/>
              </w:rPr>
              <w:t>Average Odds Difference (AOD)</w:t>
            </w:r>
          </w:p>
        </w:tc>
        <w:tc>
          <w:tcPr>
            <w:tcW w:w="2600" w:type="dxa"/>
            <w:tcBorders>
              <w:top w:val="single" w:sz="4" w:space="0" w:color="C8D2DF"/>
              <w:left w:val="single" w:sz="4" w:space="0" w:color="C8D2DF"/>
              <w:bottom w:val="single" w:sz="4" w:space="0" w:color="C8D2DF"/>
              <w:right w:val="single" w:sz="4" w:space="0" w:color="C8D2DF"/>
            </w:tcBorders>
            <w:shd w:val="clear" w:color="auto" w:fill="FFFFFF"/>
            <w:tcMar>
              <w:top w:w="80" w:type="dxa"/>
              <w:left w:w="100" w:type="dxa"/>
              <w:bottom w:w="80" w:type="dxa"/>
              <w:right w:w="100" w:type="dxa"/>
            </w:tcMar>
          </w:tcPr>
          <w:p w14:paraId="3FAA4BD6" w14:textId="77777777" w:rsidR="00FE38AF" w:rsidRDefault="00000000">
            <w:pPr>
              <w:spacing w:line="360" w:lineRule="auto"/>
            </w:pPr>
            <w:r>
              <w:rPr>
                <w:color w:val="111111"/>
                <w:sz w:val="20"/>
                <w:szCs w:val="20"/>
              </w:rPr>
              <w:t>[(FPR(S-) minus FPR(S+)) + (TPR(S-) minus TPR(S+))] / 2</w:t>
            </w:r>
          </w:p>
        </w:tc>
        <w:tc>
          <w:tcPr>
            <w:tcW w:w="2300" w:type="dxa"/>
            <w:tcBorders>
              <w:top w:val="single" w:sz="4" w:space="0" w:color="C8D2DF"/>
              <w:left w:val="single" w:sz="4" w:space="0" w:color="C8D2DF"/>
              <w:bottom w:val="single" w:sz="4" w:space="0" w:color="C8D2DF"/>
              <w:right w:val="single" w:sz="4" w:space="0" w:color="C8D2DF"/>
            </w:tcBorders>
            <w:shd w:val="clear" w:color="auto" w:fill="F4F6F9"/>
            <w:tcMar>
              <w:top w:w="80" w:type="dxa"/>
              <w:left w:w="100" w:type="dxa"/>
              <w:bottom w:w="80" w:type="dxa"/>
              <w:right w:w="100" w:type="dxa"/>
            </w:tcMar>
          </w:tcPr>
          <w:p w14:paraId="032C28B6" w14:textId="77777777" w:rsidR="00FE38AF" w:rsidRDefault="00000000">
            <w:pPr>
              <w:spacing w:line="360" w:lineRule="auto"/>
            </w:pPr>
            <w:r>
              <w:rPr>
                <w:color w:val="111111"/>
                <w:sz w:val="20"/>
                <w:szCs w:val="20"/>
              </w:rPr>
              <w:t>0</w:t>
            </w:r>
          </w:p>
        </w:tc>
        <w:tc>
          <w:tcPr>
            <w:tcW w:w="2226" w:type="dxa"/>
            <w:tcBorders>
              <w:top w:val="single" w:sz="4" w:space="0" w:color="C8D2DF"/>
              <w:left w:val="single" w:sz="4" w:space="0" w:color="C8D2DF"/>
              <w:bottom w:val="single" w:sz="4" w:space="0" w:color="C8D2DF"/>
              <w:right w:val="single" w:sz="4" w:space="0" w:color="C8D2DF"/>
            </w:tcBorders>
            <w:shd w:val="clear" w:color="auto" w:fill="FFFFFF"/>
            <w:tcMar>
              <w:top w:w="80" w:type="dxa"/>
              <w:left w:w="100" w:type="dxa"/>
              <w:bottom w:w="80" w:type="dxa"/>
              <w:right w:w="100" w:type="dxa"/>
            </w:tcMar>
          </w:tcPr>
          <w:p w14:paraId="50228B09" w14:textId="77777777" w:rsidR="00FE38AF" w:rsidRDefault="00000000">
            <w:pPr>
              <w:spacing w:line="360" w:lineRule="auto"/>
            </w:pPr>
            <w:r>
              <w:rPr>
                <w:color w:val="111111"/>
                <w:sz w:val="20"/>
                <w:szCs w:val="20"/>
              </w:rPr>
              <w:t>Balanced measure capturing both type I and type II error rate disparities simultaneously</w:t>
            </w:r>
          </w:p>
        </w:tc>
      </w:tr>
      <w:tr w:rsidR="00FE38AF" w14:paraId="038E09D6" w14:textId="77777777">
        <w:tblPrEx>
          <w:tblCellMar>
            <w:top w:w="0" w:type="dxa"/>
            <w:bottom w:w="0" w:type="dxa"/>
          </w:tblCellMar>
        </w:tblPrEx>
        <w:tc>
          <w:tcPr>
            <w:tcW w:w="1900" w:type="dxa"/>
            <w:tcBorders>
              <w:top w:val="single" w:sz="4" w:space="0" w:color="C8D2DF"/>
              <w:left w:val="single" w:sz="4" w:space="0" w:color="C8D2DF"/>
              <w:bottom w:val="single" w:sz="4" w:space="0" w:color="C8D2DF"/>
              <w:right w:val="single" w:sz="4" w:space="0" w:color="C8D2DF"/>
            </w:tcBorders>
            <w:shd w:val="clear" w:color="auto" w:fill="F4F6F9"/>
            <w:tcMar>
              <w:top w:w="80" w:type="dxa"/>
              <w:left w:w="100" w:type="dxa"/>
              <w:bottom w:w="80" w:type="dxa"/>
              <w:right w:w="100" w:type="dxa"/>
            </w:tcMar>
          </w:tcPr>
          <w:p w14:paraId="29A9BA72" w14:textId="77777777" w:rsidR="00FE38AF" w:rsidRDefault="00000000">
            <w:pPr>
              <w:spacing w:line="360" w:lineRule="auto"/>
            </w:pPr>
            <w:proofErr w:type="spellStart"/>
            <w:r>
              <w:rPr>
                <w:b/>
                <w:bCs/>
                <w:color w:val="111111"/>
                <w:sz w:val="20"/>
                <w:szCs w:val="20"/>
              </w:rPr>
              <w:t>Equalised</w:t>
            </w:r>
            <w:proofErr w:type="spellEnd"/>
            <w:r>
              <w:rPr>
                <w:b/>
                <w:bCs/>
                <w:color w:val="111111"/>
                <w:sz w:val="20"/>
                <w:szCs w:val="20"/>
              </w:rPr>
              <w:t xml:space="preserve"> Odds Difference (EOD)</w:t>
            </w:r>
          </w:p>
        </w:tc>
        <w:tc>
          <w:tcPr>
            <w:tcW w:w="2600" w:type="dxa"/>
            <w:tcBorders>
              <w:top w:val="single" w:sz="4" w:space="0" w:color="C8D2DF"/>
              <w:left w:val="single" w:sz="4" w:space="0" w:color="C8D2DF"/>
              <w:bottom w:val="single" w:sz="4" w:space="0" w:color="C8D2DF"/>
              <w:right w:val="single" w:sz="4" w:space="0" w:color="C8D2DF"/>
            </w:tcBorders>
            <w:shd w:val="clear" w:color="auto" w:fill="FFFFFF"/>
            <w:tcMar>
              <w:top w:w="80" w:type="dxa"/>
              <w:left w:w="100" w:type="dxa"/>
              <w:bottom w:w="80" w:type="dxa"/>
              <w:right w:w="100" w:type="dxa"/>
            </w:tcMar>
          </w:tcPr>
          <w:p w14:paraId="6F627569" w14:textId="77777777" w:rsidR="00FE38AF" w:rsidRDefault="00000000">
            <w:pPr>
              <w:spacing w:line="360" w:lineRule="auto"/>
            </w:pPr>
            <w:proofErr w:type="gramStart"/>
            <w:r>
              <w:rPr>
                <w:color w:val="111111"/>
                <w:sz w:val="20"/>
                <w:szCs w:val="20"/>
              </w:rPr>
              <w:t>max(</w:t>
            </w:r>
            <w:proofErr w:type="gramEnd"/>
            <w:r>
              <w:rPr>
                <w:color w:val="111111"/>
                <w:sz w:val="20"/>
                <w:szCs w:val="20"/>
              </w:rPr>
              <w:t>|ΔTPR|, |ΔFPR|) across groups</w:t>
            </w:r>
          </w:p>
        </w:tc>
        <w:tc>
          <w:tcPr>
            <w:tcW w:w="2300" w:type="dxa"/>
            <w:tcBorders>
              <w:top w:val="single" w:sz="4" w:space="0" w:color="C8D2DF"/>
              <w:left w:val="single" w:sz="4" w:space="0" w:color="C8D2DF"/>
              <w:bottom w:val="single" w:sz="4" w:space="0" w:color="C8D2DF"/>
              <w:right w:val="single" w:sz="4" w:space="0" w:color="C8D2DF"/>
            </w:tcBorders>
            <w:shd w:val="clear" w:color="auto" w:fill="F4F6F9"/>
            <w:tcMar>
              <w:top w:w="80" w:type="dxa"/>
              <w:left w:w="100" w:type="dxa"/>
              <w:bottom w:w="80" w:type="dxa"/>
              <w:right w:w="100" w:type="dxa"/>
            </w:tcMar>
          </w:tcPr>
          <w:p w14:paraId="2F3F40B8" w14:textId="77777777" w:rsidR="00FE38AF" w:rsidRDefault="00000000">
            <w:pPr>
              <w:spacing w:line="360" w:lineRule="auto"/>
            </w:pPr>
            <w:r>
              <w:rPr>
                <w:color w:val="111111"/>
                <w:sz w:val="20"/>
                <w:szCs w:val="20"/>
              </w:rPr>
              <w:t>0</w:t>
            </w:r>
          </w:p>
        </w:tc>
        <w:tc>
          <w:tcPr>
            <w:tcW w:w="2226" w:type="dxa"/>
            <w:tcBorders>
              <w:top w:val="single" w:sz="4" w:space="0" w:color="C8D2DF"/>
              <w:left w:val="single" w:sz="4" w:space="0" w:color="C8D2DF"/>
              <w:bottom w:val="single" w:sz="4" w:space="0" w:color="C8D2DF"/>
              <w:right w:val="single" w:sz="4" w:space="0" w:color="C8D2DF"/>
            </w:tcBorders>
            <w:shd w:val="clear" w:color="auto" w:fill="FFFFFF"/>
            <w:tcMar>
              <w:top w:w="80" w:type="dxa"/>
              <w:left w:w="100" w:type="dxa"/>
              <w:bottom w:w="80" w:type="dxa"/>
              <w:right w:w="100" w:type="dxa"/>
            </w:tcMar>
          </w:tcPr>
          <w:p w14:paraId="28A2AB30" w14:textId="77777777" w:rsidR="00FE38AF" w:rsidRDefault="00000000">
            <w:pPr>
              <w:spacing w:line="360" w:lineRule="auto"/>
            </w:pPr>
            <w:r>
              <w:rPr>
                <w:color w:val="111111"/>
                <w:sz w:val="20"/>
                <w:szCs w:val="20"/>
              </w:rPr>
              <w:t xml:space="preserve">Stricter criterion capturing worst-case error rate disparity; directly corresponds to the </w:t>
            </w:r>
            <w:proofErr w:type="spellStart"/>
            <w:r>
              <w:rPr>
                <w:color w:val="111111"/>
                <w:sz w:val="20"/>
                <w:szCs w:val="20"/>
              </w:rPr>
              <w:t>Equalised</w:t>
            </w:r>
            <w:proofErr w:type="spellEnd"/>
            <w:r>
              <w:rPr>
                <w:color w:val="111111"/>
                <w:sz w:val="20"/>
                <w:szCs w:val="20"/>
              </w:rPr>
              <w:t xml:space="preserve"> Odds postprocessing objective</w:t>
            </w:r>
          </w:p>
        </w:tc>
      </w:tr>
      <w:tr w:rsidR="00FE38AF" w14:paraId="5D52F21E" w14:textId="77777777">
        <w:tblPrEx>
          <w:tblCellMar>
            <w:top w:w="0" w:type="dxa"/>
            <w:bottom w:w="0" w:type="dxa"/>
          </w:tblCellMar>
        </w:tblPrEx>
        <w:tc>
          <w:tcPr>
            <w:tcW w:w="1900" w:type="dxa"/>
            <w:tcBorders>
              <w:top w:val="single" w:sz="4" w:space="0" w:color="C8D2DF"/>
              <w:left w:val="single" w:sz="4" w:space="0" w:color="C8D2DF"/>
              <w:bottom w:val="single" w:sz="4" w:space="0" w:color="C8D2DF"/>
              <w:right w:val="single" w:sz="4" w:space="0" w:color="C8D2DF"/>
            </w:tcBorders>
            <w:shd w:val="clear" w:color="auto" w:fill="F4F6F9"/>
            <w:tcMar>
              <w:top w:w="80" w:type="dxa"/>
              <w:left w:w="100" w:type="dxa"/>
              <w:bottom w:w="80" w:type="dxa"/>
              <w:right w:w="100" w:type="dxa"/>
            </w:tcMar>
          </w:tcPr>
          <w:p w14:paraId="7B1C0F76" w14:textId="77777777" w:rsidR="00FE38AF" w:rsidRDefault="00000000">
            <w:pPr>
              <w:spacing w:line="360" w:lineRule="auto"/>
            </w:pPr>
            <w:r>
              <w:rPr>
                <w:b/>
                <w:bCs/>
                <w:color w:val="111111"/>
                <w:sz w:val="20"/>
                <w:szCs w:val="20"/>
              </w:rPr>
              <w:t>Disparate Impact Ratio (DIR)</w:t>
            </w:r>
          </w:p>
        </w:tc>
        <w:tc>
          <w:tcPr>
            <w:tcW w:w="2600" w:type="dxa"/>
            <w:tcBorders>
              <w:top w:val="single" w:sz="4" w:space="0" w:color="C8D2DF"/>
              <w:left w:val="single" w:sz="4" w:space="0" w:color="C8D2DF"/>
              <w:bottom w:val="single" w:sz="4" w:space="0" w:color="C8D2DF"/>
              <w:right w:val="single" w:sz="4" w:space="0" w:color="C8D2DF"/>
            </w:tcBorders>
            <w:shd w:val="clear" w:color="auto" w:fill="FFFFFF"/>
            <w:tcMar>
              <w:top w:w="80" w:type="dxa"/>
              <w:left w:w="100" w:type="dxa"/>
              <w:bottom w:w="80" w:type="dxa"/>
              <w:right w:w="100" w:type="dxa"/>
            </w:tcMar>
          </w:tcPr>
          <w:p w14:paraId="7E8A0EF6" w14:textId="77777777" w:rsidR="00FE38AF" w:rsidRDefault="00000000">
            <w:pPr>
              <w:spacing w:line="360" w:lineRule="auto"/>
            </w:pPr>
            <w:r>
              <w:rPr>
                <w:color w:val="111111"/>
                <w:sz w:val="20"/>
                <w:szCs w:val="20"/>
              </w:rPr>
              <w:t>P(Y-hat=1|S-) / P(Y-hat=1|S+)</w:t>
            </w:r>
          </w:p>
        </w:tc>
        <w:tc>
          <w:tcPr>
            <w:tcW w:w="2300" w:type="dxa"/>
            <w:tcBorders>
              <w:top w:val="single" w:sz="4" w:space="0" w:color="C8D2DF"/>
              <w:left w:val="single" w:sz="4" w:space="0" w:color="C8D2DF"/>
              <w:bottom w:val="single" w:sz="4" w:space="0" w:color="C8D2DF"/>
              <w:right w:val="single" w:sz="4" w:space="0" w:color="C8D2DF"/>
            </w:tcBorders>
            <w:shd w:val="clear" w:color="auto" w:fill="F4F6F9"/>
            <w:tcMar>
              <w:top w:w="80" w:type="dxa"/>
              <w:left w:w="100" w:type="dxa"/>
              <w:bottom w:w="80" w:type="dxa"/>
              <w:right w:w="100" w:type="dxa"/>
            </w:tcMar>
          </w:tcPr>
          <w:p w14:paraId="116CDF31" w14:textId="77777777" w:rsidR="00FE38AF" w:rsidRDefault="00000000">
            <w:pPr>
              <w:spacing w:line="360" w:lineRule="auto"/>
            </w:pPr>
            <w:r>
              <w:rPr>
                <w:color w:val="111111"/>
                <w:sz w:val="20"/>
                <w:szCs w:val="20"/>
              </w:rPr>
              <w:t>1</w:t>
            </w:r>
          </w:p>
        </w:tc>
        <w:tc>
          <w:tcPr>
            <w:tcW w:w="2226" w:type="dxa"/>
            <w:tcBorders>
              <w:top w:val="single" w:sz="4" w:space="0" w:color="C8D2DF"/>
              <w:left w:val="single" w:sz="4" w:space="0" w:color="C8D2DF"/>
              <w:bottom w:val="single" w:sz="4" w:space="0" w:color="C8D2DF"/>
              <w:right w:val="single" w:sz="4" w:space="0" w:color="C8D2DF"/>
            </w:tcBorders>
            <w:shd w:val="clear" w:color="auto" w:fill="FFFFFF"/>
            <w:tcMar>
              <w:top w:w="80" w:type="dxa"/>
              <w:left w:w="100" w:type="dxa"/>
              <w:bottom w:w="80" w:type="dxa"/>
              <w:right w:w="100" w:type="dxa"/>
            </w:tcMar>
          </w:tcPr>
          <w:p w14:paraId="18BB1CF7" w14:textId="77777777" w:rsidR="00FE38AF" w:rsidRDefault="00000000">
            <w:pPr>
              <w:spacing w:line="360" w:lineRule="auto"/>
            </w:pPr>
            <w:proofErr w:type="spellStart"/>
            <w:r>
              <w:rPr>
                <w:color w:val="111111"/>
                <w:sz w:val="20"/>
                <w:szCs w:val="20"/>
              </w:rPr>
              <w:t>Operationalises</w:t>
            </w:r>
            <w:proofErr w:type="spellEnd"/>
            <w:r>
              <w:rPr>
                <w:color w:val="111111"/>
                <w:sz w:val="20"/>
                <w:szCs w:val="20"/>
              </w:rPr>
              <w:t xml:space="preserve"> the legal four-fifths rule: DIR &lt; 0.8 indicates adverse impact in US employment law (Feldman et al., 2015)</w:t>
            </w:r>
          </w:p>
        </w:tc>
      </w:tr>
    </w:tbl>
    <w:p w14:paraId="521F4030" w14:textId="77777777" w:rsidR="00FE38AF" w:rsidRDefault="00000000">
      <w:pPr>
        <w:spacing w:before="60" w:after="240" w:line="360" w:lineRule="auto"/>
        <w:jc w:val="center"/>
      </w:pPr>
      <w:r>
        <w:rPr>
          <w:i/>
          <w:iCs/>
          <w:color w:val="555555"/>
          <w:sz w:val="20"/>
          <w:szCs w:val="20"/>
        </w:rPr>
        <w:t>Table 3.3: Fairness Metrics Used in This Study with Justification</w:t>
      </w:r>
    </w:p>
    <w:p w14:paraId="13EE62BB" w14:textId="77777777" w:rsidR="00FE38AF" w:rsidRDefault="00FE38AF">
      <w:pPr>
        <w:spacing w:after="160"/>
      </w:pPr>
    </w:p>
    <w:p w14:paraId="3B4E6BFD" w14:textId="77777777" w:rsidR="00FE38AF" w:rsidRDefault="00000000">
      <w:pPr>
        <w:spacing w:before="360" w:after="160" w:line="360" w:lineRule="auto"/>
      </w:pPr>
      <w:r>
        <w:rPr>
          <w:b/>
          <w:bCs/>
        </w:rPr>
        <w:t>3.10 Tools and Technical Environment</w:t>
      </w:r>
    </w:p>
    <w:p w14:paraId="4A918A66" w14:textId="77777777" w:rsidR="00FE38AF" w:rsidRDefault="00000000">
      <w:pPr>
        <w:spacing w:after="160" w:line="360" w:lineRule="auto"/>
        <w:jc w:val="both"/>
      </w:pPr>
      <w:r>
        <w:t xml:space="preserve">All experimental code is implemented in Python 3.9 or higher. The primary toolkit for bias mitigation implementation and fairness metric computation is IBM AI Fairness 360 version 0.5.0 (Bellamy et al., 2019). The Microsoft </w:t>
      </w:r>
      <w:proofErr w:type="spellStart"/>
      <w:r>
        <w:t>Fairlearn</w:t>
      </w:r>
      <w:proofErr w:type="spellEnd"/>
      <w:r>
        <w:t xml:space="preserve"> toolkit (Bird et al., 2020) is used as a supplementary evaluation and </w:t>
      </w:r>
      <w:proofErr w:type="spellStart"/>
      <w:r>
        <w:t>visualisation</w:t>
      </w:r>
      <w:proofErr w:type="spellEnd"/>
      <w:r>
        <w:t xml:space="preserve"> tool. Machine learning classifiers are implemented using scikit-learn 1.3.2 (Pedregosa et al., 2011). Data manipulation and preprocessing are performed using pandas 2.1.4 and </w:t>
      </w:r>
      <w:proofErr w:type="spellStart"/>
      <w:r>
        <w:t>numpy</w:t>
      </w:r>
      <w:proofErr w:type="spellEnd"/>
      <w:r>
        <w:t xml:space="preserve"> 1.26.2. </w:t>
      </w:r>
      <w:proofErr w:type="spellStart"/>
      <w:r>
        <w:t>Visualisation</w:t>
      </w:r>
      <w:proofErr w:type="spellEnd"/>
      <w:r>
        <w:t xml:space="preserve"> of experimental results is performed using matplotlib 3.8.2. Table 3.4 </w:t>
      </w:r>
      <w:proofErr w:type="spellStart"/>
      <w:r>
        <w:t>summarises</w:t>
      </w:r>
      <w:proofErr w:type="spellEnd"/>
      <w:r>
        <w:t xml:space="preserve"> the complete technical environment.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226"/>
      </w:tblGrid>
      <w:tr w:rsidR="00FE38AF" w14:paraId="67840286" w14:textId="77777777">
        <w:tblPrEx>
          <w:tblCellMar>
            <w:top w:w="0" w:type="dxa"/>
            <w:bottom w:w="0" w:type="dxa"/>
          </w:tblCellMar>
        </w:tblPrEx>
        <w:tc>
          <w:tcPr>
            <w:tcW w:w="2800" w:type="dxa"/>
            <w:tcBorders>
              <w:top w:val="single" w:sz="8" w:space="0" w:color="1E3A5F"/>
              <w:left w:val="single" w:sz="8" w:space="0" w:color="1E3A5F"/>
              <w:bottom w:val="single" w:sz="8" w:space="0" w:color="1E3A5F"/>
              <w:right w:val="single" w:sz="8" w:space="0" w:color="1E3A5F"/>
            </w:tcBorders>
            <w:shd w:val="clear" w:color="auto" w:fill="1E3A5F"/>
            <w:tcMar>
              <w:top w:w="80" w:type="dxa"/>
              <w:left w:w="100" w:type="dxa"/>
              <w:bottom w:w="80" w:type="dxa"/>
              <w:right w:w="100" w:type="dxa"/>
            </w:tcMar>
            <w:vAlign w:val="center"/>
          </w:tcPr>
          <w:p w14:paraId="4C773B74" w14:textId="77777777" w:rsidR="00FE38AF" w:rsidRDefault="00000000">
            <w:pPr>
              <w:spacing w:line="360" w:lineRule="auto"/>
              <w:jc w:val="center"/>
            </w:pPr>
            <w:r>
              <w:rPr>
                <w:b/>
                <w:bCs/>
                <w:color w:val="FFFFFF"/>
                <w:sz w:val="20"/>
                <w:szCs w:val="20"/>
              </w:rPr>
              <w:lastRenderedPageBreak/>
              <w:t>Library / Tool</w:t>
            </w:r>
          </w:p>
        </w:tc>
        <w:tc>
          <w:tcPr>
            <w:tcW w:w="2000" w:type="dxa"/>
            <w:tcBorders>
              <w:top w:val="single" w:sz="8" w:space="0" w:color="1E3A5F"/>
              <w:left w:val="single" w:sz="8" w:space="0" w:color="1E3A5F"/>
              <w:bottom w:val="single" w:sz="8" w:space="0" w:color="1E3A5F"/>
              <w:right w:val="single" w:sz="8" w:space="0" w:color="1E3A5F"/>
            </w:tcBorders>
            <w:shd w:val="clear" w:color="auto" w:fill="1E3A5F"/>
            <w:tcMar>
              <w:top w:w="80" w:type="dxa"/>
              <w:left w:w="100" w:type="dxa"/>
              <w:bottom w:w="80" w:type="dxa"/>
              <w:right w:w="100" w:type="dxa"/>
            </w:tcMar>
            <w:vAlign w:val="center"/>
          </w:tcPr>
          <w:p w14:paraId="1530A729" w14:textId="77777777" w:rsidR="00FE38AF" w:rsidRDefault="00000000">
            <w:pPr>
              <w:spacing w:line="360" w:lineRule="auto"/>
              <w:jc w:val="center"/>
            </w:pPr>
            <w:r>
              <w:rPr>
                <w:b/>
                <w:bCs/>
                <w:color w:val="FFFFFF"/>
                <w:sz w:val="20"/>
                <w:szCs w:val="20"/>
              </w:rPr>
              <w:t>Version</w:t>
            </w:r>
          </w:p>
        </w:tc>
        <w:tc>
          <w:tcPr>
            <w:tcW w:w="4226" w:type="dxa"/>
            <w:tcBorders>
              <w:top w:val="single" w:sz="8" w:space="0" w:color="1E3A5F"/>
              <w:left w:val="single" w:sz="8" w:space="0" w:color="1E3A5F"/>
              <w:bottom w:val="single" w:sz="8" w:space="0" w:color="1E3A5F"/>
              <w:right w:val="single" w:sz="8" w:space="0" w:color="1E3A5F"/>
            </w:tcBorders>
            <w:shd w:val="clear" w:color="auto" w:fill="1E3A5F"/>
            <w:tcMar>
              <w:top w:w="80" w:type="dxa"/>
              <w:left w:w="100" w:type="dxa"/>
              <w:bottom w:w="80" w:type="dxa"/>
              <w:right w:w="100" w:type="dxa"/>
            </w:tcMar>
            <w:vAlign w:val="center"/>
          </w:tcPr>
          <w:p w14:paraId="06899774" w14:textId="77777777" w:rsidR="00FE38AF" w:rsidRDefault="00000000">
            <w:pPr>
              <w:spacing w:line="360" w:lineRule="auto"/>
              <w:jc w:val="center"/>
            </w:pPr>
            <w:r>
              <w:rPr>
                <w:b/>
                <w:bCs/>
                <w:color w:val="FFFFFF"/>
                <w:sz w:val="20"/>
                <w:szCs w:val="20"/>
              </w:rPr>
              <w:t>Purpose</w:t>
            </w:r>
          </w:p>
        </w:tc>
      </w:tr>
      <w:tr w:rsidR="00FE38AF" w14:paraId="1BC462E2" w14:textId="77777777">
        <w:tblPrEx>
          <w:tblCellMar>
            <w:top w:w="0" w:type="dxa"/>
            <w:bottom w:w="0" w:type="dxa"/>
          </w:tblCellMar>
        </w:tblPrEx>
        <w:tc>
          <w:tcPr>
            <w:tcW w:w="2800" w:type="dxa"/>
            <w:tcBorders>
              <w:top w:val="single" w:sz="4" w:space="0" w:color="C8D2DF"/>
              <w:left w:val="single" w:sz="4" w:space="0" w:color="C8D2DF"/>
              <w:bottom w:val="single" w:sz="4" w:space="0" w:color="C8D2DF"/>
              <w:right w:val="single" w:sz="4" w:space="0" w:color="C8D2DF"/>
            </w:tcBorders>
            <w:shd w:val="clear" w:color="auto" w:fill="F4F6F9"/>
            <w:tcMar>
              <w:top w:w="80" w:type="dxa"/>
              <w:left w:w="100" w:type="dxa"/>
              <w:bottom w:w="80" w:type="dxa"/>
              <w:right w:w="100" w:type="dxa"/>
            </w:tcMar>
          </w:tcPr>
          <w:p w14:paraId="4E61B029" w14:textId="77777777" w:rsidR="00FE38AF" w:rsidRDefault="00000000">
            <w:pPr>
              <w:spacing w:line="360" w:lineRule="auto"/>
            </w:pPr>
            <w:r>
              <w:rPr>
                <w:b/>
                <w:bCs/>
                <w:color w:val="111111"/>
                <w:sz w:val="20"/>
                <w:szCs w:val="20"/>
              </w:rPr>
              <w:t>Python</w:t>
            </w:r>
          </w:p>
        </w:tc>
        <w:tc>
          <w:tcPr>
            <w:tcW w:w="2000" w:type="dxa"/>
            <w:tcBorders>
              <w:top w:val="single" w:sz="4" w:space="0" w:color="C8D2DF"/>
              <w:left w:val="single" w:sz="4" w:space="0" w:color="C8D2DF"/>
              <w:bottom w:val="single" w:sz="4" w:space="0" w:color="C8D2DF"/>
              <w:right w:val="single" w:sz="4" w:space="0" w:color="C8D2DF"/>
            </w:tcBorders>
            <w:shd w:val="clear" w:color="auto" w:fill="FFFFFF"/>
            <w:tcMar>
              <w:top w:w="80" w:type="dxa"/>
              <w:left w:w="100" w:type="dxa"/>
              <w:bottom w:w="80" w:type="dxa"/>
              <w:right w:w="100" w:type="dxa"/>
            </w:tcMar>
          </w:tcPr>
          <w:p w14:paraId="14AFFACD" w14:textId="77777777" w:rsidR="00FE38AF" w:rsidRDefault="00000000">
            <w:pPr>
              <w:spacing w:line="360" w:lineRule="auto"/>
            </w:pPr>
            <w:r>
              <w:rPr>
                <w:color w:val="111111"/>
                <w:sz w:val="20"/>
                <w:szCs w:val="20"/>
              </w:rPr>
              <w:t>3.9+</w:t>
            </w:r>
          </w:p>
        </w:tc>
        <w:tc>
          <w:tcPr>
            <w:tcW w:w="4226" w:type="dxa"/>
            <w:tcBorders>
              <w:top w:val="single" w:sz="4" w:space="0" w:color="C8D2DF"/>
              <w:left w:val="single" w:sz="4" w:space="0" w:color="C8D2DF"/>
              <w:bottom w:val="single" w:sz="4" w:space="0" w:color="C8D2DF"/>
              <w:right w:val="single" w:sz="4" w:space="0" w:color="C8D2DF"/>
            </w:tcBorders>
            <w:shd w:val="clear" w:color="auto" w:fill="F4F6F9"/>
            <w:tcMar>
              <w:top w:w="80" w:type="dxa"/>
              <w:left w:w="100" w:type="dxa"/>
              <w:bottom w:w="80" w:type="dxa"/>
              <w:right w:w="100" w:type="dxa"/>
            </w:tcMar>
          </w:tcPr>
          <w:p w14:paraId="3E353F26" w14:textId="77777777" w:rsidR="00FE38AF" w:rsidRDefault="00000000">
            <w:pPr>
              <w:spacing w:line="360" w:lineRule="auto"/>
            </w:pPr>
            <w:r>
              <w:rPr>
                <w:color w:val="111111"/>
                <w:sz w:val="20"/>
                <w:szCs w:val="20"/>
              </w:rPr>
              <w:t>Primary programming language for all experimental code</w:t>
            </w:r>
          </w:p>
        </w:tc>
      </w:tr>
      <w:tr w:rsidR="00FE38AF" w14:paraId="62B2F179" w14:textId="77777777">
        <w:tblPrEx>
          <w:tblCellMar>
            <w:top w:w="0" w:type="dxa"/>
            <w:bottom w:w="0" w:type="dxa"/>
          </w:tblCellMar>
        </w:tblPrEx>
        <w:tc>
          <w:tcPr>
            <w:tcW w:w="2800" w:type="dxa"/>
            <w:tcBorders>
              <w:top w:val="single" w:sz="4" w:space="0" w:color="C8D2DF"/>
              <w:left w:val="single" w:sz="4" w:space="0" w:color="C8D2DF"/>
              <w:bottom w:val="single" w:sz="4" w:space="0" w:color="C8D2DF"/>
              <w:right w:val="single" w:sz="4" w:space="0" w:color="C8D2DF"/>
            </w:tcBorders>
            <w:shd w:val="clear" w:color="auto" w:fill="FFFFFF"/>
            <w:tcMar>
              <w:top w:w="80" w:type="dxa"/>
              <w:left w:w="100" w:type="dxa"/>
              <w:bottom w:w="80" w:type="dxa"/>
              <w:right w:w="100" w:type="dxa"/>
            </w:tcMar>
          </w:tcPr>
          <w:p w14:paraId="581235EB" w14:textId="77777777" w:rsidR="00FE38AF" w:rsidRDefault="00000000">
            <w:pPr>
              <w:spacing w:line="360" w:lineRule="auto"/>
            </w:pPr>
            <w:r>
              <w:rPr>
                <w:b/>
                <w:bCs/>
                <w:color w:val="111111"/>
                <w:sz w:val="20"/>
                <w:szCs w:val="20"/>
              </w:rPr>
              <w:t>IBM AI Fairness 360</w:t>
            </w:r>
          </w:p>
        </w:tc>
        <w:tc>
          <w:tcPr>
            <w:tcW w:w="2000" w:type="dxa"/>
            <w:tcBorders>
              <w:top w:val="single" w:sz="4" w:space="0" w:color="C8D2DF"/>
              <w:left w:val="single" w:sz="4" w:space="0" w:color="C8D2DF"/>
              <w:bottom w:val="single" w:sz="4" w:space="0" w:color="C8D2DF"/>
              <w:right w:val="single" w:sz="4" w:space="0" w:color="C8D2DF"/>
            </w:tcBorders>
            <w:shd w:val="clear" w:color="auto" w:fill="F4F6F9"/>
            <w:tcMar>
              <w:top w:w="80" w:type="dxa"/>
              <w:left w:w="100" w:type="dxa"/>
              <w:bottom w:w="80" w:type="dxa"/>
              <w:right w:w="100" w:type="dxa"/>
            </w:tcMar>
          </w:tcPr>
          <w:p w14:paraId="4DAB4C97" w14:textId="77777777" w:rsidR="00FE38AF" w:rsidRDefault="00000000">
            <w:pPr>
              <w:spacing w:line="360" w:lineRule="auto"/>
            </w:pPr>
            <w:r>
              <w:rPr>
                <w:color w:val="111111"/>
                <w:sz w:val="20"/>
                <w:szCs w:val="20"/>
              </w:rPr>
              <w:t>0.5.0</w:t>
            </w:r>
          </w:p>
        </w:tc>
        <w:tc>
          <w:tcPr>
            <w:tcW w:w="4226" w:type="dxa"/>
            <w:tcBorders>
              <w:top w:val="single" w:sz="4" w:space="0" w:color="C8D2DF"/>
              <w:left w:val="single" w:sz="4" w:space="0" w:color="C8D2DF"/>
              <w:bottom w:val="single" w:sz="4" w:space="0" w:color="C8D2DF"/>
              <w:right w:val="single" w:sz="4" w:space="0" w:color="C8D2DF"/>
            </w:tcBorders>
            <w:shd w:val="clear" w:color="auto" w:fill="FFFFFF"/>
            <w:tcMar>
              <w:top w:w="80" w:type="dxa"/>
              <w:left w:w="100" w:type="dxa"/>
              <w:bottom w:w="80" w:type="dxa"/>
              <w:right w:w="100" w:type="dxa"/>
            </w:tcMar>
          </w:tcPr>
          <w:p w14:paraId="3FA61CFD" w14:textId="77777777" w:rsidR="00FE38AF" w:rsidRDefault="00000000">
            <w:pPr>
              <w:spacing w:line="360" w:lineRule="auto"/>
            </w:pPr>
            <w:r>
              <w:rPr>
                <w:color w:val="111111"/>
                <w:sz w:val="20"/>
                <w:szCs w:val="20"/>
              </w:rPr>
              <w:t>Bias detection metrics, mitigation algorithm implementations</w:t>
            </w:r>
          </w:p>
        </w:tc>
      </w:tr>
      <w:tr w:rsidR="00FE38AF" w14:paraId="2353A403" w14:textId="77777777">
        <w:tblPrEx>
          <w:tblCellMar>
            <w:top w:w="0" w:type="dxa"/>
            <w:bottom w:w="0" w:type="dxa"/>
          </w:tblCellMar>
        </w:tblPrEx>
        <w:tc>
          <w:tcPr>
            <w:tcW w:w="2800" w:type="dxa"/>
            <w:tcBorders>
              <w:top w:val="single" w:sz="4" w:space="0" w:color="C8D2DF"/>
              <w:left w:val="single" w:sz="4" w:space="0" w:color="C8D2DF"/>
              <w:bottom w:val="single" w:sz="4" w:space="0" w:color="C8D2DF"/>
              <w:right w:val="single" w:sz="4" w:space="0" w:color="C8D2DF"/>
            </w:tcBorders>
            <w:shd w:val="clear" w:color="auto" w:fill="F4F6F9"/>
            <w:tcMar>
              <w:top w:w="80" w:type="dxa"/>
              <w:left w:w="100" w:type="dxa"/>
              <w:bottom w:w="80" w:type="dxa"/>
              <w:right w:w="100" w:type="dxa"/>
            </w:tcMar>
          </w:tcPr>
          <w:p w14:paraId="05E68774" w14:textId="77777777" w:rsidR="00FE38AF" w:rsidRDefault="00000000">
            <w:pPr>
              <w:spacing w:line="360" w:lineRule="auto"/>
            </w:pPr>
            <w:r>
              <w:rPr>
                <w:b/>
                <w:bCs/>
                <w:color w:val="111111"/>
                <w:sz w:val="20"/>
                <w:szCs w:val="20"/>
              </w:rPr>
              <w:t xml:space="preserve">Microsoft </w:t>
            </w:r>
            <w:proofErr w:type="spellStart"/>
            <w:r>
              <w:rPr>
                <w:b/>
                <w:bCs/>
                <w:color w:val="111111"/>
                <w:sz w:val="20"/>
                <w:szCs w:val="20"/>
              </w:rPr>
              <w:t>Fairlearn</w:t>
            </w:r>
            <w:proofErr w:type="spellEnd"/>
          </w:p>
        </w:tc>
        <w:tc>
          <w:tcPr>
            <w:tcW w:w="2000" w:type="dxa"/>
            <w:tcBorders>
              <w:top w:val="single" w:sz="4" w:space="0" w:color="C8D2DF"/>
              <w:left w:val="single" w:sz="4" w:space="0" w:color="C8D2DF"/>
              <w:bottom w:val="single" w:sz="4" w:space="0" w:color="C8D2DF"/>
              <w:right w:val="single" w:sz="4" w:space="0" w:color="C8D2DF"/>
            </w:tcBorders>
            <w:shd w:val="clear" w:color="auto" w:fill="FFFFFF"/>
            <w:tcMar>
              <w:top w:w="80" w:type="dxa"/>
              <w:left w:w="100" w:type="dxa"/>
              <w:bottom w:w="80" w:type="dxa"/>
              <w:right w:w="100" w:type="dxa"/>
            </w:tcMar>
          </w:tcPr>
          <w:p w14:paraId="77E70E1B" w14:textId="77777777" w:rsidR="00FE38AF" w:rsidRDefault="00000000">
            <w:pPr>
              <w:spacing w:line="360" w:lineRule="auto"/>
            </w:pPr>
            <w:r>
              <w:rPr>
                <w:color w:val="111111"/>
                <w:sz w:val="20"/>
                <w:szCs w:val="20"/>
              </w:rPr>
              <w:t>0.10.0</w:t>
            </w:r>
          </w:p>
        </w:tc>
        <w:tc>
          <w:tcPr>
            <w:tcW w:w="4226" w:type="dxa"/>
            <w:tcBorders>
              <w:top w:val="single" w:sz="4" w:space="0" w:color="C8D2DF"/>
              <w:left w:val="single" w:sz="4" w:space="0" w:color="C8D2DF"/>
              <w:bottom w:val="single" w:sz="4" w:space="0" w:color="C8D2DF"/>
              <w:right w:val="single" w:sz="4" w:space="0" w:color="C8D2DF"/>
            </w:tcBorders>
            <w:shd w:val="clear" w:color="auto" w:fill="F4F6F9"/>
            <w:tcMar>
              <w:top w:w="80" w:type="dxa"/>
              <w:left w:w="100" w:type="dxa"/>
              <w:bottom w:w="80" w:type="dxa"/>
              <w:right w:w="100" w:type="dxa"/>
            </w:tcMar>
          </w:tcPr>
          <w:p w14:paraId="76151F03" w14:textId="77777777" w:rsidR="00FE38AF" w:rsidRDefault="00000000">
            <w:pPr>
              <w:spacing w:line="360" w:lineRule="auto"/>
            </w:pPr>
            <w:r>
              <w:rPr>
                <w:color w:val="111111"/>
                <w:sz w:val="20"/>
                <w:szCs w:val="20"/>
              </w:rPr>
              <w:t>Supplementary fairness evaluation and constraint-based mitigation</w:t>
            </w:r>
          </w:p>
        </w:tc>
      </w:tr>
      <w:tr w:rsidR="00FE38AF" w14:paraId="4EE35918" w14:textId="77777777">
        <w:tblPrEx>
          <w:tblCellMar>
            <w:top w:w="0" w:type="dxa"/>
            <w:bottom w:w="0" w:type="dxa"/>
          </w:tblCellMar>
        </w:tblPrEx>
        <w:tc>
          <w:tcPr>
            <w:tcW w:w="2800" w:type="dxa"/>
            <w:tcBorders>
              <w:top w:val="single" w:sz="4" w:space="0" w:color="C8D2DF"/>
              <w:left w:val="single" w:sz="4" w:space="0" w:color="C8D2DF"/>
              <w:bottom w:val="single" w:sz="4" w:space="0" w:color="C8D2DF"/>
              <w:right w:val="single" w:sz="4" w:space="0" w:color="C8D2DF"/>
            </w:tcBorders>
            <w:shd w:val="clear" w:color="auto" w:fill="FFFFFF"/>
            <w:tcMar>
              <w:top w:w="80" w:type="dxa"/>
              <w:left w:w="100" w:type="dxa"/>
              <w:bottom w:w="80" w:type="dxa"/>
              <w:right w:w="100" w:type="dxa"/>
            </w:tcMar>
          </w:tcPr>
          <w:p w14:paraId="5AC7CC8C" w14:textId="77777777" w:rsidR="00FE38AF" w:rsidRDefault="00000000">
            <w:pPr>
              <w:spacing w:line="360" w:lineRule="auto"/>
            </w:pPr>
            <w:r>
              <w:rPr>
                <w:b/>
                <w:bCs/>
                <w:color w:val="111111"/>
                <w:sz w:val="20"/>
                <w:szCs w:val="20"/>
              </w:rPr>
              <w:t>scikit-learn</w:t>
            </w:r>
          </w:p>
        </w:tc>
        <w:tc>
          <w:tcPr>
            <w:tcW w:w="2000" w:type="dxa"/>
            <w:tcBorders>
              <w:top w:val="single" w:sz="4" w:space="0" w:color="C8D2DF"/>
              <w:left w:val="single" w:sz="4" w:space="0" w:color="C8D2DF"/>
              <w:bottom w:val="single" w:sz="4" w:space="0" w:color="C8D2DF"/>
              <w:right w:val="single" w:sz="4" w:space="0" w:color="C8D2DF"/>
            </w:tcBorders>
            <w:shd w:val="clear" w:color="auto" w:fill="F4F6F9"/>
            <w:tcMar>
              <w:top w:w="80" w:type="dxa"/>
              <w:left w:w="100" w:type="dxa"/>
              <w:bottom w:w="80" w:type="dxa"/>
              <w:right w:w="100" w:type="dxa"/>
            </w:tcMar>
          </w:tcPr>
          <w:p w14:paraId="3DFEFF4F" w14:textId="77777777" w:rsidR="00FE38AF" w:rsidRDefault="00000000">
            <w:pPr>
              <w:spacing w:line="360" w:lineRule="auto"/>
            </w:pPr>
            <w:r>
              <w:rPr>
                <w:color w:val="111111"/>
                <w:sz w:val="20"/>
                <w:szCs w:val="20"/>
              </w:rPr>
              <w:t>1.3.2</w:t>
            </w:r>
          </w:p>
        </w:tc>
        <w:tc>
          <w:tcPr>
            <w:tcW w:w="4226" w:type="dxa"/>
            <w:tcBorders>
              <w:top w:val="single" w:sz="4" w:space="0" w:color="C8D2DF"/>
              <w:left w:val="single" w:sz="4" w:space="0" w:color="C8D2DF"/>
              <w:bottom w:val="single" w:sz="4" w:space="0" w:color="C8D2DF"/>
              <w:right w:val="single" w:sz="4" w:space="0" w:color="C8D2DF"/>
            </w:tcBorders>
            <w:shd w:val="clear" w:color="auto" w:fill="FFFFFF"/>
            <w:tcMar>
              <w:top w:w="80" w:type="dxa"/>
              <w:left w:w="100" w:type="dxa"/>
              <w:bottom w:w="80" w:type="dxa"/>
              <w:right w:w="100" w:type="dxa"/>
            </w:tcMar>
          </w:tcPr>
          <w:p w14:paraId="7A955B7A" w14:textId="77777777" w:rsidR="00FE38AF" w:rsidRDefault="00000000">
            <w:pPr>
              <w:spacing w:line="360" w:lineRule="auto"/>
            </w:pPr>
            <w:r>
              <w:rPr>
                <w:color w:val="111111"/>
                <w:sz w:val="20"/>
                <w:szCs w:val="20"/>
              </w:rPr>
              <w:t xml:space="preserve">Logistic regression classifier, </w:t>
            </w:r>
            <w:proofErr w:type="spellStart"/>
            <w:r>
              <w:rPr>
                <w:color w:val="111111"/>
                <w:sz w:val="20"/>
                <w:szCs w:val="20"/>
              </w:rPr>
              <w:t>StandardScaler</w:t>
            </w:r>
            <w:proofErr w:type="spellEnd"/>
            <w:r>
              <w:rPr>
                <w:color w:val="111111"/>
                <w:sz w:val="20"/>
                <w:szCs w:val="20"/>
              </w:rPr>
              <w:t>, train/test split</w:t>
            </w:r>
          </w:p>
        </w:tc>
      </w:tr>
      <w:tr w:rsidR="00FE38AF" w14:paraId="4F176ED9" w14:textId="77777777">
        <w:tblPrEx>
          <w:tblCellMar>
            <w:top w:w="0" w:type="dxa"/>
            <w:bottom w:w="0" w:type="dxa"/>
          </w:tblCellMar>
        </w:tblPrEx>
        <w:tc>
          <w:tcPr>
            <w:tcW w:w="2800" w:type="dxa"/>
            <w:tcBorders>
              <w:top w:val="single" w:sz="4" w:space="0" w:color="C8D2DF"/>
              <w:left w:val="single" w:sz="4" w:space="0" w:color="C8D2DF"/>
              <w:bottom w:val="single" w:sz="4" w:space="0" w:color="C8D2DF"/>
              <w:right w:val="single" w:sz="4" w:space="0" w:color="C8D2DF"/>
            </w:tcBorders>
            <w:shd w:val="clear" w:color="auto" w:fill="F4F6F9"/>
            <w:tcMar>
              <w:top w:w="80" w:type="dxa"/>
              <w:left w:w="100" w:type="dxa"/>
              <w:bottom w:w="80" w:type="dxa"/>
              <w:right w:w="100" w:type="dxa"/>
            </w:tcMar>
          </w:tcPr>
          <w:p w14:paraId="02DDDEA4" w14:textId="77777777" w:rsidR="00FE38AF" w:rsidRDefault="00000000">
            <w:pPr>
              <w:spacing w:line="360" w:lineRule="auto"/>
            </w:pPr>
            <w:r>
              <w:rPr>
                <w:b/>
                <w:bCs/>
                <w:color w:val="111111"/>
                <w:sz w:val="20"/>
                <w:szCs w:val="20"/>
              </w:rPr>
              <w:t>pandas</w:t>
            </w:r>
          </w:p>
        </w:tc>
        <w:tc>
          <w:tcPr>
            <w:tcW w:w="2000" w:type="dxa"/>
            <w:tcBorders>
              <w:top w:val="single" w:sz="4" w:space="0" w:color="C8D2DF"/>
              <w:left w:val="single" w:sz="4" w:space="0" w:color="C8D2DF"/>
              <w:bottom w:val="single" w:sz="4" w:space="0" w:color="C8D2DF"/>
              <w:right w:val="single" w:sz="4" w:space="0" w:color="C8D2DF"/>
            </w:tcBorders>
            <w:shd w:val="clear" w:color="auto" w:fill="FFFFFF"/>
            <w:tcMar>
              <w:top w:w="80" w:type="dxa"/>
              <w:left w:w="100" w:type="dxa"/>
              <w:bottom w:w="80" w:type="dxa"/>
              <w:right w:w="100" w:type="dxa"/>
            </w:tcMar>
          </w:tcPr>
          <w:p w14:paraId="14B2E2CB" w14:textId="77777777" w:rsidR="00FE38AF" w:rsidRDefault="00000000">
            <w:pPr>
              <w:spacing w:line="360" w:lineRule="auto"/>
            </w:pPr>
            <w:r>
              <w:rPr>
                <w:color w:val="111111"/>
                <w:sz w:val="20"/>
                <w:szCs w:val="20"/>
              </w:rPr>
              <w:t>2.1.4</w:t>
            </w:r>
          </w:p>
        </w:tc>
        <w:tc>
          <w:tcPr>
            <w:tcW w:w="4226" w:type="dxa"/>
            <w:tcBorders>
              <w:top w:val="single" w:sz="4" w:space="0" w:color="C8D2DF"/>
              <w:left w:val="single" w:sz="4" w:space="0" w:color="C8D2DF"/>
              <w:bottom w:val="single" w:sz="4" w:space="0" w:color="C8D2DF"/>
              <w:right w:val="single" w:sz="4" w:space="0" w:color="C8D2DF"/>
            </w:tcBorders>
            <w:shd w:val="clear" w:color="auto" w:fill="F4F6F9"/>
            <w:tcMar>
              <w:top w:w="80" w:type="dxa"/>
              <w:left w:w="100" w:type="dxa"/>
              <w:bottom w:w="80" w:type="dxa"/>
              <w:right w:w="100" w:type="dxa"/>
            </w:tcMar>
          </w:tcPr>
          <w:p w14:paraId="2DB3357B" w14:textId="77777777" w:rsidR="00FE38AF" w:rsidRDefault="00000000">
            <w:pPr>
              <w:spacing w:line="360" w:lineRule="auto"/>
            </w:pPr>
            <w:r>
              <w:rPr>
                <w:color w:val="111111"/>
                <w:sz w:val="20"/>
                <w:szCs w:val="20"/>
              </w:rPr>
              <w:t>Dataset loading, preprocessing, and results tabulation</w:t>
            </w:r>
          </w:p>
        </w:tc>
      </w:tr>
      <w:tr w:rsidR="00FE38AF" w14:paraId="76F4FFBB" w14:textId="77777777">
        <w:tblPrEx>
          <w:tblCellMar>
            <w:top w:w="0" w:type="dxa"/>
            <w:bottom w:w="0" w:type="dxa"/>
          </w:tblCellMar>
        </w:tblPrEx>
        <w:tc>
          <w:tcPr>
            <w:tcW w:w="2800" w:type="dxa"/>
            <w:tcBorders>
              <w:top w:val="single" w:sz="4" w:space="0" w:color="C8D2DF"/>
              <w:left w:val="single" w:sz="4" w:space="0" w:color="C8D2DF"/>
              <w:bottom w:val="single" w:sz="4" w:space="0" w:color="C8D2DF"/>
              <w:right w:val="single" w:sz="4" w:space="0" w:color="C8D2DF"/>
            </w:tcBorders>
            <w:shd w:val="clear" w:color="auto" w:fill="FFFFFF"/>
            <w:tcMar>
              <w:top w:w="80" w:type="dxa"/>
              <w:left w:w="100" w:type="dxa"/>
              <w:bottom w:w="80" w:type="dxa"/>
              <w:right w:w="100" w:type="dxa"/>
            </w:tcMar>
          </w:tcPr>
          <w:p w14:paraId="51045964" w14:textId="77777777" w:rsidR="00FE38AF" w:rsidRDefault="00000000">
            <w:pPr>
              <w:spacing w:line="360" w:lineRule="auto"/>
            </w:pPr>
            <w:proofErr w:type="spellStart"/>
            <w:r>
              <w:rPr>
                <w:b/>
                <w:bCs/>
                <w:color w:val="111111"/>
                <w:sz w:val="20"/>
                <w:szCs w:val="20"/>
              </w:rPr>
              <w:t>numpy</w:t>
            </w:r>
            <w:proofErr w:type="spellEnd"/>
          </w:p>
        </w:tc>
        <w:tc>
          <w:tcPr>
            <w:tcW w:w="2000" w:type="dxa"/>
            <w:tcBorders>
              <w:top w:val="single" w:sz="4" w:space="0" w:color="C8D2DF"/>
              <w:left w:val="single" w:sz="4" w:space="0" w:color="C8D2DF"/>
              <w:bottom w:val="single" w:sz="4" w:space="0" w:color="C8D2DF"/>
              <w:right w:val="single" w:sz="4" w:space="0" w:color="C8D2DF"/>
            </w:tcBorders>
            <w:shd w:val="clear" w:color="auto" w:fill="F4F6F9"/>
            <w:tcMar>
              <w:top w:w="80" w:type="dxa"/>
              <w:left w:w="100" w:type="dxa"/>
              <w:bottom w:w="80" w:type="dxa"/>
              <w:right w:w="100" w:type="dxa"/>
            </w:tcMar>
          </w:tcPr>
          <w:p w14:paraId="2EE63403" w14:textId="77777777" w:rsidR="00FE38AF" w:rsidRDefault="00000000">
            <w:pPr>
              <w:spacing w:line="360" w:lineRule="auto"/>
            </w:pPr>
            <w:r>
              <w:rPr>
                <w:color w:val="111111"/>
                <w:sz w:val="20"/>
                <w:szCs w:val="20"/>
              </w:rPr>
              <w:t>1.26.2</w:t>
            </w:r>
          </w:p>
        </w:tc>
        <w:tc>
          <w:tcPr>
            <w:tcW w:w="4226" w:type="dxa"/>
            <w:tcBorders>
              <w:top w:val="single" w:sz="4" w:space="0" w:color="C8D2DF"/>
              <w:left w:val="single" w:sz="4" w:space="0" w:color="C8D2DF"/>
              <w:bottom w:val="single" w:sz="4" w:space="0" w:color="C8D2DF"/>
              <w:right w:val="single" w:sz="4" w:space="0" w:color="C8D2DF"/>
            </w:tcBorders>
            <w:shd w:val="clear" w:color="auto" w:fill="FFFFFF"/>
            <w:tcMar>
              <w:top w:w="80" w:type="dxa"/>
              <w:left w:w="100" w:type="dxa"/>
              <w:bottom w:w="80" w:type="dxa"/>
              <w:right w:w="100" w:type="dxa"/>
            </w:tcMar>
          </w:tcPr>
          <w:p w14:paraId="50661308" w14:textId="77777777" w:rsidR="00FE38AF" w:rsidRDefault="00000000">
            <w:pPr>
              <w:spacing w:line="360" w:lineRule="auto"/>
            </w:pPr>
            <w:r>
              <w:rPr>
                <w:color w:val="111111"/>
                <w:sz w:val="20"/>
                <w:szCs w:val="20"/>
              </w:rPr>
              <w:t>Numerical array operations</w:t>
            </w:r>
          </w:p>
        </w:tc>
      </w:tr>
      <w:tr w:rsidR="00FE38AF" w14:paraId="0CD49575" w14:textId="77777777">
        <w:tblPrEx>
          <w:tblCellMar>
            <w:top w:w="0" w:type="dxa"/>
            <w:bottom w:w="0" w:type="dxa"/>
          </w:tblCellMar>
        </w:tblPrEx>
        <w:tc>
          <w:tcPr>
            <w:tcW w:w="2800" w:type="dxa"/>
            <w:tcBorders>
              <w:top w:val="single" w:sz="4" w:space="0" w:color="C8D2DF"/>
              <w:left w:val="single" w:sz="4" w:space="0" w:color="C8D2DF"/>
              <w:bottom w:val="single" w:sz="4" w:space="0" w:color="C8D2DF"/>
              <w:right w:val="single" w:sz="4" w:space="0" w:color="C8D2DF"/>
            </w:tcBorders>
            <w:shd w:val="clear" w:color="auto" w:fill="F4F6F9"/>
            <w:tcMar>
              <w:top w:w="80" w:type="dxa"/>
              <w:left w:w="100" w:type="dxa"/>
              <w:bottom w:w="80" w:type="dxa"/>
              <w:right w:w="100" w:type="dxa"/>
            </w:tcMar>
          </w:tcPr>
          <w:p w14:paraId="3003A35E" w14:textId="77777777" w:rsidR="00FE38AF" w:rsidRDefault="00000000">
            <w:pPr>
              <w:spacing w:line="360" w:lineRule="auto"/>
            </w:pPr>
            <w:r>
              <w:rPr>
                <w:b/>
                <w:bCs/>
                <w:color w:val="111111"/>
                <w:sz w:val="20"/>
                <w:szCs w:val="20"/>
              </w:rPr>
              <w:t>matplotlib</w:t>
            </w:r>
          </w:p>
        </w:tc>
        <w:tc>
          <w:tcPr>
            <w:tcW w:w="2000" w:type="dxa"/>
            <w:tcBorders>
              <w:top w:val="single" w:sz="4" w:space="0" w:color="C8D2DF"/>
              <w:left w:val="single" w:sz="4" w:space="0" w:color="C8D2DF"/>
              <w:bottom w:val="single" w:sz="4" w:space="0" w:color="C8D2DF"/>
              <w:right w:val="single" w:sz="4" w:space="0" w:color="C8D2DF"/>
            </w:tcBorders>
            <w:shd w:val="clear" w:color="auto" w:fill="FFFFFF"/>
            <w:tcMar>
              <w:top w:w="80" w:type="dxa"/>
              <w:left w:w="100" w:type="dxa"/>
              <w:bottom w:w="80" w:type="dxa"/>
              <w:right w:w="100" w:type="dxa"/>
            </w:tcMar>
          </w:tcPr>
          <w:p w14:paraId="169F1F7F" w14:textId="77777777" w:rsidR="00FE38AF" w:rsidRDefault="00000000">
            <w:pPr>
              <w:spacing w:line="360" w:lineRule="auto"/>
            </w:pPr>
            <w:r>
              <w:rPr>
                <w:color w:val="111111"/>
                <w:sz w:val="20"/>
                <w:szCs w:val="20"/>
              </w:rPr>
              <w:t>3.8.2</w:t>
            </w:r>
          </w:p>
        </w:tc>
        <w:tc>
          <w:tcPr>
            <w:tcW w:w="4226" w:type="dxa"/>
            <w:tcBorders>
              <w:top w:val="single" w:sz="4" w:space="0" w:color="C8D2DF"/>
              <w:left w:val="single" w:sz="4" w:space="0" w:color="C8D2DF"/>
              <w:bottom w:val="single" w:sz="4" w:space="0" w:color="C8D2DF"/>
              <w:right w:val="single" w:sz="4" w:space="0" w:color="C8D2DF"/>
            </w:tcBorders>
            <w:shd w:val="clear" w:color="auto" w:fill="F4F6F9"/>
            <w:tcMar>
              <w:top w:w="80" w:type="dxa"/>
              <w:left w:w="100" w:type="dxa"/>
              <w:bottom w:w="80" w:type="dxa"/>
              <w:right w:w="100" w:type="dxa"/>
            </w:tcMar>
          </w:tcPr>
          <w:p w14:paraId="71881683" w14:textId="77777777" w:rsidR="00FE38AF" w:rsidRDefault="00000000">
            <w:pPr>
              <w:spacing w:line="360" w:lineRule="auto"/>
            </w:pPr>
            <w:r>
              <w:rPr>
                <w:color w:val="111111"/>
                <w:sz w:val="20"/>
                <w:szCs w:val="20"/>
              </w:rPr>
              <w:t xml:space="preserve">Results </w:t>
            </w:r>
            <w:proofErr w:type="spellStart"/>
            <w:r>
              <w:rPr>
                <w:color w:val="111111"/>
                <w:sz w:val="20"/>
                <w:szCs w:val="20"/>
              </w:rPr>
              <w:t>visualisation</w:t>
            </w:r>
            <w:proofErr w:type="spellEnd"/>
            <w:r>
              <w:rPr>
                <w:color w:val="111111"/>
                <w:sz w:val="20"/>
                <w:szCs w:val="20"/>
              </w:rPr>
              <w:t xml:space="preserve"> and chart generation</w:t>
            </w:r>
          </w:p>
        </w:tc>
      </w:tr>
      <w:tr w:rsidR="00FE38AF" w14:paraId="7DADA7B5" w14:textId="77777777">
        <w:tblPrEx>
          <w:tblCellMar>
            <w:top w:w="0" w:type="dxa"/>
            <w:bottom w:w="0" w:type="dxa"/>
          </w:tblCellMar>
        </w:tblPrEx>
        <w:tc>
          <w:tcPr>
            <w:tcW w:w="2800" w:type="dxa"/>
            <w:tcBorders>
              <w:top w:val="single" w:sz="4" w:space="0" w:color="C8D2DF"/>
              <w:left w:val="single" w:sz="4" w:space="0" w:color="C8D2DF"/>
              <w:bottom w:val="single" w:sz="4" w:space="0" w:color="C8D2DF"/>
              <w:right w:val="single" w:sz="4" w:space="0" w:color="C8D2DF"/>
            </w:tcBorders>
            <w:shd w:val="clear" w:color="auto" w:fill="FFFFFF"/>
            <w:tcMar>
              <w:top w:w="80" w:type="dxa"/>
              <w:left w:w="100" w:type="dxa"/>
              <w:bottom w:w="80" w:type="dxa"/>
              <w:right w:w="100" w:type="dxa"/>
            </w:tcMar>
          </w:tcPr>
          <w:p w14:paraId="52765257" w14:textId="77777777" w:rsidR="00FE38AF" w:rsidRDefault="00000000">
            <w:pPr>
              <w:spacing w:line="360" w:lineRule="auto"/>
            </w:pPr>
            <w:r>
              <w:rPr>
                <w:b/>
                <w:bCs/>
                <w:color w:val="111111"/>
                <w:sz w:val="20"/>
                <w:szCs w:val="20"/>
              </w:rPr>
              <w:t>Random seed</w:t>
            </w:r>
          </w:p>
        </w:tc>
        <w:tc>
          <w:tcPr>
            <w:tcW w:w="2000" w:type="dxa"/>
            <w:tcBorders>
              <w:top w:val="single" w:sz="4" w:space="0" w:color="C8D2DF"/>
              <w:left w:val="single" w:sz="4" w:space="0" w:color="C8D2DF"/>
              <w:bottom w:val="single" w:sz="4" w:space="0" w:color="C8D2DF"/>
              <w:right w:val="single" w:sz="4" w:space="0" w:color="C8D2DF"/>
            </w:tcBorders>
            <w:shd w:val="clear" w:color="auto" w:fill="F4F6F9"/>
            <w:tcMar>
              <w:top w:w="80" w:type="dxa"/>
              <w:left w:w="100" w:type="dxa"/>
              <w:bottom w:w="80" w:type="dxa"/>
              <w:right w:w="100" w:type="dxa"/>
            </w:tcMar>
          </w:tcPr>
          <w:p w14:paraId="2041AD39" w14:textId="77777777" w:rsidR="00FE38AF" w:rsidRDefault="00000000">
            <w:pPr>
              <w:spacing w:line="360" w:lineRule="auto"/>
            </w:pPr>
            <w:r>
              <w:rPr>
                <w:color w:val="111111"/>
                <w:sz w:val="20"/>
                <w:szCs w:val="20"/>
              </w:rPr>
              <w:t>42 (fixed)</w:t>
            </w:r>
          </w:p>
        </w:tc>
        <w:tc>
          <w:tcPr>
            <w:tcW w:w="4226" w:type="dxa"/>
            <w:tcBorders>
              <w:top w:val="single" w:sz="4" w:space="0" w:color="C8D2DF"/>
              <w:left w:val="single" w:sz="4" w:space="0" w:color="C8D2DF"/>
              <w:bottom w:val="single" w:sz="4" w:space="0" w:color="C8D2DF"/>
              <w:right w:val="single" w:sz="4" w:space="0" w:color="C8D2DF"/>
            </w:tcBorders>
            <w:shd w:val="clear" w:color="auto" w:fill="FFFFFF"/>
            <w:tcMar>
              <w:top w:w="80" w:type="dxa"/>
              <w:left w:w="100" w:type="dxa"/>
              <w:bottom w:w="80" w:type="dxa"/>
              <w:right w:w="100" w:type="dxa"/>
            </w:tcMar>
          </w:tcPr>
          <w:p w14:paraId="129F207A" w14:textId="77777777" w:rsidR="00FE38AF" w:rsidRDefault="00000000">
            <w:pPr>
              <w:spacing w:line="360" w:lineRule="auto"/>
            </w:pPr>
            <w:r>
              <w:rPr>
                <w:color w:val="111111"/>
                <w:sz w:val="20"/>
                <w:szCs w:val="20"/>
              </w:rPr>
              <w:t>Applied at all stochastic operations for full reproducibility</w:t>
            </w:r>
          </w:p>
        </w:tc>
      </w:tr>
    </w:tbl>
    <w:p w14:paraId="0A07BE39" w14:textId="77777777" w:rsidR="00FE38AF" w:rsidRDefault="00000000">
      <w:pPr>
        <w:spacing w:before="60" w:after="240" w:line="360" w:lineRule="auto"/>
        <w:jc w:val="center"/>
      </w:pPr>
      <w:r>
        <w:rPr>
          <w:i/>
          <w:iCs/>
          <w:color w:val="555555"/>
          <w:sz w:val="20"/>
          <w:szCs w:val="20"/>
        </w:rPr>
        <w:t>Table 3.4: Tools and Technical Environment</w:t>
      </w:r>
    </w:p>
    <w:p w14:paraId="661940BC" w14:textId="77777777" w:rsidR="00FE38AF" w:rsidRDefault="00FE38AF">
      <w:pPr>
        <w:spacing w:after="160"/>
      </w:pPr>
    </w:p>
    <w:p w14:paraId="71D556B1" w14:textId="77777777" w:rsidR="00FE38AF" w:rsidRDefault="00000000">
      <w:pPr>
        <w:spacing w:after="160" w:line="360" w:lineRule="auto"/>
        <w:jc w:val="both"/>
      </w:pPr>
      <w:r>
        <w:t>All experiments are conducted on a standard password-protected personal computer running a current version of the Windows or Linux operating system. No cloud computing resources or proprietary computing environments are required. The experimental code, datasets, and results files are stored locally in accordance with USW data management guidelines and will be submitted as part of the project artefact.</w:t>
      </w:r>
    </w:p>
    <w:p w14:paraId="206BC1CF" w14:textId="77777777" w:rsidR="00FE38AF" w:rsidRDefault="00000000">
      <w:pPr>
        <w:spacing w:before="360" w:after="160" w:line="360" w:lineRule="auto"/>
      </w:pPr>
      <w:r>
        <w:rPr>
          <w:b/>
          <w:bCs/>
        </w:rPr>
        <w:t>3.11 Reproducibility and Validity</w:t>
      </w:r>
    </w:p>
    <w:p w14:paraId="60F6DF44" w14:textId="77777777" w:rsidR="00FE38AF" w:rsidRDefault="00000000">
      <w:pPr>
        <w:spacing w:before="240" w:after="120" w:line="360" w:lineRule="auto"/>
      </w:pPr>
      <w:r>
        <w:rPr>
          <w:b/>
          <w:bCs/>
          <w:i/>
          <w:iCs/>
        </w:rPr>
        <w:t>3.11.1 Reproducibility Measures</w:t>
      </w:r>
    </w:p>
    <w:p w14:paraId="79E00EF6" w14:textId="77777777" w:rsidR="00FE38AF" w:rsidRDefault="00000000">
      <w:pPr>
        <w:spacing w:after="160" w:line="360" w:lineRule="auto"/>
        <w:jc w:val="both"/>
      </w:pPr>
      <w:r>
        <w:t xml:space="preserve">Reproducibility is ensured through four measures. First, all experimental code is implemented in Python using publicly available open-source libraries, enabling independent replication by any researcher with access to the same software environment. Second, all datasets used are publicly available under their published terms and accessed from established repositories (the UCI Machine Learning Repository and the ProPublica COMPAS data). Third, a fixed random seed of 42 is applied at every stage involving stochastic processes, including dataset splitting, </w:t>
      </w:r>
      <w:r>
        <w:lastRenderedPageBreak/>
        <w:t xml:space="preserve">model </w:t>
      </w:r>
      <w:proofErr w:type="spellStart"/>
      <w:r>
        <w:t>initialisation</w:t>
      </w:r>
      <w:proofErr w:type="spellEnd"/>
      <w:r>
        <w:t xml:space="preserve">, and postprocessing threshold </w:t>
      </w:r>
      <w:proofErr w:type="spellStart"/>
      <w:r>
        <w:t>optimisation</w:t>
      </w:r>
      <w:proofErr w:type="spellEnd"/>
      <w:r>
        <w:t xml:space="preserve">. Fourth, all hyperparameter choices, including the repair level for the Disparate Impact Remover (0.8) and the </w:t>
      </w:r>
      <w:proofErr w:type="gramStart"/>
      <w:r>
        <w:t>eta</w:t>
      </w:r>
      <w:proofErr w:type="gramEnd"/>
      <w:r>
        <w:t xml:space="preserve"> value for the Prejudice Remover (25.0), are documented in Chapter 4 and in the submitted code.</w:t>
      </w:r>
    </w:p>
    <w:p w14:paraId="23AAFCB6" w14:textId="77777777" w:rsidR="00FE38AF" w:rsidRDefault="00000000">
      <w:pPr>
        <w:spacing w:before="240" w:after="120" w:line="360" w:lineRule="auto"/>
      </w:pPr>
      <w:r>
        <w:rPr>
          <w:b/>
          <w:bCs/>
          <w:i/>
          <w:iCs/>
        </w:rPr>
        <w:t>3.11.2 Internal Validity</w:t>
      </w:r>
    </w:p>
    <w:p w14:paraId="71ADAA01" w14:textId="77777777" w:rsidR="00FE38AF" w:rsidRDefault="00000000">
      <w:pPr>
        <w:spacing w:after="160" w:line="360" w:lineRule="auto"/>
        <w:jc w:val="both"/>
      </w:pPr>
      <w:r>
        <w:t>Internal validity is maintained by holding all variables except the mitigation technique constant across experimental conditions. The same dataset, the same classifier architecture, the same train/test split ratio, the same random seed, and the same evaluation protocol are used for all five conditions within each dataset. This ensures that observed differences in fairness metric outcomes can be causally attributed to the mitigation technique applied rather than to confounding variables.</w:t>
      </w:r>
    </w:p>
    <w:p w14:paraId="2E5FEB0A" w14:textId="77777777" w:rsidR="00FE38AF" w:rsidRDefault="00000000">
      <w:pPr>
        <w:spacing w:before="240" w:after="120" w:line="360" w:lineRule="auto"/>
      </w:pPr>
      <w:r>
        <w:rPr>
          <w:b/>
          <w:bCs/>
          <w:i/>
          <w:iCs/>
        </w:rPr>
        <w:t>3.11.3 External Validity</w:t>
      </w:r>
    </w:p>
    <w:p w14:paraId="30C8B015" w14:textId="77777777" w:rsidR="00FE38AF" w:rsidRDefault="00000000">
      <w:pPr>
        <w:spacing w:after="160" w:line="360" w:lineRule="auto"/>
        <w:jc w:val="both"/>
      </w:pPr>
      <w:r>
        <w:t xml:space="preserve">External validity is limited by two factors. First, findings are specific to logistic regression as the base classifier and may not </w:t>
      </w:r>
      <w:proofErr w:type="spellStart"/>
      <w:r>
        <w:t>generalise</w:t>
      </w:r>
      <w:proofErr w:type="spellEnd"/>
      <w:r>
        <w:t xml:space="preserve"> to other classifier types such as random forests or neural networks. Second, findings are specific to the two datasets used and may not </w:t>
      </w:r>
      <w:proofErr w:type="spellStart"/>
      <w:r>
        <w:t>generalise</w:t>
      </w:r>
      <w:proofErr w:type="spellEnd"/>
      <w:r>
        <w:t xml:space="preserve"> to datasets from other domains or time periods. These limitations are explicitly acknowledged in Chapter 6, where they inform the recommendations for future work.</w:t>
      </w:r>
    </w:p>
    <w:p w14:paraId="1E17DA1E" w14:textId="77777777" w:rsidR="00FE38AF" w:rsidRDefault="00000000">
      <w:pPr>
        <w:spacing w:before="360" w:after="160" w:line="360" w:lineRule="auto"/>
      </w:pPr>
      <w:r>
        <w:rPr>
          <w:b/>
          <w:bCs/>
        </w:rPr>
        <w:t>3.12 Ethical Considerations</w:t>
      </w:r>
    </w:p>
    <w:p w14:paraId="14176520" w14:textId="77777777" w:rsidR="00FE38AF" w:rsidRDefault="00000000">
      <w:pPr>
        <w:spacing w:after="160" w:line="360" w:lineRule="auto"/>
        <w:jc w:val="both"/>
      </w:pPr>
      <w:r>
        <w:t xml:space="preserve">This study does not involve human participants at any stage. All data used </w:t>
      </w:r>
      <w:proofErr w:type="gramStart"/>
      <w:r>
        <w:t>are</w:t>
      </w:r>
      <w:proofErr w:type="gramEnd"/>
      <w:r>
        <w:t xml:space="preserve"> publicly available, </w:t>
      </w:r>
      <w:proofErr w:type="spellStart"/>
      <w:r>
        <w:t>anonymised</w:t>
      </w:r>
      <w:proofErr w:type="spellEnd"/>
      <w:r>
        <w:t xml:space="preserve"> benchmark datasets accessed under their published terms. No personal data of identifiable living individuals is collected, processed, or stored at any point during the research. The study received low-risk ethics clearance from the University of South Wales Faculty Research Ethics Committee prior to the commencement of research activities, in accordance with the USW Research Ethics Policy.</w:t>
      </w:r>
    </w:p>
    <w:p w14:paraId="608F4740" w14:textId="77777777" w:rsidR="00FE38AF" w:rsidRDefault="00000000">
      <w:pPr>
        <w:spacing w:after="160" w:line="360" w:lineRule="auto"/>
        <w:jc w:val="both"/>
      </w:pPr>
      <w:r>
        <w:t xml:space="preserve">Two ethical considerations specific to the topic of the research are acknowledged. First, the knowledge generated by this study about the effectiveness and limitations of bias mitigation techniques could, in principle, be used by system designers to evade fairness audits rather than to genuinely improve fairness. This dual-use concern is discussed in Chapter 6. Second, the fairness metrics used in this study </w:t>
      </w:r>
      <w:proofErr w:type="spellStart"/>
      <w:r>
        <w:t>operationalise</w:t>
      </w:r>
      <w:proofErr w:type="spellEnd"/>
      <w:r>
        <w:t xml:space="preserve"> contested normative definitions of fairness. The selection of metrics embeds implicit value judgements, and the study is transparent about this by presenting multiple complementary metrics rather than a single authoritative measure. </w:t>
      </w:r>
      <w:proofErr w:type="gramStart"/>
      <w:r>
        <w:lastRenderedPageBreak/>
        <w:t>The reporting of</w:t>
      </w:r>
      <w:proofErr w:type="gramEnd"/>
      <w:r>
        <w:t xml:space="preserve"> results is designed to inform rather than to advocate for any </w:t>
      </w:r>
      <w:proofErr w:type="gramStart"/>
      <w:r>
        <w:t>particular policy</w:t>
      </w:r>
      <w:proofErr w:type="gramEnd"/>
      <w:r>
        <w:t xml:space="preserve"> position regarding protected attributes in employment decision-making.</w:t>
      </w:r>
    </w:p>
    <w:p w14:paraId="73AD5F27" w14:textId="77777777" w:rsidR="00FE38AF" w:rsidRDefault="00000000">
      <w:pPr>
        <w:spacing w:before="360" w:after="160" w:line="360" w:lineRule="auto"/>
      </w:pPr>
      <w:r>
        <w:rPr>
          <w:b/>
          <w:bCs/>
        </w:rPr>
        <w:t>3.13 Chapter Summary</w:t>
      </w:r>
    </w:p>
    <w:p w14:paraId="5D285380" w14:textId="77777777" w:rsidR="00FE38AF" w:rsidRDefault="00000000">
      <w:pPr>
        <w:spacing w:after="160" w:line="360" w:lineRule="auto"/>
        <w:jc w:val="both"/>
      </w:pPr>
      <w:r>
        <w:t>This chapter has presented and justified the full methodological framework for the comparative experimental study of bias mitigation techniques in AI driven hiring algorithms. A positivist philosophy and deductive research approach were adopted, and the research design was established as a controlled comparative experiment with five experimental conditions applied to two public benchmark datasets. The selection of datasets, classifier, mitigation techniques, fairness metrics, and tools was justified with reference to the theoretical framework established in Chapter 2 and to the methodological standards of the algorithmic fairness research community. Reproducibility measures, validity considerations, and ethical clearance were documented. Chapter 4 now presents the full implementation of the experimental pipeline, including the preprocessing steps, algorithm configurations, and code structure.</w:t>
      </w:r>
    </w:p>
    <w:p w14:paraId="298C7086" w14:textId="77777777" w:rsidR="005B5C3A" w:rsidRDefault="005B5C3A">
      <w:pPr>
        <w:spacing w:after="160" w:line="360" w:lineRule="auto"/>
        <w:jc w:val="both"/>
      </w:pPr>
    </w:p>
    <w:p w14:paraId="3736E7CD" w14:textId="77777777" w:rsidR="005B5C3A" w:rsidRDefault="005B5C3A">
      <w:pPr>
        <w:spacing w:after="160" w:line="360" w:lineRule="auto"/>
        <w:jc w:val="both"/>
      </w:pPr>
    </w:p>
    <w:p w14:paraId="2A53D95C" w14:textId="77777777" w:rsidR="005B5C3A" w:rsidRDefault="005B5C3A">
      <w:pPr>
        <w:spacing w:after="160" w:line="360" w:lineRule="auto"/>
        <w:jc w:val="both"/>
      </w:pPr>
    </w:p>
    <w:p w14:paraId="7187B971" w14:textId="77777777" w:rsidR="005B5C3A" w:rsidRDefault="005B5C3A">
      <w:pPr>
        <w:spacing w:after="160" w:line="360" w:lineRule="auto"/>
        <w:jc w:val="both"/>
      </w:pPr>
    </w:p>
    <w:p w14:paraId="41B5C478" w14:textId="77777777" w:rsidR="005B5C3A" w:rsidRDefault="005B5C3A">
      <w:pPr>
        <w:spacing w:after="160" w:line="360" w:lineRule="auto"/>
        <w:jc w:val="both"/>
      </w:pPr>
    </w:p>
    <w:p w14:paraId="0C76CEBA" w14:textId="77777777" w:rsidR="005B5C3A" w:rsidRDefault="005B5C3A">
      <w:pPr>
        <w:spacing w:after="160" w:line="360" w:lineRule="auto"/>
        <w:jc w:val="both"/>
      </w:pPr>
    </w:p>
    <w:p w14:paraId="30354072" w14:textId="77777777" w:rsidR="005B5C3A" w:rsidRDefault="005B5C3A">
      <w:pPr>
        <w:spacing w:after="160" w:line="360" w:lineRule="auto"/>
        <w:jc w:val="both"/>
      </w:pPr>
    </w:p>
    <w:p w14:paraId="4F93ECE4" w14:textId="77777777" w:rsidR="005B5C3A" w:rsidRDefault="005B5C3A">
      <w:pPr>
        <w:spacing w:after="160" w:line="360" w:lineRule="auto"/>
        <w:jc w:val="both"/>
      </w:pPr>
    </w:p>
    <w:p w14:paraId="39083F3E" w14:textId="77777777" w:rsidR="005B5C3A" w:rsidRDefault="005B5C3A">
      <w:pPr>
        <w:spacing w:after="160" w:line="360" w:lineRule="auto"/>
        <w:jc w:val="both"/>
      </w:pPr>
    </w:p>
    <w:p w14:paraId="1B6BC199" w14:textId="77777777" w:rsidR="005B5C3A" w:rsidRDefault="005B5C3A">
      <w:pPr>
        <w:spacing w:after="160" w:line="360" w:lineRule="auto"/>
        <w:jc w:val="both"/>
      </w:pPr>
    </w:p>
    <w:p w14:paraId="54CA5973" w14:textId="77777777" w:rsidR="005B5C3A" w:rsidRDefault="005B5C3A">
      <w:pPr>
        <w:spacing w:after="160" w:line="360" w:lineRule="auto"/>
        <w:jc w:val="both"/>
      </w:pPr>
    </w:p>
    <w:p w14:paraId="4952063E" w14:textId="77777777" w:rsidR="005B5C3A" w:rsidRDefault="005B5C3A">
      <w:pPr>
        <w:spacing w:after="160" w:line="360" w:lineRule="auto"/>
        <w:jc w:val="both"/>
      </w:pPr>
    </w:p>
    <w:p w14:paraId="56FBF851" w14:textId="77777777" w:rsidR="005B5C3A" w:rsidRDefault="005B5C3A">
      <w:pPr>
        <w:spacing w:after="160" w:line="360" w:lineRule="auto"/>
        <w:jc w:val="both"/>
      </w:pPr>
    </w:p>
    <w:p w14:paraId="6F184AE9" w14:textId="77777777" w:rsidR="00FE38AF" w:rsidRDefault="00000000">
      <w:pPr>
        <w:pBdr>
          <w:bottom w:val="single" w:sz="4" w:space="1" w:color="000000"/>
        </w:pBdr>
        <w:spacing w:before="600" w:after="240" w:line="360" w:lineRule="auto"/>
      </w:pPr>
      <w:r>
        <w:rPr>
          <w:b/>
          <w:bCs/>
          <w:sz w:val="28"/>
          <w:szCs w:val="28"/>
        </w:rPr>
        <w:lastRenderedPageBreak/>
        <w:t>References</w:t>
      </w:r>
    </w:p>
    <w:p w14:paraId="11FEBEB0" w14:textId="77777777" w:rsidR="00FE38AF" w:rsidRPr="005B5C3A" w:rsidRDefault="00000000" w:rsidP="005B5C3A">
      <w:pPr>
        <w:spacing w:before="80" w:after="80" w:line="360" w:lineRule="auto"/>
        <w:ind w:left="480" w:hanging="480"/>
        <w:rPr>
          <w:sz w:val="32"/>
          <w:szCs w:val="32"/>
        </w:rPr>
      </w:pPr>
      <w:r w:rsidRPr="005B5C3A">
        <w:t>Angwin, J., Larson, J., Mattu, S. and Kirchner, L. (2016) Machine bias. ProPublica, 23 May. Available at: https://www.propublica.org/article/machine-bias-risk-assessments-in-criminal-sentencing [Accessed 1 June 2026].</w:t>
      </w:r>
    </w:p>
    <w:p w14:paraId="74E62B18" w14:textId="77777777" w:rsidR="00FE38AF" w:rsidRPr="005B5C3A" w:rsidRDefault="00000000" w:rsidP="005B5C3A">
      <w:pPr>
        <w:spacing w:before="80" w:after="80" w:line="360" w:lineRule="auto"/>
        <w:ind w:left="480" w:hanging="480"/>
        <w:rPr>
          <w:sz w:val="32"/>
          <w:szCs w:val="32"/>
        </w:rPr>
      </w:pPr>
      <w:r w:rsidRPr="005B5C3A">
        <w:t>Barocas, S., Hardt, M. and Moritz, H. (2023) Fairness and Machine Learning: Limitations and Opportunities. Cambridge, MA: MIT Press. Available at: https://fairmlbook.org [Accessed 1 June 2026].</w:t>
      </w:r>
    </w:p>
    <w:p w14:paraId="3D102AA9" w14:textId="77777777" w:rsidR="00FE38AF" w:rsidRPr="005B5C3A" w:rsidRDefault="00000000" w:rsidP="005B5C3A">
      <w:pPr>
        <w:spacing w:before="80" w:after="80" w:line="360" w:lineRule="auto"/>
        <w:ind w:left="480" w:hanging="480"/>
        <w:rPr>
          <w:sz w:val="32"/>
          <w:szCs w:val="32"/>
        </w:rPr>
      </w:pPr>
      <w:r w:rsidRPr="005B5C3A">
        <w:rPr>
          <w:lang w:val="it-IT"/>
        </w:rPr>
        <w:t xml:space="preserve">Bellamy, R.K.E. et al. </w:t>
      </w:r>
      <w:r w:rsidRPr="005B5C3A">
        <w:t>(2019) 'AI Fairness 360: An extensible toolkit for detecting and mitigating algorithmic bias', IBM Journal of Research and Development, 63(4/5), pp. 4:1–4:15. doi:10.1147/JRD.2019.2942287.</w:t>
      </w:r>
    </w:p>
    <w:p w14:paraId="30416173" w14:textId="77777777" w:rsidR="00FE38AF" w:rsidRPr="005B5C3A" w:rsidRDefault="00000000" w:rsidP="005B5C3A">
      <w:pPr>
        <w:spacing w:before="80" w:after="80" w:line="360" w:lineRule="auto"/>
        <w:ind w:left="480" w:hanging="480"/>
        <w:rPr>
          <w:sz w:val="32"/>
          <w:szCs w:val="32"/>
        </w:rPr>
      </w:pPr>
      <w:r w:rsidRPr="005B5C3A">
        <w:t xml:space="preserve">Bird, S. et al. (2020) </w:t>
      </w:r>
      <w:proofErr w:type="spellStart"/>
      <w:r w:rsidRPr="005B5C3A">
        <w:t>Fairlearn</w:t>
      </w:r>
      <w:proofErr w:type="spellEnd"/>
      <w:r w:rsidRPr="005B5C3A">
        <w:t>: A Toolkit for Assessing and Improving Fairness in AI. Microsoft Research. Available at: https://fairlearn.org [Accessed 1 June 2026].</w:t>
      </w:r>
    </w:p>
    <w:p w14:paraId="57443A43" w14:textId="77777777" w:rsidR="00FE38AF" w:rsidRPr="005B5C3A" w:rsidRDefault="00000000" w:rsidP="005B5C3A">
      <w:pPr>
        <w:spacing w:before="80" w:after="80" w:line="360" w:lineRule="auto"/>
        <w:ind w:left="480" w:hanging="480"/>
        <w:rPr>
          <w:sz w:val="32"/>
          <w:szCs w:val="32"/>
        </w:rPr>
      </w:pPr>
      <w:proofErr w:type="spellStart"/>
      <w:r w:rsidRPr="005B5C3A">
        <w:t>Chouldechova</w:t>
      </w:r>
      <w:proofErr w:type="spellEnd"/>
      <w:r w:rsidRPr="005B5C3A">
        <w:t>, A. (2017) 'Fair prediction with disparate impact: A study of bias in recidivism prediction instruments', Big Data, 5(2), pp. 153–163. doi:10.1089/big.2016.0047.</w:t>
      </w:r>
    </w:p>
    <w:p w14:paraId="6F7C1319" w14:textId="77777777" w:rsidR="00FE38AF" w:rsidRPr="005B5C3A" w:rsidRDefault="00000000" w:rsidP="005B5C3A">
      <w:pPr>
        <w:spacing w:before="80" w:after="80" w:line="360" w:lineRule="auto"/>
        <w:ind w:left="480" w:hanging="480"/>
        <w:rPr>
          <w:sz w:val="32"/>
          <w:szCs w:val="32"/>
        </w:rPr>
      </w:pPr>
      <w:r w:rsidRPr="005B5C3A">
        <w:t>Dua, D. and Graff, C. (2019) UCI Machine Learning Repository. Irvine, CA: University of California. Available at: https://archive.ics.uci.edu [Accessed 1 June 2026].</w:t>
      </w:r>
    </w:p>
    <w:p w14:paraId="05F5A278" w14:textId="77777777" w:rsidR="00FE38AF" w:rsidRPr="005B5C3A" w:rsidRDefault="00000000" w:rsidP="005B5C3A">
      <w:pPr>
        <w:spacing w:before="80" w:after="80" w:line="360" w:lineRule="auto"/>
        <w:ind w:left="480" w:hanging="480"/>
        <w:rPr>
          <w:sz w:val="32"/>
          <w:szCs w:val="32"/>
        </w:rPr>
      </w:pPr>
      <w:r w:rsidRPr="005B5C3A">
        <w:t>Feldman, M., Friedler, S.A., Moeller, J., Scheidegger, C. and Venkatasubramanian, S. (2015) 'Certifying and removing disparate impact', in Proceedings of the 21st ACM SIGKDD International Conference on Knowledge Discovery and Data Mining. New York: ACM, pp. 259–268. doi:10.1145/2783258.2783311.</w:t>
      </w:r>
    </w:p>
    <w:p w14:paraId="3B6676CA" w14:textId="77777777" w:rsidR="00FE38AF" w:rsidRPr="005B5C3A" w:rsidRDefault="00000000" w:rsidP="005B5C3A">
      <w:pPr>
        <w:spacing w:before="80" w:after="80" w:line="360" w:lineRule="auto"/>
        <w:ind w:left="480" w:hanging="480"/>
        <w:rPr>
          <w:sz w:val="32"/>
          <w:szCs w:val="32"/>
        </w:rPr>
      </w:pPr>
      <w:r w:rsidRPr="005B5C3A">
        <w:t>Friedler, S.A., Scheidegger, C., Venkatasubramanian, S., Choudhary, S., Hamilton, E.P. and Roth, D. (2019) 'A comparative study of fairness-enhancing interventions in machine learning', in Proceedings of the 2019 Conference on Fairness, Accountability, and Transparency (FAT* 2019). New York: ACM, pp. 329–338. doi:10.1145/3287560.3287589.</w:t>
      </w:r>
    </w:p>
    <w:p w14:paraId="64E7E8C4" w14:textId="77777777" w:rsidR="00FE38AF" w:rsidRPr="005B5C3A" w:rsidRDefault="00000000" w:rsidP="005B5C3A">
      <w:pPr>
        <w:spacing w:before="80" w:after="80" w:line="360" w:lineRule="auto"/>
        <w:ind w:left="480" w:hanging="480"/>
        <w:rPr>
          <w:sz w:val="32"/>
          <w:szCs w:val="32"/>
        </w:rPr>
      </w:pPr>
      <w:r w:rsidRPr="005B5C3A">
        <w:t>Hardt, M., Price, E. and Srebro, N. (2016) 'Equality of opportunity in supervised learning', in Advances in Neural Information Processing Systems 29 (</w:t>
      </w:r>
      <w:proofErr w:type="spellStart"/>
      <w:r w:rsidRPr="005B5C3A">
        <w:t>NeurIPS</w:t>
      </w:r>
      <w:proofErr w:type="spellEnd"/>
      <w:r w:rsidRPr="005B5C3A">
        <w:t xml:space="preserve"> 2016). Available at: https://arxiv.org/abs/1610.02413 [Accessed 1 June 2026].</w:t>
      </w:r>
    </w:p>
    <w:p w14:paraId="2FD988B0" w14:textId="77777777" w:rsidR="00FE38AF" w:rsidRPr="005B5C3A" w:rsidRDefault="00000000" w:rsidP="005B5C3A">
      <w:pPr>
        <w:spacing w:before="80" w:after="80" w:line="360" w:lineRule="auto"/>
        <w:ind w:left="480" w:hanging="480"/>
        <w:rPr>
          <w:sz w:val="32"/>
          <w:szCs w:val="32"/>
        </w:rPr>
      </w:pPr>
      <w:r w:rsidRPr="005B5C3A">
        <w:t xml:space="preserve">Kamiran, F. and </w:t>
      </w:r>
      <w:proofErr w:type="spellStart"/>
      <w:r w:rsidRPr="005B5C3A">
        <w:t>Calders</w:t>
      </w:r>
      <w:proofErr w:type="spellEnd"/>
      <w:r w:rsidRPr="005B5C3A">
        <w:t>, T. (2012) 'Data preprocessing techniques for classification without discrimination', Knowledge and Information Systems, 33(1), pp. 1–33. doi:10.1007/s10115-011-0463-8.</w:t>
      </w:r>
    </w:p>
    <w:p w14:paraId="475D877A" w14:textId="77777777" w:rsidR="00FE38AF" w:rsidRPr="005B5C3A" w:rsidRDefault="00000000" w:rsidP="005B5C3A">
      <w:pPr>
        <w:spacing w:before="80" w:after="80" w:line="360" w:lineRule="auto"/>
        <w:ind w:left="480" w:hanging="480"/>
        <w:rPr>
          <w:sz w:val="32"/>
          <w:szCs w:val="32"/>
        </w:rPr>
      </w:pPr>
      <w:proofErr w:type="spellStart"/>
      <w:r w:rsidRPr="005B5C3A">
        <w:lastRenderedPageBreak/>
        <w:t>Kamishima</w:t>
      </w:r>
      <w:proofErr w:type="spellEnd"/>
      <w:r w:rsidRPr="005B5C3A">
        <w:t xml:space="preserve">, T., Akaho, S., Asoh, H. and Sakuma, J. (2012) 'Fairness-aware classifier with prejudice remover </w:t>
      </w:r>
      <w:proofErr w:type="spellStart"/>
      <w:r w:rsidRPr="005B5C3A">
        <w:t>regularizer</w:t>
      </w:r>
      <w:proofErr w:type="spellEnd"/>
      <w:r w:rsidRPr="005B5C3A">
        <w:t>', in Proceedings of ECML PKDD 2012. Lecture Notes in Computer Science, vol. 7524. Berlin: Springer, pp. 35–50. doi:10.1007/978-3-642-33486-3_3.</w:t>
      </w:r>
    </w:p>
    <w:p w14:paraId="6A232E5B" w14:textId="77777777" w:rsidR="00FE38AF" w:rsidRPr="005B5C3A" w:rsidRDefault="00000000" w:rsidP="005B5C3A">
      <w:pPr>
        <w:spacing w:before="80" w:after="80" w:line="360" w:lineRule="auto"/>
        <w:ind w:left="480" w:hanging="480"/>
        <w:rPr>
          <w:sz w:val="32"/>
          <w:szCs w:val="32"/>
        </w:rPr>
      </w:pPr>
      <w:r w:rsidRPr="005B5C3A">
        <w:t>Larson, J., Mattu, S., Kirchner, L. and Angwin, J. (2016) How we analyzed the COMPAS recidivism algorithm. ProPublica, 23 May. Available at: https://www.propublica.org/article/how-we-analyzed-the-compas-recidivism-algorithm [Accessed 1 June 2026].</w:t>
      </w:r>
    </w:p>
    <w:p w14:paraId="62B64D7F" w14:textId="77777777" w:rsidR="00FE38AF" w:rsidRPr="005B5C3A" w:rsidRDefault="00000000" w:rsidP="005B5C3A">
      <w:pPr>
        <w:spacing w:before="80" w:after="80" w:line="360" w:lineRule="auto"/>
        <w:ind w:left="480" w:hanging="480"/>
        <w:rPr>
          <w:sz w:val="32"/>
          <w:szCs w:val="32"/>
        </w:rPr>
      </w:pPr>
      <w:r w:rsidRPr="005B5C3A">
        <w:t>Pedregosa, F. et al. (2011) 'Scikit-learn: Machine learning in Python', Journal of Machine Learning Research, 12, pp. 2825–2830.</w:t>
      </w:r>
    </w:p>
    <w:p w14:paraId="06C7E552" w14:textId="77777777" w:rsidR="00FE38AF" w:rsidRPr="005B5C3A" w:rsidRDefault="00000000" w:rsidP="005B5C3A">
      <w:pPr>
        <w:spacing w:before="80" w:after="80" w:line="360" w:lineRule="auto"/>
        <w:ind w:left="480" w:hanging="480"/>
        <w:rPr>
          <w:sz w:val="32"/>
          <w:szCs w:val="32"/>
        </w:rPr>
      </w:pPr>
      <w:proofErr w:type="spellStart"/>
      <w:r w:rsidRPr="005B5C3A">
        <w:t>Pessach</w:t>
      </w:r>
      <w:proofErr w:type="spellEnd"/>
      <w:r w:rsidRPr="005B5C3A">
        <w:t>, D. and Shmueli, E. (2022) 'A review on fairness in machine learning', ACM Computing Surveys, 55(3), Article 51. doi:10.1145/3494672.</w:t>
      </w:r>
    </w:p>
    <w:p w14:paraId="3DB528A5" w14:textId="77777777" w:rsidR="00FE38AF" w:rsidRPr="005B5C3A" w:rsidRDefault="00000000" w:rsidP="005B5C3A">
      <w:pPr>
        <w:spacing w:before="80" w:after="80" w:line="360" w:lineRule="auto"/>
        <w:ind w:left="480" w:hanging="480"/>
        <w:rPr>
          <w:sz w:val="32"/>
          <w:szCs w:val="32"/>
        </w:rPr>
      </w:pPr>
      <w:r w:rsidRPr="005B5C3A">
        <w:t xml:space="preserve">Saunders, M., Lewis, P. and Thornhill, A. (2019) Research Methods for Business Students. 8th </w:t>
      </w:r>
      <w:proofErr w:type="spellStart"/>
      <w:r w:rsidRPr="005B5C3A">
        <w:t>edn</w:t>
      </w:r>
      <w:proofErr w:type="spellEnd"/>
      <w:r w:rsidRPr="005B5C3A">
        <w:t>. Harlow: Pearson Education.</w:t>
      </w:r>
    </w:p>
    <w:sectPr w:rsidR="00FE38AF" w:rsidRPr="005B5C3A">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456E1" w14:textId="77777777" w:rsidR="000F74A0" w:rsidRDefault="000F74A0">
      <w:r>
        <w:separator/>
      </w:r>
    </w:p>
  </w:endnote>
  <w:endnote w:type="continuationSeparator" w:id="0">
    <w:p w14:paraId="1032BA42" w14:textId="77777777" w:rsidR="000F74A0" w:rsidRDefault="000F74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2BD44" w14:textId="77777777" w:rsidR="00FE38AF" w:rsidRDefault="00000000">
    <w:pPr>
      <w:jc w:val="center"/>
    </w:pPr>
    <w:r>
      <w:rPr>
        <w:sz w:val="20"/>
        <w:szCs w:val="20"/>
      </w:rPr>
      <w:fldChar w:fldCharType="begin"/>
    </w:r>
    <w:r>
      <w:rPr>
        <w:sz w:val="20"/>
        <w:szCs w:val="20"/>
      </w:rPr>
      <w:instrText>PAGE</w:instrText>
    </w:r>
    <w:r>
      <w:rPr>
        <w:sz w:val="20"/>
        <w:szCs w:val="20"/>
      </w:rPr>
      <w:fldChar w:fldCharType="separate"/>
    </w:r>
    <w:r w:rsidR="005B5C3A">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496DC" w14:textId="77777777" w:rsidR="000F74A0" w:rsidRDefault="000F74A0">
      <w:r>
        <w:separator/>
      </w:r>
    </w:p>
  </w:footnote>
  <w:footnote w:type="continuationSeparator" w:id="0">
    <w:p w14:paraId="6588626D" w14:textId="77777777" w:rsidR="000F74A0" w:rsidRDefault="000F74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4F7569"/>
    <w:multiLevelType w:val="hybridMultilevel"/>
    <w:tmpl w:val="3D4E44A4"/>
    <w:lvl w:ilvl="0" w:tplc="C43CDAC6">
      <w:start w:val="1"/>
      <w:numFmt w:val="bullet"/>
      <w:lvlText w:val="●"/>
      <w:lvlJc w:val="left"/>
      <w:pPr>
        <w:ind w:left="720" w:hanging="360"/>
      </w:pPr>
    </w:lvl>
    <w:lvl w:ilvl="1" w:tplc="95AC6380">
      <w:start w:val="1"/>
      <w:numFmt w:val="bullet"/>
      <w:lvlText w:val="○"/>
      <w:lvlJc w:val="left"/>
      <w:pPr>
        <w:ind w:left="1440" w:hanging="360"/>
      </w:pPr>
    </w:lvl>
    <w:lvl w:ilvl="2" w:tplc="950A4144">
      <w:start w:val="1"/>
      <w:numFmt w:val="bullet"/>
      <w:lvlText w:val="■"/>
      <w:lvlJc w:val="left"/>
      <w:pPr>
        <w:ind w:left="2160" w:hanging="360"/>
      </w:pPr>
    </w:lvl>
    <w:lvl w:ilvl="3" w:tplc="1CA64C84">
      <w:start w:val="1"/>
      <w:numFmt w:val="bullet"/>
      <w:lvlText w:val="●"/>
      <w:lvlJc w:val="left"/>
      <w:pPr>
        <w:ind w:left="2880" w:hanging="360"/>
      </w:pPr>
    </w:lvl>
    <w:lvl w:ilvl="4" w:tplc="EE12E790">
      <w:start w:val="1"/>
      <w:numFmt w:val="bullet"/>
      <w:lvlText w:val="○"/>
      <w:lvlJc w:val="left"/>
      <w:pPr>
        <w:ind w:left="3600" w:hanging="360"/>
      </w:pPr>
    </w:lvl>
    <w:lvl w:ilvl="5" w:tplc="1974EC0C">
      <w:start w:val="1"/>
      <w:numFmt w:val="bullet"/>
      <w:lvlText w:val="■"/>
      <w:lvlJc w:val="left"/>
      <w:pPr>
        <w:ind w:left="4320" w:hanging="360"/>
      </w:pPr>
    </w:lvl>
    <w:lvl w:ilvl="6" w:tplc="37B0D2F6">
      <w:start w:val="1"/>
      <w:numFmt w:val="bullet"/>
      <w:lvlText w:val="●"/>
      <w:lvlJc w:val="left"/>
      <w:pPr>
        <w:ind w:left="5040" w:hanging="360"/>
      </w:pPr>
    </w:lvl>
    <w:lvl w:ilvl="7" w:tplc="E29AE41C">
      <w:start w:val="1"/>
      <w:numFmt w:val="bullet"/>
      <w:lvlText w:val="●"/>
      <w:lvlJc w:val="left"/>
      <w:pPr>
        <w:ind w:left="5760" w:hanging="360"/>
      </w:pPr>
    </w:lvl>
    <w:lvl w:ilvl="8" w:tplc="BC72E182">
      <w:start w:val="1"/>
      <w:numFmt w:val="bullet"/>
      <w:lvlText w:val="●"/>
      <w:lvlJc w:val="left"/>
      <w:pPr>
        <w:ind w:left="6480" w:hanging="360"/>
      </w:pPr>
    </w:lvl>
  </w:abstractNum>
  <w:abstractNum w:abstractNumId="1" w15:restartNumberingAfterBreak="0">
    <w:nsid w:val="5ECF7DC5"/>
    <w:multiLevelType w:val="hybridMultilevel"/>
    <w:tmpl w:val="93B4D20C"/>
    <w:lvl w:ilvl="0" w:tplc="D332D3AC">
      <w:start w:val="1"/>
      <w:numFmt w:val="bullet"/>
      <w:lvlText w:val="•"/>
      <w:lvlJc w:val="left"/>
      <w:pPr>
        <w:ind w:left="720" w:hanging="360"/>
      </w:pPr>
    </w:lvl>
    <w:lvl w:ilvl="1" w:tplc="048E0FBC">
      <w:numFmt w:val="decimal"/>
      <w:lvlText w:val=""/>
      <w:lvlJc w:val="left"/>
    </w:lvl>
    <w:lvl w:ilvl="2" w:tplc="FC5E3C9C">
      <w:numFmt w:val="decimal"/>
      <w:lvlText w:val=""/>
      <w:lvlJc w:val="left"/>
    </w:lvl>
    <w:lvl w:ilvl="3" w:tplc="8D603488">
      <w:numFmt w:val="decimal"/>
      <w:lvlText w:val=""/>
      <w:lvlJc w:val="left"/>
    </w:lvl>
    <w:lvl w:ilvl="4" w:tplc="CB8A16D0">
      <w:numFmt w:val="decimal"/>
      <w:lvlText w:val=""/>
      <w:lvlJc w:val="left"/>
    </w:lvl>
    <w:lvl w:ilvl="5" w:tplc="6C766046">
      <w:numFmt w:val="decimal"/>
      <w:lvlText w:val=""/>
      <w:lvlJc w:val="left"/>
    </w:lvl>
    <w:lvl w:ilvl="6" w:tplc="E0E2FB0A">
      <w:numFmt w:val="decimal"/>
      <w:lvlText w:val=""/>
      <w:lvlJc w:val="left"/>
    </w:lvl>
    <w:lvl w:ilvl="7" w:tplc="44A0278C">
      <w:numFmt w:val="decimal"/>
      <w:lvlText w:val=""/>
      <w:lvlJc w:val="left"/>
    </w:lvl>
    <w:lvl w:ilvl="8" w:tplc="942034CA">
      <w:numFmt w:val="decimal"/>
      <w:lvlText w:val=""/>
      <w:lvlJc w:val="left"/>
    </w:lvl>
  </w:abstractNum>
  <w:num w:numId="1" w16cid:durableId="3542369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38AF"/>
    <w:rsid w:val="000F74A0"/>
    <w:rsid w:val="00397982"/>
    <w:rsid w:val="005B5C3A"/>
    <w:rsid w:val="00FE38A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24D51"/>
  <w15:docId w15:val="{F6686B3C-BF8C-4D60-9AEE-D960E74E0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3555</Words>
  <Characters>20264</Characters>
  <DocSecurity>0</DocSecurity>
  <Lines>168</Lines>
  <Paragraphs>47</Paragraphs>
  <ScaleCrop>false</ScaleCrop>
  <Company/>
  <LinksUpToDate>false</LinksUpToDate>
  <CharactersWithSpaces>23772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2026-07-28T16:35:00Z</dcterms:created>
  <dcterms:modified xsi:type="dcterms:W3CDTF">2026-07-28T16:57:00Z</dcterms:modified>
</cp:coreProperties>
</file>