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792094" w14:textId="530533EE" w:rsidR="00B625CB" w:rsidRPr="00934D06" w:rsidRDefault="00B625CB" w:rsidP="00B625CB">
      <w:pPr>
        <w:spacing w:before="480" w:after="240" w:line="360" w:lineRule="auto"/>
        <w:rPr>
          <w:b/>
          <w:bCs/>
          <w:i/>
          <w:iCs/>
          <w:sz w:val="28"/>
          <w:szCs w:val="28"/>
          <w:lang w:val="en-GB"/>
        </w:rPr>
      </w:pPr>
      <w:r w:rsidRPr="00934D06">
        <w:rPr>
          <w:noProof/>
          <w:lang w:val="en-GB" w:eastAsia="en-GB"/>
        </w:rPr>
        <w:drawing>
          <wp:anchor distT="0" distB="0" distL="114300" distR="114300" simplePos="0" relativeHeight="251659264" behindDoc="0" locked="0" layoutInCell="1" allowOverlap="1" wp14:anchorId="58C9A39B" wp14:editId="0E6EE01A">
            <wp:simplePos x="0" y="0"/>
            <wp:positionH relativeFrom="margin">
              <wp:posOffset>1836460</wp:posOffset>
            </wp:positionH>
            <wp:positionV relativeFrom="paragraph">
              <wp:posOffset>14400</wp:posOffset>
            </wp:positionV>
            <wp:extent cx="1226185" cy="1259840"/>
            <wp:effectExtent l="0" t="0" r="0" b="0"/>
            <wp:wrapTopAndBottom/>
            <wp:docPr id="9" name="Picture 5" descr="USW-logo-Raspberry-Screen_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W-logo-Raspberry-Screen_2.jpg"/>
                    <pic:cNvPicPr/>
                  </pic:nvPicPr>
                  <pic:blipFill>
                    <a:blip r:embed="rId7"/>
                    <a:stretch>
                      <a:fillRect/>
                    </a:stretch>
                  </pic:blipFill>
                  <pic:spPr>
                    <a:xfrm>
                      <a:off x="0" y="0"/>
                      <a:ext cx="1226185" cy="1259840"/>
                    </a:xfrm>
                    <a:prstGeom prst="rect">
                      <a:avLst/>
                    </a:prstGeom>
                  </pic:spPr>
                </pic:pic>
              </a:graphicData>
            </a:graphic>
            <wp14:sizeRelH relativeFrom="margin">
              <wp14:pctWidth>0</wp14:pctWidth>
            </wp14:sizeRelH>
            <wp14:sizeRelV relativeFrom="margin">
              <wp14:pctHeight>0</wp14:pctHeight>
            </wp14:sizeRelV>
          </wp:anchor>
        </w:drawing>
      </w:r>
    </w:p>
    <w:p w14:paraId="5B52ED3F" w14:textId="36C58828" w:rsidR="00B625CB" w:rsidRPr="00934D06" w:rsidRDefault="00B625CB" w:rsidP="00934D06">
      <w:pPr>
        <w:pBdr>
          <w:bottom w:val="double" w:sz="4" w:space="1" w:color="auto"/>
        </w:pBdr>
        <w:spacing w:before="480" w:after="240" w:line="360" w:lineRule="auto"/>
        <w:jc w:val="center"/>
        <w:rPr>
          <w:b/>
          <w:bCs/>
          <w:sz w:val="36"/>
          <w:szCs w:val="36"/>
          <w:lang w:val="en-GB"/>
        </w:rPr>
      </w:pPr>
      <w:r w:rsidRPr="00934D06">
        <w:rPr>
          <w:b/>
          <w:bCs/>
          <w:i/>
          <w:iCs/>
          <w:sz w:val="36"/>
          <w:szCs w:val="36"/>
          <w:lang w:val="en-GB"/>
        </w:rPr>
        <w:t>Trustworthy AI: A Comparative Experimental Study of Bias Mitigation Techniques in AI Driven Hiring Algorithms</w:t>
      </w:r>
    </w:p>
    <w:p w14:paraId="1738D5D6" w14:textId="77777777" w:rsidR="00B83290" w:rsidRDefault="00B625CB" w:rsidP="00B83290">
      <w:pPr>
        <w:spacing w:before="480" w:after="240" w:line="360" w:lineRule="auto"/>
        <w:jc w:val="center"/>
        <w:rPr>
          <w:b/>
          <w:bCs/>
          <w:sz w:val="28"/>
          <w:szCs w:val="28"/>
          <w:lang w:val="en-GB"/>
        </w:rPr>
      </w:pPr>
      <w:r w:rsidRPr="00934D06">
        <w:rPr>
          <w:b/>
          <w:bCs/>
          <w:sz w:val="28"/>
          <w:szCs w:val="28"/>
          <w:lang w:val="en-GB"/>
        </w:rPr>
        <w:t>Student: Faisal Aleem</w:t>
      </w:r>
      <w:r w:rsidR="00B83290">
        <w:rPr>
          <w:b/>
          <w:bCs/>
          <w:sz w:val="28"/>
          <w:szCs w:val="28"/>
          <w:lang w:val="en-GB"/>
        </w:rPr>
        <w:t xml:space="preserve"> </w:t>
      </w:r>
    </w:p>
    <w:p w14:paraId="1CFA20CF" w14:textId="065D17A0" w:rsidR="00B83290" w:rsidRPr="00934D06" w:rsidRDefault="00B83290" w:rsidP="00B83290">
      <w:pPr>
        <w:spacing w:before="480" w:after="240" w:line="360" w:lineRule="auto"/>
        <w:jc w:val="center"/>
        <w:rPr>
          <w:b/>
          <w:bCs/>
          <w:sz w:val="28"/>
          <w:szCs w:val="28"/>
          <w:lang w:val="en-GB"/>
        </w:rPr>
      </w:pPr>
      <w:r>
        <w:rPr>
          <w:b/>
          <w:bCs/>
          <w:sz w:val="28"/>
          <w:szCs w:val="28"/>
          <w:lang w:val="en-GB"/>
        </w:rPr>
        <w:t xml:space="preserve">ID: 30142631 </w:t>
      </w:r>
    </w:p>
    <w:p w14:paraId="0376A5E7" w14:textId="23465219" w:rsidR="00B625CB" w:rsidRPr="00934D06" w:rsidRDefault="00B625CB" w:rsidP="00934D06">
      <w:pPr>
        <w:spacing w:before="480" w:after="240" w:line="360" w:lineRule="auto"/>
        <w:jc w:val="center"/>
        <w:rPr>
          <w:b/>
          <w:bCs/>
          <w:sz w:val="28"/>
          <w:szCs w:val="28"/>
          <w:lang w:val="en-GB"/>
        </w:rPr>
      </w:pPr>
      <w:r w:rsidRPr="00934D06">
        <w:rPr>
          <w:b/>
          <w:bCs/>
          <w:sz w:val="28"/>
          <w:szCs w:val="28"/>
          <w:lang w:val="en-GB"/>
        </w:rPr>
        <w:t>Supervisor: Janusz</w:t>
      </w:r>
    </w:p>
    <w:p w14:paraId="70EADDBA" w14:textId="2CC687E8" w:rsidR="00B625CB" w:rsidRPr="00934D06" w:rsidRDefault="00B625CB" w:rsidP="00934D06">
      <w:pPr>
        <w:spacing w:before="480" w:after="240" w:line="360" w:lineRule="auto"/>
        <w:jc w:val="center"/>
        <w:rPr>
          <w:b/>
          <w:bCs/>
          <w:sz w:val="28"/>
          <w:szCs w:val="28"/>
          <w:lang w:val="en-GB"/>
        </w:rPr>
      </w:pPr>
      <w:r w:rsidRPr="00934D06">
        <w:rPr>
          <w:b/>
          <w:bCs/>
          <w:sz w:val="28"/>
          <w:szCs w:val="28"/>
          <w:lang w:val="en-GB"/>
        </w:rPr>
        <w:t>IS4T702 MSc Project</w:t>
      </w:r>
    </w:p>
    <w:p w14:paraId="6D985F5C" w14:textId="77777777" w:rsidR="00B625CB" w:rsidRPr="00934D06" w:rsidRDefault="00B625CB" w:rsidP="00934D06">
      <w:pPr>
        <w:spacing w:before="480" w:after="240" w:line="360" w:lineRule="auto"/>
        <w:jc w:val="center"/>
        <w:rPr>
          <w:b/>
          <w:bCs/>
          <w:sz w:val="28"/>
          <w:szCs w:val="28"/>
          <w:lang w:val="en-GB"/>
        </w:rPr>
      </w:pPr>
    </w:p>
    <w:p w14:paraId="04ED1F26" w14:textId="77777777" w:rsidR="00B625CB" w:rsidRPr="00934D06" w:rsidRDefault="00B625CB" w:rsidP="00934D06">
      <w:pPr>
        <w:spacing w:before="480" w:after="240" w:line="360" w:lineRule="auto"/>
        <w:jc w:val="center"/>
        <w:rPr>
          <w:lang w:val="en-GB"/>
        </w:rPr>
      </w:pPr>
      <w:r w:rsidRPr="00934D06">
        <w:rPr>
          <w:b/>
          <w:bCs/>
          <w:sz w:val="28"/>
          <w:szCs w:val="28"/>
          <w:highlight w:val="yellow"/>
          <w:lang w:val="en-GB"/>
        </w:rPr>
        <w:t>DRAFT: Chapter 2: Literature Review</w:t>
      </w:r>
    </w:p>
    <w:p w14:paraId="56C986E9" w14:textId="17D0A510" w:rsidR="00B625CB" w:rsidRPr="00934D06" w:rsidRDefault="00B625CB" w:rsidP="00B625CB">
      <w:pPr>
        <w:spacing w:before="480" w:after="240" w:line="360" w:lineRule="auto"/>
        <w:rPr>
          <w:b/>
          <w:bCs/>
          <w:sz w:val="28"/>
          <w:szCs w:val="28"/>
          <w:lang w:val="en-GB"/>
        </w:rPr>
      </w:pPr>
    </w:p>
    <w:p w14:paraId="5169327E" w14:textId="77777777" w:rsidR="00B625CB" w:rsidRPr="00934D06" w:rsidRDefault="00B625CB" w:rsidP="00B625CB">
      <w:pPr>
        <w:spacing w:before="480" w:after="240" w:line="360" w:lineRule="auto"/>
        <w:rPr>
          <w:b/>
          <w:bCs/>
          <w:sz w:val="28"/>
          <w:szCs w:val="28"/>
          <w:lang w:val="en-GB"/>
        </w:rPr>
      </w:pPr>
    </w:p>
    <w:p w14:paraId="28D9B0A3" w14:textId="77777777" w:rsidR="00B625CB" w:rsidRDefault="00B625CB" w:rsidP="00B625CB">
      <w:pPr>
        <w:spacing w:before="480" w:after="240" w:line="360" w:lineRule="auto"/>
        <w:rPr>
          <w:b/>
          <w:bCs/>
          <w:sz w:val="28"/>
          <w:szCs w:val="28"/>
          <w:lang w:val="en-GB"/>
        </w:rPr>
      </w:pPr>
    </w:p>
    <w:p w14:paraId="370A2959" w14:textId="77777777" w:rsidR="00934D06" w:rsidRPr="00934D06" w:rsidRDefault="00934D06" w:rsidP="00B625CB">
      <w:pPr>
        <w:spacing w:before="480" w:after="240" w:line="360" w:lineRule="auto"/>
        <w:rPr>
          <w:b/>
          <w:bCs/>
          <w:sz w:val="28"/>
          <w:szCs w:val="28"/>
          <w:lang w:val="en-GB"/>
        </w:rPr>
      </w:pPr>
    </w:p>
    <w:p w14:paraId="53CFB0FF" w14:textId="341A52E5" w:rsidR="00284EEA" w:rsidRPr="00934D06" w:rsidRDefault="00000000" w:rsidP="00934D06">
      <w:pPr>
        <w:pBdr>
          <w:bottom w:val="double" w:sz="4" w:space="1" w:color="auto"/>
        </w:pBdr>
        <w:spacing w:before="480" w:after="240" w:line="360" w:lineRule="auto"/>
        <w:jc w:val="center"/>
        <w:rPr>
          <w:sz w:val="32"/>
          <w:szCs w:val="32"/>
          <w:lang w:val="en-GB"/>
        </w:rPr>
      </w:pPr>
      <w:r w:rsidRPr="00934D06">
        <w:rPr>
          <w:b/>
          <w:bCs/>
          <w:sz w:val="36"/>
          <w:szCs w:val="36"/>
          <w:lang w:val="en-GB"/>
        </w:rPr>
        <w:t>Chapter 2: Literature Review</w:t>
      </w:r>
    </w:p>
    <w:p w14:paraId="61C60545" w14:textId="77777777" w:rsidR="00284EEA" w:rsidRPr="00934D06" w:rsidRDefault="00000000">
      <w:pPr>
        <w:spacing w:before="360" w:after="180" w:line="360" w:lineRule="auto"/>
        <w:rPr>
          <w:lang w:val="en-GB"/>
        </w:rPr>
      </w:pPr>
      <w:r w:rsidRPr="00934D06">
        <w:rPr>
          <w:b/>
          <w:bCs/>
          <w:lang w:val="en-GB"/>
        </w:rPr>
        <w:t>2.1 Introduction</w:t>
      </w:r>
    </w:p>
    <w:p w14:paraId="0DBFF1FB" w14:textId="5967A134" w:rsidR="006D73BF" w:rsidRPr="00934D06" w:rsidRDefault="006D73BF" w:rsidP="006D73BF">
      <w:pPr>
        <w:spacing w:after="160" w:line="360" w:lineRule="auto"/>
        <w:jc w:val="both"/>
        <w:rPr>
          <w:lang w:val="en-GB"/>
        </w:rPr>
      </w:pPr>
      <w:r w:rsidRPr="00934D06">
        <w:rPr>
          <w:lang w:val="en-GB"/>
        </w:rPr>
        <w:t xml:space="preserve">This chapter reviews literature relevant to the comparison of AI hiring tool bias mitigation practices. It starts building from foundational concepts of algorithmic bias, focusing on the origins in training data and model design. Then, it </w:t>
      </w:r>
      <w:r w:rsidR="00934D06" w:rsidRPr="00934D06">
        <w:rPr>
          <w:lang w:val="en-GB"/>
        </w:rPr>
        <w:t>analyses</w:t>
      </w:r>
      <w:r w:rsidRPr="00934D06">
        <w:rPr>
          <w:lang w:val="en-GB"/>
        </w:rPr>
        <w:t xml:space="preserve"> the specificities of AI in hiring, with examples of bias in hiring practices. From there, the chapter reviews existing machine learning fairness definitions, major families of bias mitigation approaches, open-source tools, and the piece of the regulatory and legal frameworks that address high-risk AI in hiring. Finally, this chapter offers a critical review of existing literature, focusing on the contributions this research study offers.</w:t>
      </w:r>
    </w:p>
    <w:p w14:paraId="174577AB" w14:textId="77777777" w:rsidR="00284EEA" w:rsidRPr="00934D06" w:rsidRDefault="00000000">
      <w:pPr>
        <w:spacing w:before="360" w:after="180" w:line="360" w:lineRule="auto"/>
        <w:rPr>
          <w:lang w:val="en-GB"/>
        </w:rPr>
      </w:pPr>
      <w:r w:rsidRPr="00934D06">
        <w:rPr>
          <w:b/>
          <w:bCs/>
          <w:lang w:val="en-GB"/>
        </w:rPr>
        <w:t>2.2 Algorithmic Bias: Definitions and Origins</w:t>
      </w:r>
    </w:p>
    <w:p w14:paraId="5F0C9AF5" w14:textId="77777777" w:rsidR="00284EEA" w:rsidRPr="00934D06" w:rsidRDefault="00000000">
      <w:pPr>
        <w:spacing w:before="280" w:after="120" w:line="360" w:lineRule="auto"/>
        <w:rPr>
          <w:lang w:val="en-GB"/>
        </w:rPr>
      </w:pPr>
      <w:r w:rsidRPr="00934D06">
        <w:rPr>
          <w:b/>
          <w:bCs/>
          <w:i/>
          <w:iCs/>
          <w:lang w:val="en-GB"/>
        </w:rPr>
        <w:t>2.2.1 Conceptual Foundations of Algorithmic Bias</w:t>
      </w:r>
    </w:p>
    <w:p w14:paraId="201C5DF3" w14:textId="576E3B42" w:rsidR="006D73BF" w:rsidRPr="00934D06" w:rsidRDefault="006D73BF" w:rsidP="006D73BF">
      <w:pPr>
        <w:spacing w:after="160" w:line="360" w:lineRule="auto"/>
        <w:jc w:val="both"/>
        <w:rPr>
          <w:lang w:val="en-GB"/>
        </w:rPr>
      </w:pPr>
      <w:r w:rsidRPr="00934D06">
        <w:rPr>
          <w:lang w:val="en-GB"/>
        </w:rPr>
        <w:t xml:space="preserve">Since the early 2000s, the study of bias in algorithmic systems has been the focus of significant academic interest. While the study of bias in algorithmic systems has been a focus of interest in academia for several decades, the practical importance of the issue has increased significantly as machine learning models have transitioned from the research domain to impactful real-world applications. One of the earliest formal analyses of the problem belongs to Pedreshi, Ruggieri and Turini (2008). They described the phenomenon whereby the mining of historical data produces patterns that replicate and systematically embed unequal treatment of vulnerable groups. They </w:t>
      </w:r>
      <w:r w:rsidR="00934D06" w:rsidRPr="00934D06">
        <w:rPr>
          <w:lang w:val="en-GB"/>
        </w:rPr>
        <w:t>analysed</w:t>
      </w:r>
      <w:r w:rsidRPr="00934D06">
        <w:rPr>
          <w:lang w:val="en-GB"/>
        </w:rPr>
        <w:t xml:space="preserve"> the direct and indirect discrimination frameworks. Both direct and indirect discrimination frameworks have been the subject of further analysis and critique in the academic literature (Baracas and Selbst, 2016; Romei and Ruggieri, 2014).</w:t>
      </w:r>
    </w:p>
    <w:p w14:paraId="7B4D0685" w14:textId="135064DF" w:rsidR="006D73BF" w:rsidRPr="00934D06" w:rsidRDefault="006D73BF" w:rsidP="006D73BF">
      <w:pPr>
        <w:spacing w:after="160" w:line="360" w:lineRule="auto"/>
        <w:jc w:val="both"/>
        <w:rPr>
          <w:lang w:val="en-GB"/>
        </w:rPr>
      </w:pPr>
      <w:r w:rsidRPr="00934D06">
        <w:rPr>
          <w:lang w:val="en-GB"/>
        </w:rPr>
        <w:t xml:space="preserve">Baracas and Selbst (2016) argued that the machine learning pipeline is the primary source of bias at the various stages of the machine learning process. Their analysis sought to integrate the problem of algorithmic discrimination within existing legal frameworks, specifically the concept of disparate impact within the context of United States of America anti-discrimination </w:t>
      </w:r>
      <w:r w:rsidR="00934D06" w:rsidRPr="00934D06">
        <w:rPr>
          <w:lang w:val="en-GB"/>
        </w:rPr>
        <w:t>law and</w:t>
      </w:r>
      <w:r w:rsidRPr="00934D06">
        <w:rPr>
          <w:lang w:val="en-GB"/>
        </w:rPr>
        <w:t xml:space="preserve"> argued that the absence of bias in an algorithmic system would lead to the violation of </w:t>
      </w:r>
      <w:r w:rsidRPr="00934D06">
        <w:rPr>
          <w:lang w:val="en-GB"/>
        </w:rPr>
        <w:lastRenderedPageBreak/>
        <w:t xml:space="preserve">anti-discrimination law. The various research studies on the fairness of algorithmic systems over the past 10 years have built on this foundation (Mehrabi </w:t>
      </w:r>
      <w:r w:rsidR="00934D06" w:rsidRPr="00934D06">
        <w:rPr>
          <w:i/>
          <w:iCs/>
          <w:lang w:val="en-GB"/>
        </w:rPr>
        <w:t>et al</w:t>
      </w:r>
      <w:r w:rsidRPr="00934D06">
        <w:rPr>
          <w:lang w:val="en-GB"/>
        </w:rPr>
        <w:t>., 2021; Caton and Haas, 2024).</w:t>
      </w:r>
    </w:p>
    <w:p w14:paraId="1205D2AF" w14:textId="2F5568F9" w:rsidR="006D73BF" w:rsidRPr="00934D06" w:rsidRDefault="006D73BF" w:rsidP="006D73BF">
      <w:pPr>
        <w:spacing w:after="160" w:line="360" w:lineRule="auto"/>
        <w:jc w:val="both"/>
        <w:rPr>
          <w:lang w:val="en-GB"/>
        </w:rPr>
      </w:pPr>
      <w:r w:rsidRPr="00934D06">
        <w:rPr>
          <w:lang w:val="en-GB"/>
        </w:rPr>
        <w:t xml:space="preserve">Mehrabi </w:t>
      </w:r>
      <w:r w:rsidR="00934D06" w:rsidRPr="00934D06">
        <w:rPr>
          <w:i/>
          <w:iCs/>
          <w:lang w:val="en-GB"/>
        </w:rPr>
        <w:t>et al</w:t>
      </w:r>
      <w:r w:rsidRPr="00934D06">
        <w:rPr>
          <w:lang w:val="en-GB"/>
        </w:rPr>
        <w:t>. (2021) surveyed the sources of bias and identified more than twenty categories from data collection to model deployment, and everything in between. Their survey suggests that the expression of bias is not a singular occurrence, and that each case needs its own analytical and technical resolution. From a multidisciplinary outlook that included concepts from sociology, economics, and law, Romei and Ruggieri (2014) offered a similar perspective, arguing that discrimination calls for the design of integrated conceptual frameworks. The importance of such multidisciplinary thinking is that it discourages the application of overly technical resolutions to the social problems.</w:t>
      </w:r>
    </w:p>
    <w:p w14:paraId="043F23FF" w14:textId="77777777" w:rsidR="00284EEA" w:rsidRPr="00934D06" w:rsidRDefault="00000000">
      <w:pPr>
        <w:spacing w:before="280" w:after="120" w:line="360" w:lineRule="auto"/>
        <w:rPr>
          <w:lang w:val="en-GB"/>
        </w:rPr>
      </w:pPr>
      <w:r w:rsidRPr="00934D06">
        <w:rPr>
          <w:b/>
          <w:bCs/>
          <w:i/>
          <w:iCs/>
          <w:lang w:val="en-GB"/>
        </w:rPr>
        <w:t>2.2.2 Sources of Bias in Machine Learning Systems</w:t>
      </w:r>
    </w:p>
    <w:p w14:paraId="1899142D" w14:textId="77777777" w:rsidR="006D73BF" w:rsidRPr="00934D06" w:rsidRDefault="006D73BF" w:rsidP="006D73BF">
      <w:pPr>
        <w:spacing w:after="160" w:line="360" w:lineRule="auto"/>
        <w:jc w:val="both"/>
        <w:rPr>
          <w:lang w:val="en-GB"/>
        </w:rPr>
      </w:pPr>
      <w:r w:rsidRPr="00934D06">
        <w:rPr>
          <w:lang w:val="en-GB"/>
        </w:rPr>
        <w:t>Bias in machine learning systems is thought to result from the interplay of three sources: bias in the training data, biased formulation of the problem, and bias in the assessment criteria (Baracas, Hardt and Moritz, 2023). The bias in the training data has received the most attention. When decisions are documented and used as labels for truth, the bias in the decision is reflected in the model. The model is likely to amplify bias in the data in the context of employment, where decades of bias in hiring have produced datasets that have chronic underrepresentation of women and ethnic minorities.</w:t>
      </w:r>
    </w:p>
    <w:p w14:paraId="43A7B599" w14:textId="27DA2A38" w:rsidR="006D73BF" w:rsidRPr="00934D06" w:rsidRDefault="006D73BF" w:rsidP="006D73BF">
      <w:pPr>
        <w:spacing w:after="160" w:line="360" w:lineRule="auto"/>
        <w:jc w:val="both"/>
        <w:rPr>
          <w:lang w:val="en-GB"/>
        </w:rPr>
      </w:pPr>
      <w:r w:rsidRPr="00934D06">
        <w:rPr>
          <w:lang w:val="en-GB"/>
        </w:rPr>
        <w:t xml:space="preserve">Using Naive Bayes classifiers for income predictions, Calders and Verwer (2010) demonstrated that removing explicit proxies of discrimination does not eliminate discrimination and does not prohibit dual Bayes classification models from making discriminatory predictions based on the remaining correlated variables. This was shown for several models and datasets (Kamiran and Calders, 2012; Feldman </w:t>
      </w:r>
      <w:r w:rsidR="00934D06" w:rsidRPr="00934D06">
        <w:rPr>
          <w:i/>
          <w:iCs/>
          <w:lang w:val="en-GB"/>
        </w:rPr>
        <w:t>et al</w:t>
      </w:r>
      <w:r w:rsidRPr="00934D06">
        <w:rPr>
          <w:lang w:val="en-GB"/>
        </w:rPr>
        <w:t xml:space="preserve">., 2015) and asserted the validity and robustness of the redundant encoding problem that was first coined by Feldman </w:t>
      </w:r>
      <w:r w:rsidR="00934D06" w:rsidRPr="00934D06">
        <w:rPr>
          <w:i/>
          <w:iCs/>
          <w:lang w:val="en-GB"/>
        </w:rPr>
        <w:t>et al</w:t>
      </w:r>
      <w:r w:rsidRPr="00934D06">
        <w:rPr>
          <w:lang w:val="en-GB"/>
        </w:rPr>
        <w:t>. (2015). According to this problem, discrimination against protected classes should not be assumed to disappear from datasets because protected classes may still be correlated with legitimate features in the datasets.</w:t>
      </w:r>
    </w:p>
    <w:p w14:paraId="58471763" w14:textId="76C7CEBB" w:rsidR="006D73BF" w:rsidRPr="00934D06" w:rsidRDefault="006D73BF" w:rsidP="006D73BF">
      <w:pPr>
        <w:spacing w:after="160" w:line="360" w:lineRule="auto"/>
        <w:jc w:val="both"/>
        <w:rPr>
          <w:lang w:val="en-GB"/>
        </w:rPr>
      </w:pPr>
      <w:r w:rsidRPr="00934D06">
        <w:rPr>
          <w:lang w:val="en-GB"/>
        </w:rPr>
        <w:t xml:space="preserve">From a social (as opposed to technical) perspective, O'Neil (2016) argued that the design, structure and implementation of </w:t>
      </w:r>
      <w:r w:rsidR="00934D06" w:rsidRPr="00934D06">
        <w:rPr>
          <w:lang w:val="en-GB"/>
        </w:rPr>
        <w:t>large-scale</w:t>
      </w:r>
      <w:r w:rsidRPr="00934D06">
        <w:rPr>
          <w:lang w:val="en-GB"/>
        </w:rPr>
        <w:t xml:space="preserve"> computational systems exacerbate existing social inequities as opposed to relieving them. This author acknowledged the discriminatory impact </w:t>
      </w:r>
      <w:r w:rsidRPr="00934D06">
        <w:rPr>
          <w:lang w:val="en-GB"/>
        </w:rPr>
        <w:lastRenderedPageBreak/>
        <w:t>of unequal representation of classes in datasets, which was reflected in the systems’ decisions. Eubanks (2018) reached the same conclusion, citing the lack of agency of the affected low-income individuals of the systems’ decisions as a major concern. In their research on commercial facial recognition technologies, Buolamwini and Gebru (2018) demonstrated the presence of discrimination based on race and gender. In testing the same commercial products, they found that the error rates for darker women were, on average, 34% greater than the error rates for lighter men. This inequality is especially troubling since these products have been marketed as highly accurate.</w:t>
      </w:r>
    </w:p>
    <w:p w14:paraId="531DA254" w14:textId="77777777" w:rsidR="00284EEA" w:rsidRPr="00934D06" w:rsidRDefault="00000000">
      <w:pPr>
        <w:spacing w:before="360" w:after="180" w:line="360" w:lineRule="auto"/>
        <w:rPr>
          <w:lang w:val="en-GB"/>
        </w:rPr>
      </w:pPr>
      <w:r w:rsidRPr="00934D06">
        <w:rPr>
          <w:b/>
          <w:bCs/>
          <w:lang w:val="en-GB"/>
        </w:rPr>
        <w:t>2.3 AI in Recruitment and Hiring</w:t>
      </w:r>
    </w:p>
    <w:p w14:paraId="32E94A48" w14:textId="77777777" w:rsidR="00284EEA" w:rsidRPr="00934D06" w:rsidRDefault="00000000">
      <w:pPr>
        <w:spacing w:before="280" w:after="120" w:line="360" w:lineRule="auto"/>
        <w:rPr>
          <w:lang w:val="en-GB"/>
        </w:rPr>
      </w:pPr>
      <w:r w:rsidRPr="00934D06">
        <w:rPr>
          <w:b/>
          <w:bCs/>
          <w:i/>
          <w:iCs/>
          <w:lang w:val="en-GB"/>
        </w:rPr>
        <w:t>2.3.1 The Rise of Algorithmic Hiring Systems</w:t>
      </w:r>
    </w:p>
    <w:p w14:paraId="5FC393B7" w14:textId="4813365A" w:rsidR="000361D8" w:rsidRPr="00934D06" w:rsidRDefault="000361D8" w:rsidP="000361D8">
      <w:pPr>
        <w:spacing w:after="160" w:line="360" w:lineRule="auto"/>
        <w:jc w:val="both"/>
        <w:rPr>
          <w:lang w:val="en-GB"/>
        </w:rPr>
      </w:pPr>
      <w:r w:rsidRPr="00934D06">
        <w:rPr>
          <w:lang w:val="en-GB"/>
        </w:rPr>
        <w:t xml:space="preserve">Over the last ten years, tool adoption using algorithms for each aspect of the recruitment process has increased (Kochling and Wehner, 2020; Raghavan </w:t>
      </w:r>
      <w:r w:rsidR="00934D06" w:rsidRPr="00934D06">
        <w:rPr>
          <w:i/>
          <w:iCs/>
          <w:lang w:val="en-GB"/>
        </w:rPr>
        <w:t>et al</w:t>
      </w:r>
      <w:r w:rsidRPr="00934D06">
        <w:rPr>
          <w:lang w:val="en-GB"/>
        </w:rPr>
        <w:t>., 2020). Applications of this technology include machine learning for CV analysis, psychometric and/or video-based interviews, and/or ranking of candidates. Vendors claim that this technology increases efficiency and improves objectivity and fairness. Recruiters are often under time pressure to fill vacancies. Recruiting is also expensive and often results in mistakes. There are many examples of cognitive biases influencing recruitment, like preference and halo bias, which can cause major hiring mistakes. It has been argued that the adoption of scoring systems based on algorithms removes the biases inherent in recruiting.</w:t>
      </w:r>
    </w:p>
    <w:p w14:paraId="7C7B8C43" w14:textId="77D2E20E" w:rsidR="000361D8" w:rsidRPr="00934D06" w:rsidRDefault="000361D8" w:rsidP="000361D8">
      <w:pPr>
        <w:spacing w:after="160" w:line="360" w:lineRule="auto"/>
        <w:jc w:val="both"/>
        <w:rPr>
          <w:lang w:val="en-GB"/>
        </w:rPr>
      </w:pPr>
      <w:r w:rsidRPr="00934D06">
        <w:rPr>
          <w:lang w:val="en-GB"/>
        </w:rPr>
        <w:t>Kochling and Wehner (2020) completed a systematic review of 36 journal articles that studied the impact of algorithms on recruitment and HR-related decision-making for the years 2014 to 2020. HR-related decision-making systems using algorithms can impact objectivity and fairness. Most of the studies showed that due to the lack of robust empirical evidence, bias and discrimination were still dominant. They identified a lack of alignment between the claims made by recruitment technology vendors and the actual impact of their technology on the recruitment process. They argued that there is a major gap in recruitment technology, and therefore, it is necessary to apply a combination of the recent technology and regulatory frameworks.</w:t>
      </w:r>
    </w:p>
    <w:p w14:paraId="2087772D" w14:textId="77777777" w:rsidR="00284EEA" w:rsidRPr="00934D06" w:rsidRDefault="00000000">
      <w:pPr>
        <w:spacing w:before="280" w:after="120" w:line="360" w:lineRule="auto"/>
        <w:rPr>
          <w:lang w:val="en-GB"/>
        </w:rPr>
      </w:pPr>
      <w:r w:rsidRPr="00934D06">
        <w:rPr>
          <w:b/>
          <w:bCs/>
          <w:i/>
          <w:iCs/>
          <w:lang w:val="en-GB"/>
        </w:rPr>
        <w:t>2.3.2 Documented Cases of Bias in Hiring Algorithms</w:t>
      </w:r>
    </w:p>
    <w:p w14:paraId="3AFCDEC6" w14:textId="77777777" w:rsidR="000361D8" w:rsidRPr="00934D06" w:rsidRDefault="000361D8" w:rsidP="000361D8">
      <w:pPr>
        <w:spacing w:after="160" w:line="360" w:lineRule="auto"/>
        <w:jc w:val="both"/>
        <w:rPr>
          <w:lang w:val="en-GB"/>
        </w:rPr>
      </w:pPr>
      <w:r w:rsidRPr="00934D06">
        <w:rPr>
          <w:lang w:val="en-GB"/>
        </w:rPr>
        <w:lastRenderedPageBreak/>
        <w:t>The most well-known case of biased hiring algorithms involves the recruitment tool developed (and soon after, abandoned) by Amazon. The algorithm was reported to penalize resumes that included the word 'women' and to rank graduates of all-women colleges lower. (Dastin, 2018) This example gained notoriety in the media because Amazon designed the algorithm to remove bias from the screening process. However, the algorithm still learned to perpetuate the male-dominated culture of the tech industry, as the training data reflected. In this case, the argument that removing protected attributes from a dataset does not create algorithmic bias has been demonstrated.</w:t>
      </w:r>
    </w:p>
    <w:p w14:paraId="11FB167E" w14:textId="38FCCADF" w:rsidR="000361D8" w:rsidRPr="00934D06" w:rsidRDefault="000361D8" w:rsidP="000361D8">
      <w:pPr>
        <w:spacing w:after="160" w:line="360" w:lineRule="auto"/>
        <w:jc w:val="both"/>
        <w:rPr>
          <w:lang w:val="en-GB"/>
        </w:rPr>
      </w:pPr>
      <w:r w:rsidRPr="00934D06">
        <w:rPr>
          <w:lang w:val="en-GB"/>
        </w:rPr>
        <w:t xml:space="preserve">Raghavan </w:t>
      </w:r>
      <w:r w:rsidR="00934D06" w:rsidRPr="00934D06">
        <w:rPr>
          <w:i/>
          <w:iCs/>
          <w:lang w:val="en-GB"/>
        </w:rPr>
        <w:t>et al</w:t>
      </w:r>
      <w:r w:rsidRPr="00934D06">
        <w:rPr>
          <w:lang w:val="en-GB"/>
        </w:rPr>
        <w:t xml:space="preserve">. (2020) noted that in their analysis of the algorithmic assessment product vendors, most vendors failed to disclose adequate information about the development and validation processes. </w:t>
      </w:r>
      <w:r w:rsidR="00934D06" w:rsidRPr="00934D06">
        <w:rPr>
          <w:lang w:val="en-GB"/>
        </w:rPr>
        <w:t>Most of</w:t>
      </w:r>
      <w:r w:rsidRPr="00934D06">
        <w:rPr>
          <w:lang w:val="en-GB"/>
        </w:rPr>
        <w:t xml:space="preserve"> the vendors lacked evidence that their products had been </w:t>
      </w:r>
      <w:r w:rsidR="00934D06" w:rsidRPr="00934D06">
        <w:rPr>
          <w:lang w:val="en-GB"/>
        </w:rPr>
        <w:t>evaluated</w:t>
      </w:r>
      <w:r w:rsidRPr="00934D06">
        <w:rPr>
          <w:lang w:val="en-GB"/>
        </w:rPr>
        <w:t xml:space="preserve"> for adverse impact on protected groups, and the criteria used to evaluate the validation of predictive accuracy were infrequently aligned with the concept of fairness. The authors concluded that the practices in the algorithmic assessment industry are far from legal and ethical standards and unregulated, and they advocated for the type of regulatory changes that were later implemented with the EU AI Act.</w:t>
      </w:r>
    </w:p>
    <w:p w14:paraId="689A9AF7" w14:textId="5D29DD60" w:rsidR="000361D8" w:rsidRPr="00934D06" w:rsidRDefault="000361D8" w:rsidP="000361D8">
      <w:pPr>
        <w:spacing w:after="160" w:line="360" w:lineRule="auto"/>
        <w:jc w:val="both"/>
        <w:rPr>
          <w:lang w:val="en-GB"/>
        </w:rPr>
      </w:pPr>
      <w:r w:rsidRPr="00934D06">
        <w:rPr>
          <w:lang w:val="en-GB"/>
        </w:rPr>
        <w:t xml:space="preserve">Although the COMPAS risk scoring system is used in determining criminal sentences and not employment, it has had a huge impact on the fairness literature, due to the independent analyses performed by Angwin </w:t>
      </w:r>
      <w:r w:rsidR="00934D06" w:rsidRPr="00934D06">
        <w:rPr>
          <w:i/>
          <w:iCs/>
          <w:lang w:val="en-GB"/>
        </w:rPr>
        <w:t>et al</w:t>
      </w:r>
      <w:r w:rsidRPr="00934D06">
        <w:rPr>
          <w:lang w:val="en-GB"/>
        </w:rPr>
        <w:t xml:space="preserve">. (2016) and Larson </w:t>
      </w:r>
      <w:r w:rsidR="00934D06" w:rsidRPr="00934D06">
        <w:rPr>
          <w:i/>
          <w:iCs/>
          <w:lang w:val="en-GB"/>
        </w:rPr>
        <w:t>et al</w:t>
      </w:r>
      <w:r w:rsidRPr="00934D06">
        <w:rPr>
          <w:lang w:val="en-GB"/>
        </w:rPr>
        <w:t>. (2016). COMPAS was found to be about twice as likely to incorrectly assess Black defendants as being high risk in comparison to White defendants. Dressel and Farid (2018) showed that untrained human assessors performed at a similar level as COMPAS in that prediction task. This further questioned the predictive superiority of such systems and supported the claim that the assessment of fairness and accuracy is a necessary dual requirement in this context.</w:t>
      </w:r>
    </w:p>
    <w:p w14:paraId="11D122F5" w14:textId="2E69B36E" w:rsidR="000361D8" w:rsidRPr="00934D06" w:rsidRDefault="000361D8" w:rsidP="000361D8">
      <w:pPr>
        <w:spacing w:after="160" w:line="360" w:lineRule="auto"/>
        <w:jc w:val="both"/>
        <w:rPr>
          <w:lang w:val="en-GB"/>
        </w:rPr>
      </w:pPr>
      <w:r w:rsidRPr="00934D06">
        <w:rPr>
          <w:lang w:val="en-GB"/>
        </w:rPr>
        <w:t xml:space="preserve">Chouldechova (2017) took the COMPAS case and formalized a key observation, showing that with differing base rates, achieving equal false positive rates, equal false negative rates, and equal positive predictive values would not be possible. This impossibility of equal false positive rates has become a key reference in the discussion of the limits of a single </w:t>
      </w:r>
      <w:r w:rsidR="00934D06" w:rsidRPr="00934D06">
        <w:rPr>
          <w:lang w:val="en-GB"/>
        </w:rPr>
        <w:t>classifier and</w:t>
      </w:r>
      <w:r w:rsidRPr="00934D06">
        <w:rPr>
          <w:lang w:val="en-GB"/>
        </w:rPr>
        <w:t xml:space="preserve"> has significant </w:t>
      </w:r>
      <w:r w:rsidR="00934D06" w:rsidRPr="00934D06">
        <w:rPr>
          <w:lang w:val="en-GB"/>
        </w:rPr>
        <w:t>real-world</w:t>
      </w:r>
      <w:r w:rsidRPr="00934D06">
        <w:rPr>
          <w:lang w:val="en-GB"/>
        </w:rPr>
        <w:t xml:space="preserve"> consequences for the implementation of fairness of a single classifier and mitigation of bias.</w:t>
      </w:r>
    </w:p>
    <w:p w14:paraId="0FC569DC" w14:textId="77777777" w:rsidR="00284EEA" w:rsidRPr="00934D06" w:rsidRDefault="00000000">
      <w:pPr>
        <w:spacing w:before="360" w:after="180" w:line="360" w:lineRule="auto"/>
        <w:rPr>
          <w:lang w:val="en-GB"/>
        </w:rPr>
      </w:pPr>
      <w:r w:rsidRPr="00934D06">
        <w:rPr>
          <w:b/>
          <w:bCs/>
          <w:lang w:val="en-GB"/>
        </w:rPr>
        <w:t>2.4 Fairness Definitions in Machine Learning</w:t>
      </w:r>
    </w:p>
    <w:p w14:paraId="237ADEC9" w14:textId="77777777" w:rsidR="00284EEA" w:rsidRPr="00934D06" w:rsidRDefault="00000000">
      <w:pPr>
        <w:spacing w:before="280" w:after="120" w:line="360" w:lineRule="auto"/>
        <w:rPr>
          <w:lang w:val="en-GB"/>
        </w:rPr>
      </w:pPr>
      <w:r w:rsidRPr="00934D06">
        <w:rPr>
          <w:b/>
          <w:bCs/>
          <w:i/>
          <w:iCs/>
          <w:lang w:val="en-GB"/>
        </w:rPr>
        <w:lastRenderedPageBreak/>
        <w:t>2.4.1 Group Fairness Metrics</w:t>
      </w:r>
    </w:p>
    <w:p w14:paraId="40DEB51F" w14:textId="73A884DC" w:rsidR="0088790B" w:rsidRPr="00934D06" w:rsidRDefault="0088790B" w:rsidP="0088790B">
      <w:pPr>
        <w:spacing w:after="160" w:line="360" w:lineRule="auto"/>
        <w:jc w:val="both"/>
        <w:rPr>
          <w:lang w:val="en-GB"/>
        </w:rPr>
      </w:pPr>
      <w:r w:rsidRPr="00934D06">
        <w:rPr>
          <w:lang w:val="en-GB"/>
        </w:rPr>
        <w:t xml:space="preserve">The fairness literature has quantitatively articulated what it means to treat groups fairly by classifying. An early formalism by Dwork </w:t>
      </w:r>
      <w:r w:rsidR="00934D06" w:rsidRPr="00934D06">
        <w:rPr>
          <w:i/>
          <w:iCs/>
          <w:lang w:val="en-GB"/>
        </w:rPr>
        <w:t>et al</w:t>
      </w:r>
      <w:r w:rsidRPr="00934D06">
        <w:rPr>
          <w:lang w:val="en-GB"/>
        </w:rPr>
        <w:t>. (2012) was based on the principle of treating like individuals alike. However, most influential group fairness metrics have been rooted in statistics. Demographic parity dictates that a classifier should yield positive results for members of protected groups at the same outcome rate, irrespective of the dissimilarities among the individuals. As more stringent, Hardt, Price, and Srebro (2016) put forth equalized odds, which requires the equalization of both true and false positive rates across groups, thereby conditioning on the outcome rather than on group membership.</w:t>
      </w:r>
    </w:p>
    <w:p w14:paraId="3AD7311E" w14:textId="77777777" w:rsidR="0088790B" w:rsidRPr="00934D06" w:rsidRDefault="0088790B" w:rsidP="0088790B">
      <w:pPr>
        <w:spacing w:after="160" w:line="360" w:lineRule="auto"/>
        <w:jc w:val="both"/>
        <w:rPr>
          <w:lang w:val="en-GB"/>
        </w:rPr>
      </w:pPr>
      <w:r w:rsidRPr="00934D06">
        <w:rPr>
          <w:lang w:val="en-GB"/>
        </w:rPr>
        <w:t>In cases where the positive outcome base rates truly differ among groups, equalized odds is generally seen as a more appropriate fairness criterion than demographic parity, since it is conditioning on the ground truth label and does not penalize groups that have a higher true qualification rate (Barocas, Hardt, and Moritz, 2023). However, as Chouldechova (2017) showed, equalized odds and calibration can only be attained together when the base rates among groups are equal, which presents a dilemma that must be acknowledged by practitioners.</w:t>
      </w:r>
    </w:p>
    <w:p w14:paraId="5C38E266" w14:textId="018C427C" w:rsidR="0088790B" w:rsidRPr="00934D06" w:rsidRDefault="0088790B" w:rsidP="0088790B">
      <w:pPr>
        <w:spacing w:after="160" w:line="360" w:lineRule="auto"/>
        <w:jc w:val="both"/>
        <w:rPr>
          <w:lang w:val="en-GB"/>
        </w:rPr>
      </w:pPr>
      <w:r w:rsidRPr="00934D06">
        <w:rPr>
          <w:lang w:val="en-GB"/>
        </w:rPr>
        <w:t xml:space="preserve">Pleiss </w:t>
      </w:r>
      <w:r w:rsidR="00934D06" w:rsidRPr="00934D06">
        <w:rPr>
          <w:i/>
          <w:iCs/>
          <w:lang w:val="en-GB"/>
        </w:rPr>
        <w:t>et al</w:t>
      </w:r>
      <w:r w:rsidRPr="00934D06">
        <w:rPr>
          <w:lang w:val="en-GB"/>
        </w:rPr>
        <w:t xml:space="preserve">. (2017) explored calibration as another dimension of fairness, suggesting that a classifier should issue assignment probabilities that correspond to the predicted outcome likelihood for all groups. They demonstrated that when group base rates are unequal, calibration and equalized odds are, under most conditions, incompatible. This extends the literature’s bounds on the impossibility results for a wider combination of metrics. The key takeaway is that it is impossible to deploy a classifier that simultaneously meets all the varying fairness </w:t>
      </w:r>
      <w:r w:rsidR="00D025BD" w:rsidRPr="00934D06">
        <w:rPr>
          <w:lang w:val="en-GB"/>
        </w:rPr>
        <w:t>requirements and</w:t>
      </w:r>
      <w:r w:rsidRPr="00934D06">
        <w:rPr>
          <w:lang w:val="en-GB"/>
        </w:rPr>
        <w:t xml:space="preserve"> deciding which requirements to satisfy and how to justify the selection is an ethics-based task.</w:t>
      </w:r>
    </w:p>
    <w:p w14:paraId="49D302D1" w14:textId="77777777" w:rsidR="00284EEA" w:rsidRPr="00934D06" w:rsidRDefault="00000000">
      <w:pPr>
        <w:spacing w:before="280" w:after="120" w:line="360" w:lineRule="auto"/>
        <w:rPr>
          <w:lang w:val="en-GB"/>
        </w:rPr>
      </w:pPr>
      <w:r w:rsidRPr="00934D06">
        <w:rPr>
          <w:b/>
          <w:bCs/>
          <w:i/>
          <w:iCs/>
          <w:lang w:val="en-GB"/>
        </w:rPr>
        <w:t>2.4.2 Individual and Counterfactual Fairness</w:t>
      </w:r>
    </w:p>
    <w:p w14:paraId="19D67130" w14:textId="0DE322C2" w:rsidR="00D025BD" w:rsidRPr="00934D06" w:rsidRDefault="00D025BD" w:rsidP="00D025BD">
      <w:pPr>
        <w:spacing w:after="160" w:line="360" w:lineRule="auto"/>
        <w:jc w:val="both"/>
        <w:rPr>
          <w:lang w:val="en-GB"/>
        </w:rPr>
      </w:pPr>
      <w:r w:rsidRPr="00934D06">
        <w:rPr>
          <w:lang w:val="en-GB"/>
        </w:rPr>
        <w:t xml:space="preserve">The formalization of Individual Fairness by Dwork </w:t>
      </w:r>
      <w:r w:rsidR="00934D06" w:rsidRPr="00934D06">
        <w:rPr>
          <w:i/>
          <w:iCs/>
          <w:lang w:val="en-GB"/>
        </w:rPr>
        <w:t>et al</w:t>
      </w:r>
      <w:r w:rsidRPr="00934D06">
        <w:rPr>
          <w:lang w:val="en-GB"/>
        </w:rPr>
        <w:t xml:space="preserve">. (2012) posits that similar individuals in the context of a task-relevant similarity metric should be predicted similarly. This definition is theoretically strong, as discrimination against </w:t>
      </w:r>
      <w:r w:rsidR="00934D06" w:rsidRPr="00934D06">
        <w:rPr>
          <w:lang w:val="en-GB"/>
        </w:rPr>
        <w:t>individuals</w:t>
      </w:r>
      <w:r w:rsidRPr="00934D06">
        <w:rPr>
          <w:lang w:val="en-GB"/>
        </w:rPr>
        <w:t xml:space="preserve"> can be obscured by equity in group-level metrics, and it is </w:t>
      </w:r>
      <w:r w:rsidR="00934D06" w:rsidRPr="00934D06">
        <w:rPr>
          <w:lang w:val="en-GB"/>
        </w:rPr>
        <w:t>less</w:t>
      </w:r>
      <w:r w:rsidRPr="00934D06">
        <w:rPr>
          <w:lang w:val="en-GB"/>
        </w:rPr>
        <w:t xml:space="preserve"> challenging to define. The real-world implementation of this theory is defining the similarity metric in an acceptable way. In many contexts, there is not an agreed-upon way to determine how similar two individuals are for the role, and the selected metric can carry normative implications that are not straightforward.</w:t>
      </w:r>
    </w:p>
    <w:p w14:paraId="54B3C926" w14:textId="46F80C3A" w:rsidR="00D025BD" w:rsidRPr="00934D06" w:rsidRDefault="00D025BD" w:rsidP="00D025BD">
      <w:pPr>
        <w:spacing w:after="160" w:line="360" w:lineRule="auto"/>
        <w:jc w:val="both"/>
        <w:rPr>
          <w:lang w:val="en-GB"/>
        </w:rPr>
      </w:pPr>
      <w:r w:rsidRPr="00934D06">
        <w:rPr>
          <w:lang w:val="en-GB"/>
        </w:rPr>
        <w:lastRenderedPageBreak/>
        <w:t xml:space="preserve">Kusner </w:t>
      </w:r>
      <w:r w:rsidR="00934D06" w:rsidRPr="00934D06">
        <w:rPr>
          <w:i/>
          <w:iCs/>
          <w:lang w:val="en-GB"/>
        </w:rPr>
        <w:t>et al</w:t>
      </w:r>
      <w:r w:rsidRPr="00934D06">
        <w:rPr>
          <w:lang w:val="en-GB"/>
        </w:rPr>
        <w:t>. (2017) have developed an alternative individual-level definition of fairness known as counterfactual fairness, based on causal reasoning. A decision is counterfactually fair if it would be rendered invariant in a counterfactual situation in which the individual was a member of a different socially protected group, while being otherwise identical. This definition extends the fairness literature into the domain of causal analysis and sidesteps some challenges related to the definition of proximity in the fairness context. It does have some challenges, however, as it requires understanding the causal framework of the data generating process, which is typically unknown and will have to be provided by the analyst, thus adding additional normative assumptions.</w:t>
      </w:r>
    </w:p>
    <w:p w14:paraId="6C5ADAE6" w14:textId="77777777" w:rsidR="00284EEA" w:rsidRPr="00934D06" w:rsidRDefault="00000000">
      <w:pPr>
        <w:spacing w:before="280" w:after="120" w:line="360" w:lineRule="auto"/>
        <w:rPr>
          <w:lang w:val="en-GB"/>
        </w:rPr>
      </w:pPr>
      <w:r w:rsidRPr="00934D06">
        <w:rPr>
          <w:b/>
          <w:bCs/>
          <w:i/>
          <w:iCs/>
          <w:lang w:val="en-GB"/>
        </w:rPr>
        <w:t>2.4.3 Tensions and Trade-offs Between Fairness Definitions</w:t>
      </w:r>
    </w:p>
    <w:p w14:paraId="4078DB95" w14:textId="20A4557B" w:rsidR="00D025BD" w:rsidRPr="00934D06" w:rsidRDefault="00D025BD" w:rsidP="00D025BD">
      <w:pPr>
        <w:spacing w:after="160" w:line="360" w:lineRule="auto"/>
        <w:jc w:val="both"/>
        <w:rPr>
          <w:lang w:val="en-GB"/>
        </w:rPr>
      </w:pPr>
      <w:r w:rsidRPr="00934D06">
        <w:rPr>
          <w:lang w:val="en-GB"/>
        </w:rPr>
        <w:t xml:space="preserve">A prominent feature of the theoretical literature on fairness is that the definitions of fairness are often at odds with one another, and that the satisfaction of one definition requires the violation of another (Chouldechova, 2017; Barocas, Hardt and Moritz, 2023). These constraints are not features of a particular dataset or a model. The relations among the definitions of fairness are intrinsically mathematical. Kearns </w:t>
      </w:r>
      <w:r w:rsidR="00934D06" w:rsidRPr="00934D06">
        <w:rPr>
          <w:i/>
          <w:iCs/>
          <w:lang w:val="en-GB"/>
        </w:rPr>
        <w:t>et al</w:t>
      </w:r>
      <w:r w:rsidRPr="00934D06">
        <w:rPr>
          <w:lang w:val="en-GB"/>
        </w:rPr>
        <w:t xml:space="preserve">. (2018) have shown that satisfying group fairness criteria for all </w:t>
      </w:r>
      <w:r w:rsidR="00934D06" w:rsidRPr="00934D06">
        <w:rPr>
          <w:lang w:val="en-GB"/>
        </w:rPr>
        <w:t>subgroups</w:t>
      </w:r>
      <w:r w:rsidRPr="00934D06">
        <w:rPr>
          <w:lang w:val="en-GB"/>
        </w:rPr>
        <w:t xml:space="preserve"> of the population, rather than only for the protected groups defined in advance, poses significant, often insurmountable, computational and statistical problems.</w:t>
      </w:r>
    </w:p>
    <w:p w14:paraId="1368E34C" w14:textId="14EAB426" w:rsidR="00D025BD" w:rsidRPr="00934D06" w:rsidRDefault="00D025BD" w:rsidP="00D025BD">
      <w:pPr>
        <w:spacing w:after="160" w:line="360" w:lineRule="auto"/>
        <w:jc w:val="both"/>
        <w:rPr>
          <w:lang w:val="en-GB"/>
        </w:rPr>
      </w:pPr>
      <w:r w:rsidRPr="00934D06">
        <w:rPr>
          <w:lang w:val="en-GB"/>
        </w:rPr>
        <w:t xml:space="preserve">The implications of these findings on the mitigation of bias are many. It shows that the decision on which fairness definition to optimize is not a technical one, but an ethical and political one, which embeds specific viewpoints on what a fair outcome is (Mittelstadt </w:t>
      </w:r>
      <w:r w:rsidR="00934D06" w:rsidRPr="00934D06">
        <w:rPr>
          <w:i/>
          <w:iCs/>
          <w:lang w:val="en-GB"/>
        </w:rPr>
        <w:t>et al</w:t>
      </w:r>
      <w:r w:rsidRPr="00934D06">
        <w:rPr>
          <w:lang w:val="en-GB"/>
        </w:rPr>
        <w:t xml:space="preserve">., 2016; Floridi </w:t>
      </w:r>
      <w:r w:rsidR="00934D06" w:rsidRPr="00934D06">
        <w:rPr>
          <w:i/>
          <w:iCs/>
          <w:lang w:val="en-GB"/>
        </w:rPr>
        <w:t>et al</w:t>
      </w:r>
      <w:r w:rsidRPr="00934D06">
        <w:rPr>
          <w:lang w:val="en-GB"/>
        </w:rPr>
        <w:t xml:space="preserve">., 2018). Friedler </w:t>
      </w:r>
      <w:r w:rsidR="00934D06" w:rsidRPr="00934D06">
        <w:rPr>
          <w:i/>
          <w:iCs/>
          <w:lang w:val="en-GB"/>
        </w:rPr>
        <w:t>et al</w:t>
      </w:r>
      <w:r w:rsidRPr="00934D06">
        <w:rPr>
          <w:lang w:val="en-GB"/>
        </w:rPr>
        <w:t>. (2019) empirically studied several fairness-enhancing interventions and reported that the choice of fairness metric was more impactful to the results than the choice of fairness algorithm. Their findings further endorsed the notion that the choice of fairness metric is a critical value-laden decision that must be considered in all empirical studies on bias mitigation.</w:t>
      </w:r>
    </w:p>
    <w:p w14:paraId="534C9AD5" w14:textId="77777777" w:rsidR="00284EEA" w:rsidRPr="00934D06" w:rsidRDefault="00000000">
      <w:pPr>
        <w:spacing w:before="360" w:after="180" w:line="360" w:lineRule="auto"/>
        <w:rPr>
          <w:lang w:val="en-GB"/>
        </w:rPr>
      </w:pPr>
      <w:r w:rsidRPr="00934D06">
        <w:rPr>
          <w:b/>
          <w:bCs/>
          <w:lang w:val="en-GB"/>
        </w:rPr>
        <w:t>2.5 Bias Mitigation Techniques</w:t>
      </w:r>
    </w:p>
    <w:p w14:paraId="3CDCC109" w14:textId="77777777" w:rsidR="00284EEA" w:rsidRPr="00934D06" w:rsidRDefault="00000000">
      <w:pPr>
        <w:spacing w:before="280" w:after="120" w:line="360" w:lineRule="auto"/>
        <w:rPr>
          <w:lang w:val="en-GB"/>
        </w:rPr>
      </w:pPr>
      <w:r w:rsidRPr="00934D06">
        <w:rPr>
          <w:b/>
          <w:bCs/>
          <w:i/>
          <w:iCs/>
          <w:lang w:val="en-GB"/>
        </w:rPr>
        <w:t>2.5.1 Preprocessing Approaches</w:t>
      </w:r>
    </w:p>
    <w:p w14:paraId="7F0DEE7C" w14:textId="759A5204" w:rsidR="00F649CB" w:rsidRPr="00934D06" w:rsidRDefault="00F649CB" w:rsidP="00F649CB">
      <w:pPr>
        <w:spacing w:after="160" w:line="360" w:lineRule="auto"/>
        <w:jc w:val="both"/>
        <w:rPr>
          <w:lang w:val="en-GB"/>
        </w:rPr>
      </w:pPr>
      <w:r w:rsidRPr="00934D06">
        <w:rPr>
          <w:lang w:val="en-GB"/>
        </w:rPr>
        <w:t xml:space="preserve">Bias mitigation techniques that fall under the category of preprocessing involve the alteration of training data prior to the training of the model. The goal of these techniques is to eliminate </w:t>
      </w:r>
      <w:r w:rsidRPr="00934D06">
        <w:rPr>
          <w:lang w:val="en-GB"/>
        </w:rPr>
        <w:lastRenderedPageBreak/>
        <w:t xml:space="preserve">or reduce the capture of discriminatory bias within the data. The primary methods include reweighting, label adjustment, and removal of disparate impact (Kamiran and Calders, 2012; Feldman </w:t>
      </w:r>
      <w:r w:rsidR="00934D06" w:rsidRPr="00934D06">
        <w:rPr>
          <w:i/>
          <w:iCs/>
          <w:lang w:val="en-GB"/>
        </w:rPr>
        <w:t>et al</w:t>
      </w:r>
      <w:r w:rsidRPr="00934D06">
        <w:rPr>
          <w:lang w:val="en-GB"/>
        </w:rPr>
        <w:t xml:space="preserve">., 2015). The defining trait of these methods is that they manipulate the data independent of any </w:t>
      </w:r>
      <w:r w:rsidR="00934D06" w:rsidRPr="00934D06">
        <w:rPr>
          <w:lang w:val="en-GB"/>
        </w:rPr>
        <w:t>classifier</w:t>
      </w:r>
      <w:r w:rsidRPr="00934D06">
        <w:rPr>
          <w:lang w:val="en-GB"/>
        </w:rPr>
        <w:t>, which offers a useful benefit that the same modified data can be deployed with different models.</w:t>
      </w:r>
    </w:p>
    <w:p w14:paraId="5482FD16" w14:textId="77777777" w:rsidR="00F649CB" w:rsidRPr="00934D06" w:rsidRDefault="00F649CB" w:rsidP="00F649CB">
      <w:pPr>
        <w:spacing w:after="160" w:line="360" w:lineRule="auto"/>
        <w:jc w:val="both"/>
        <w:rPr>
          <w:lang w:val="en-GB"/>
        </w:rPr>
      </w:pPr>
      <w:r w:rsidRPr="00934D06">
        <w:rPr>
          <w:lang w:val="en-GB"/>
        </w:rPr>
        <w:t>Kamiran and Calders (2012) suggested a reweighting method whereby training instances are adjusted weights based on the outcome they represent for a less than fully represented outcome for a protected group. The purpose of this method is to train a model such that the training distribution does not reflect the historical data imbalances. A method described in the same article aims to adjust the labels of training instances to achieve greater balance among groups. However, the integrity of the ground truth is debatable in this case as well.</w:t>
      </w:r>
    </w:p>
    <w:p w14:paraId="6B9EF739" w14:textId="6EE17CD0" w:rsidR="00F649CB" w:rsidRPr="00934D06" w:rsidRDefault="00F649CB" w:rsidP="00F649CB">
      <w:pPr>
        <w:spacing w:after="160" w:line="360" w:lineRule="auto"/>
        <w:jc w:val="both"/>
        <w:rPr>
          <w:lang w:val="en-GB"/>
        </w:rPr>
      </w:pPr>
      <w:r w:rsidRPr="00934D06">
        <w:rPr>
          <w:lang w:val="en-GB"/>
        </w:rPr>
        <w:t xml:space="preserve">Feldman </w:t>
      </w:r>
      <w:r w:rsidR="00934D06" w:rsidRPr="00934D06">
        <w:rPr>
          <w:i/>
          <w:iCs/>
          <w:lang w:val="en-GB"/>
        </w:rPr>
        <w:t>et al</w:t>
      </w:r>
      <w:r w:rsidRPr="00934D06">
        <w:rPr>
          <w:lang w:val="en-GB"/>
        </w:rPr>
        <w:t xml:space="preserve">. (2015) describe a method known as disparate impact removal, which involves modification of the numeric attributes of the dataset such that the correlation of the attributes to the protected class is minimized, while the predictive strength is maintained. This method is based on the legal standard of disparate impact and provides a formal guarantee that the resultant dataset </w:t>
      </w:r>
      <w:r w:rsidR="00934D06" w:rsidRPr="00934D06">
        <w:rPr>
          <w:lang w:val="en-GB"/>
        </w:rPr>
        <w:t>follows</w:t>
      </w:r>
      <w:r w:rsidRPr="00934D06">
        <w:rPr>
          <w:lang w:val="en-GB"/>
        </w:rPr>
        <w:t xml:space="preserve"> the four fifths rule in the case of employment discrimination in the United States. Calmon </w:t>
      </w:r>
      <w:r w:rsidR="00934D06" w:rsidRPr="00934D06">
        <w:rPr>
          <w:i/>
          <w:iCs/>
          <w:lang w:val="en-GB"/>
        </w:rPr>
        <w:t>et al</w:t>
      </w:r>
      <w:r w:rsidRPr="00934D06">
        <w:rPr>
          <w:lang w:val="en-GB"/>
        </w:rPr>
        <w:t xml:space="preserve">. (2017) built on this work by placing a constraint optimization formulation on preprocessing, which allows the degree of discrimination to be decreased and the degree of distortion to the data be controlled. A common restriction of most preprocessing methods is that they operate on the data without reference to the model to be applied to it, and the fairness of the transformed data may not be guaranteed </w:t>
      </w:r>
      <w:r w:rsidR="00934D06" w:rsidRPr="00934D06">
        <w:rPr>
          <w:lang w:val="en-GB"/>
        </w:rPr>
        <w:t>using</w:t>
      </w:r>
      <w:r w:rsidRPr="00934D06">
        <w:rPr>
          <w:lang w:val="en-GB"/>
        </w:rPr>
        <w:t xml:space="preserve"> arbitrary classifiers (Friedler </w:t>
      </w:r>
      <w:r w:rsidR="00934D06" w:rsidRPr="00934D06">
        <w:rPr>
          <w:i/>
          <w:iCs/>
          <w:lang w:val="en-GB"/>
        </w:rPr>
        <w:t>et al</w:t>
      </w:r>
      <w:r w:rsidRPr="00934D06">
        <w:rPr>
          <w:lang w:val="en-GB"/>
        </w:rPr>
        <w:t>., 2019).</w:t>
      </w:r>
    </w:p>
    <w:p w14:paraId="458BA0C1" w14:textId="77777777" w:rsidR="00284EEA" w:rsidRPr="00934D06" w:rsidRDefault="00000000">
      <w:pPr>
        <w:spacing w:before="280" w:after="120" w:line="360" w:lineRule="auto"/>
        <w:rPr>
          <w:lang w:val="en-GB"/>
        </w:rPr>
      </w:pPr>
      <w:r w:rsidRPr="00934D06">
        <w:rPr>
          <w:b/>
          <w:bCs/>
          <w:i/>
          <w:iCs/>
          <w:lang w:val="en-GB"/>
        </w:rPr>
        <w:t>2.5.2 In-processing Approaches</w:t>
      </w:r>
    </w:p>
    <w:p w14:paraId="0BFA819F" w14:textId="11E6A622" w:rsidR="00F649CB" w:rsidRPr="00934D06" w:rsidRDefault="00F649CB" w:rsidP="00F649CB">
      <w:pPr>
        <w:spacing w:after="160" w:line="360" w:lineRule="auto"/>
        <w:jc w:val="both"/>
        <w:rPr>
          <w:lang w:val="en-GB"/>
        </w:rPr>
      </w:pPr>
      <w:r w:rsidRPr="00934D06">
        <w:rPr>
          <w:lang w:val="en-GB"/>
        </w:rPr>
        <w:t xml:space="preserve">In-processing methods embed fairness constraints within the model training objective by means of regularization, constrained optimization, or adversarial methods. As an example, Kamishima </w:t>
      </w:r>
      <w:r w:rsidR="00934D06" w:rsidRPr="00934D06">
        <w:rPr>
          <w:i/>
          <w:iCs/>
          <w:lang w:val="en-GB"/>
        </w:rPr>
        <w:t>et al</w:t>
      </w:r>
      <w:r w:rsidRPr="00934D06">
        <w:rPr>
          <w:lang w:val="en-GB"/>
        </w:rPr>
        <w:t xml:space="preserve">. (2012) offered the prejudice remover </w:t>
      </w:r>
      <w:r w:rsidR="00934D06" w:rsidRPr="00934D06">
        <w:rPr>
          <w:lang w:val="en-GB"/>
        </w:rPr>
        <w:t>regularize</w:t>
      </w:r>
      <w:r w:rsidRPr="00934D06">
        <w:rPr>
          <w:lang w:val="en-GB"/>
        </w:rPr>
        <w:t xml:space="preserve">, which adds a penalty term to the learning objective to discourage dependency of model predictions on protected attributes. The degree of regularization determines the accuracy-fairness trade-off, which can be adjusted to </w:t>
      </w:r>
      <w:r w:rsidR="00934D06" w:rsidRPr="00934D06">
        <w:rPr>
          <w:lang w:val="en-GB"/>
        </w:rPr>
        <w:t>needs</w:t>
      </w:r>
      <w:r w:rsidRPr="00934D06">
        <w:rPr>
          <w:lang w:val="en-GB"/>
        </w:rPr>
        <w:t xml:space="preserve"> for the deployment.</w:t>
      </w:r>
    </w:p>
    <w:p w14:paraId="244B587A" w14:textId="5AFF1E7E" w:rsidR="00F649CB" w:rsidRPr="00934D06" w:rsidRDefault="00F649CB" w:rsidP="00F649CB">
      <w:pPr>
        <w:spacing w:after="160" w:line="360" w:lineRule="auto"/>
        <w:jc w:val="both"/>
        <w:rPr>
          <w:lang w:val="en-GB"/>
        </w:rPr>
      </w:pPr>
      <w:r w:rsidRPr="00934D06">
        <w:rPr>
          <w:lang w:val="en-GB"/>
        </w:rPr>
        <w:t xml:space="preserve">Zafar </w:t>
      </w:r>
      <w:r w:rsidR="00934D06" w:rsidRPr="00934D06">
        <w:rPr>
          <w:i/>
          <w:iCs/>
          <w:lang w:val="en-GB"/>
        </w:rPr>
        <w:t>et al</w:t>
      </w:r>
      <w:r w:rsidRPr="00934D06">
        <w:rPr>
          <w:lang w:val="en-GB"/>
        </w:rPr>
        <w:t xml:space="preserve">. (2017) introduced a fairness-aware classification framework allowing for different formulations of fairness, including demographic parity and disparate mistreatment, to be </w:t>
      </w:r>
      <w:r w:rsidRPr="00934D06">
        <w:rPr>
          <w:lang w:val="en-GB"/>
        </w:rPr>
        <w:lastRenderedPageBreak/>
        <w:t>codified as constraints of the learning optimization problem. Their method ensures that the fairness criterion is satisfied for the training distribution, though the fairness guarantee may not be applicable to other held-out distributions.</w:t>
      </w:r>
    </w:p>
    <w:p w14:paraId="789246F9" w14:textId="443DD944" w:rsidR="00F649CB" w:rsidRPr="00934D06" w:rsidRDefault="00F649CB" w:rsidP="00F649CB">
      <w:pPr>
        <w:spacing w:after="160" w:line="360" w:lineRule="auto"/>
        <w:jc w:val="both"/>
        <w:rPr>
          <w:lang w:val="en-GB"/>
        </w:rPr>
      </w:pPr>
      <w:r w:rsidRPr="00934D06">
        <w:rPr>
          <w:lang w:val="en-GB"/>
        </w:rPr>
        <w:t xml:space="preserve">Zemel and colleagues (2013) suggested the idea of learning fair representations, which is a framework that assigns an input feature to an intermediate representation in such a way that it minimizes classification error, maximizes independence from the protected attribute, and retains the information of the original input feature. This framework has inspired the development of several adversarial debiasing techniques. Zhang, Lemoine, and Mitchell (2018) introduced adversarial debiasing, in which a classification model and an adversary are trained together, the latter being a model tasked with predicting the protected attribute based on the classification model's predictions. </w:t>
      </w:r>
      <w:r w:rsidR="00934D06" w:rsidRPr="00934D06">
        <w:rPr>
          <w:lang w:val="en-GB"/>
        </w:rPr>
        <w:t>The</w:t>
      </w:r>
      <w:r w:rsidRPr="00934D06">
        <w:rPr>
          <w:lang w:val="en-GB"/>
        </w:rPr>
        <w:t xml:space="preserve"> classification model is trained to improve its accuracy while the adversary is trained to improve its prediction ability the least. Despite the added complexity to their design, relative learning rates and training sensitivity which are the main disadvantages of adversarial approaches, they have gained considerable popularity within the deep learning community because of their inherent flexibility and ease of integration with state-of-the-art deep learning architectures.</w:t>
      </w:r>
    </w:p>
    <w:p w14:paraId="6172D628" w14:textId="77777777" w:rsidR="00284EEA" w:rsidRPr="00934D06" w:rsidRDefault="00000000">
      <w:pPr>
        <w:spacing w:before="280" w:after="120" w:line="360" w:lineRule="auto"/>
        <w:rPr>
          <w:lang w:val="en-GB"/>
        </w:rPr>
      </w:pPr>
      <w:r w:rsidRPr="00934D06">
        <w:rPr>
          <w:b/>
          <w:bCs/>
          <w:i/>
          <w:iCs/>
          <w:lang w:val="en-GB"/>
        </w:rPr>
        <w:t>2.5.3 Postprocessing Approaches</w:t>
      </w:r>
    </w:p>
    <w:p w14:paraId="2D2FC77A" w14:textId="77777777" w:rsidR="000E51C3" w:rsidRPr="00934D06" w:rsidRDefault="000E51C3" w:rsidP="000E51C3">
      <w:pPr>
        <w:spacing w:after="160" w:line="360" w:lineRule="auto"/>
        <w:jc w:val="both"/>
        <w:rPr>
          <w:lang w:val="en-GB"/>
        </w:rPr>
      </w:pPr>
      <w:r w:rsidRPr="00934D06">
        <w:rPr>
          <w:lang w:val="en-GB"/>
        </w:rPr>
        <w:t>Postprocessing techniques change the output of a classifier after training, as opposed to changing the training data or the training process itself. The main advantage of postprocessing techniques is that they can be applied to classifiers that have already been deployed, and therefore, can be used in situations where the training data cannot be obtained because the model is proprietary or the training data is no longer available.</w:t>
      </w:r>
    </w:p>
    <w:p w14:paraId="4E954503" w14:textId="125E5D32" w:rsidR="000E51C3" w:rsidRPr="00934D06" w:rsidRDefault="000E51C3" w:rsidP="000E51C3">
      <w:pPr>
        <w:spacing w:after="160" w:line="360" w:lineRule="auto"/>
        <w:jc w:val="both"/>
        <w:rPr>
          <w:lang w:val="en-GB"/>
        </w:rPr>
      </w:pPr>
      <w:r w:rsidRPr="00934D06">
        <w:rPr>
          <w:lang w:val="en-GB"/>
        </w:rPr>
        <w:t xml:space="preserve">Hardt, Price, and Srebro (2016) suggested one of the first postprocessing techniques that aims to achieve equalized odds by applying different decision thresholds to different groups. The solution to the linear program yields the decision thresholds that minimize expected accuracy loss while satisfying the fairness constraint. This solution may be viewed as putting a group-specific decision process on a group-specific treatment in the process. This may have legal or ethical implications in jurisdictions where differential treatment of individuals in decision-making processes is constrained for members of protected groups. Pleiss </w:t>
      </w:r>
      <w:r w:rsidR="00934D06" w:rsidRPr="00934D06">
        <w:rPr>
          <w:i/>
          <w:iCs/>
          <w:lang w:val="en-GB"/>
        </w:rPr>
        <w:t>et al</w:t>
      </w:r>
      <w:r w:rsidRPr="00934D06">
        <w:rPr>
          <w:lang w:val="en-GB"/>
        </w:rPr>
        <w:t xml:space="preserve">. (2017) </w:t>
      </w:r>
      <w:r w:rsidR="00934D06" w:rsidRPr="00934D06">
        <w:rPr>
          <w:lang w:val="en-GB"/>
        </w:rPr>
        <w:t>analysed</w:t>
      </w:r>
      <w:r w:rsidRPr="00934D06">
        <w:rPr>
          <w:lang w:val="en-GB"/>
        </w:rPr>
        <w:t xml:space="preserve"> other postprocessing techniques based on calibration and established that, in the case of different group base rates, equalized odds and calibration cannot be achieved.</w:t>
      </w:r>
    </w:p>
    <w:p w14:paraId="786526C9" w14:textId="77777777" w:rsidR="00284EEA" w:rsidRPr="00934D06" w:rsidRDefault="00000000">
      <w:pPr>
        <w:spacing w:before="280" w:after="120" w:line="360" w:lineRule="auto"/>
        <w:rPr>
          <w:lang w:val="en-GB"/>
        </w:rPr>
      </w:pPr>
      <w:r w:rsidRPr="00934D06">
        <w:rPr>
          <w:b/>
          <w:bCs/>
          <w:i/>
          <w:iCs/>
          <w:lang w:val="en-GB"/>
        </w:rPr>
        <w:lastRenderedPageBreak/>
        <w:t>2.5.4 Comparative Evaluation of Mitigation Strategies</w:t>
      </w:r>
    </w:p>
    <w:p w14:paraId="6B064562" w14:textId="0F829D26" w:rsidR="000E51C3" w:rsidRPr="00934D06" w:rsidRDefault="000E51C3" w:rsidP="000E51C3">
      <w:pPr>
        <w:spacing w:after="160" w:line="360" w:lineRule="auto"/>
        <w:jc w:val="both"/>
        <w:rPr>
          <w:lang w:val="en-GB"/>
        </w:rPr>
      </w:pPr>
      <w:r w:rsidRPr="00934D06">
        <w:rPr>
          <w:lang w:val="en-GB"/>
        </w:rPr>
        <w:t xml:space="preserve">Although there have been many individual bias mitigation strategies studies, the literature remains scarce on studies that </w:t>
      </w:r>
      <w:r w:rsidR="00934D06" w:rsidRPr="00934D06">
        <w:rPr>
          <w:lang w:val="en-GB"/>
        </w:rPr>
        <w:t>analyse</w:t>
      </w:r>
      <w:r w:rsidRPr="00934D06">
        <w:rPr>
          <w:lang w:val="en-GB"/>
        </w:rPr>
        <w:t xml:space="preserve"> multiple bias mitigation strategies using the same datasets, metrics, and methods. An example of one of the more sophisticated comparative studies is that of Friedler </w:t>
      </w:r>
      <w:r w:rsidR="00934D06" w:rsidRPr="00934D06">
        <w:rPr>
          <w:i/>
          <w:iCs/>
          <w:lang w:val="en-GB"/>
        </w:rPr>
        <w:t>et al</w:t>
      </w:r>
      <w:r w:rsidRPr="00934D06">
        <w:rPr>
          <w:lang w:val="en-GB"/>
        </w:rPr>
        <w:t xml:space="preserve">. (2019). They identified nine different fairness interventions and </w:t>
      </w:r>
      <w:r w:rsidR="00934D06" w:rsidRPr="00934D06">
        <w:rPr>
          <w:lang w:val="en-GB"/>
        </w:rPr>
        <w:t>evaluated</w:t>
      </w:r>
      <w:r w:rsidRPr="00934D06">
        <w:rPr>
          <w:lang w:val="en-GB"/>
        </w:rPr>
        <w:t xml:space="preserve"> them on six different datasets. They also evaluated the fairness interventions using different metrics of fairness and different measures of accuracy. They found that, in general, there was no best approach, as the relative outcomes of the different mitigations was significantly dependent on the fairness metric used.</w:t>
      </w:r>
    </w:p>
    <w:p w14:paraId="058BC283" w14:textId="6D342C9A" w:rsidR="000E51C3" w:rsidRPr="00934D06" w:rsidRDefault="000E51C3" w:rsidP="000E51C3">
      <w:pPr>
        <w:spacing w:after="160" w:line="360" w:lineRule="auto"/>
        <w:jc w:val="both"/>
        <w:rPr>
          <w:lang w:val="en-GB"/>
        </w:rPr>
      </w:pPr>
      <w:r w:rsidRPr="00934D06">
        <w:rPr>
          <w:lang w:val="en-GB"/>
        </w:rPr>
        <w:t>In their review, Pessach and Shmueli (2022) also drew similar conclusions, noticing that the accuracy-fairness trade-off was not a characteristic of a specific method, but was significantly dependent on the dataset and the protected attribute, as well as how one defined fairness. Caton and Haas (2024) noted another issue, in that due to the lack of uniform benchmarks and evaluation methods, different studies published independently of each other are not comparable, since the studies used different datasets, metrics, and baseline settings. This observation has guided the design of the experiments of this study, where the same datasets are used to assess pre-processing, in-processing, and post-processing strategies within the same evaluation framework.</w:t>
      </w:r>
    </w:p>
    <w:p w14:paraId="0F656E24" w14:textId="77777777" w:rsidR="00284EEA" w:rsidRPr="00934D06" w:rsidRDefault="00000000">
      <w:pPr>
        <w:spacing w:before="360" w:after="180" w:line="360" w:lineRule="auto"/>
        <w:rPr>
          <w:lang w:val="en-GB"/>
        </w:rPr>
      </w:pPr>
      <w:r w:rsidRPr="00934D06">
        <w:rPr>
          <w:b/>
          <w:bCs/>
          <w:lang w:val="en-GB"/>
        </w:rPr>
        <w:t>2.6 Tools and Frameworks for Fairness in Machine Learning</w:t>
      </w:r>
    </w:p>
    <w:p w14:paraId="413F173F" w14:textId="77777777" w:rsidR="00284EEA" w:rsidRPr="00934D06" w:rsidRDefault="00000000">
      <w:pPr>
        <w:spacing w:before="280" w:after="120" w:line="360" w:lineRule="auto"/>
        <w:rPr>
          <w:lang w:val="en-GB"/>
        </w:rPr>
      </w:pPr>
      <w:r w:rsidRPr="00934D06">
        <w:rPr>
          <w:b/>
          <w:bCs/>
          <w:i/>
          <w:iCs/>
          <w:lang w:val="en-GB"/>
        </w:rPr>
        <w:t>2.6.1 IBM AI Fairness 360</w:t>
      </w:r>
    </w:p>
    <w:p w14:paraId="055EAE2F" w14:textId="37D55B08" w:rsidR="00DA4D97" w:rsidRPr="00934D06" w:rsidRDefault="00DA4D97" w:rsidP="00DA4D97">
      <w:pPr>
        <w:spacing w:after="160" w:line="360" w:lineRule="auto"/>
        <w:jc w:val="both"/>
        <w:rPr>
          <w:lang w:val="en-GB"/>
        </w:rPr>
      </w:pPr>
      <w:r w:rsidRPr="00934D06">
        <w:rPr>
          <w:lang w:val="en-GB"/>
        </w:rPr>
        <w:t xml:space="preserve">IBM AI Fairness 360 is an open-source Python toolkit containing implementations for over </w:t>
      </w:r>
      <w:r w:rsidR="00934D06" w:rsidRPr="00934D06">
        <w:rPr>
          <w:lang w:val="en-GB"/>
        </w:rPr>
        <w:t>seventy</w:t>
      </w:r>
      <w:r w:rsidRPr="00934D06">
        <w:rPr>
          <w:lang w:val="en-GB"/>
        </w:rPr>
        <w:t xml:space="preserve"> bias detection metrics and more than 10 algorithms for mitigating bias across all three categories of intervention (Bellamy </w:t>
      </w:r>
      <w:r w:rsidR="00934D06" w:rsidRPr="00934D06">
        <w:rPr>
          <w:i/>
          <w:iCs/>
          <w:lang w:val="en-GB"/>
        </w:rPr>
        <w:t>et al</w:t>
      </w:r>
      <w:r w:rsidRPr="00934D06">
        <w:rPr>
          <w:lang w:val="en-GB"/>
        </w:rPr>
        <w:t>., 2019). This toolkit contains a bias mitigation intervention modular design that incorporates a dataset abstraction in the bias mitigation intervention that enables the consistent application of algorithms across different data sources. It features a module for fairness metrics that enables the computation of multiple fairness criteria in parallel. These design features address the standardization issue noted by Caton and Haas (2024) and allow for comparison and evaluation reproducibility.</w:t>
      </w:r>
    </w:p>
    <w:p w14:paraId="4554DB94" w14:textId="5914E901" w:rsidR="00DA4D97" w:rsidRPr="00934D06" w:rsidRDefault="00DA4D97" w:rsidP="00934D06">
      <w:pPr>
        <w:spacing w:after="160" w:line="360" w:lineRule="auto"/>
        <w:jc w:val="both"/>
        <w:rPr>
          <w:lang w:val="en-GB"/>
        </w:rPr>
      </w:pPr>
      <w:r w:rsidRPr="00934D06">
        <w:rPr>
          <w:lang w:val="en-GB"/>
        </w:rPr>
        <w:t xml:space="preserve">Bellamy </w:t>
      </w:r>
      <w:r w:rsidR="00934D06" w:rsidRPr="00934D06">
        <w:rPr>
          <w:i/>
          <w:iCs/>
          <w:lang w:val="en-GB"/>
        </w:rPr>
        <w:t>et al</w:t>
      </w:r>
      <w:r w:rsidRPr="00934D06">
        <w:rPr>
          <w:lang w:val="en-GB"/>
        </w:rPr>
        <w:t xml:space="preserve">. (2019) detail the design of the toolkit and highlight the focus on principles of reproducibility, extensibility, and use by practitioners of varying degrees of technical expertise. The toolkit has become a benchmark in empirical fairness research, and its use in the research </w:t>
      </w:r>
      <w:r w:rsidRPr="00934D06">
        <w:rPr>
          <w:lang w:val="en-GB"/>
        </w:rPr>
        <w:lastRenderedPageBreak/>
        <w:t>literature has established a standard to which other research efforts can more readily be compared and replicated. AI Fairness 360 is the primary toolkit used in this work to dutifully align research efforts and to facilitate the reproduction of empirical results in the absence of other research efforts.</w:t>
      </w:r>
    </w:p>
    <w:p w14:paraId="0565CBE6" w14:textId="77777777" w:rsidR="00284EEA" w:rsidRPr="00934D06" w:rsidRDefault="00000000">
      <w:pPr>
        <w:spacing w:before="280" w:after="120" w:line="360" w:lineRule="auto"/>
        <w:rPr>
          <w:lang w:val="en-GB"/>
        </w:rPr>
      </w:pPr>
      <w:r w:rsidRPr="00934D06">
        <w:rPr>
          <w:b/>
          <w:bCs/>
          <w:i/>
          <w:iCs/>
          <w:lang w:val="en-GB"/>
        </w:rPr>
        <w:t>2.6.2 Microsoft Fairlearn</w:t>
      </w:r>
    </w:p>
    <w:p w14:paraId="6063EB27" w14:textId="11E6BEE3" w:rsidR="00DA4D97" w:rsidRPr="00934D06" w:rsidRDefault="00DA4D97" w:rsidP="00DA4D97">
      <w:pPr>
        <w:spacing w:after="160" w:line="360" w:lineRule="auto"/>
        <w:jc w:val="both"/>
        <w:rPr>
          <w:lang w:val="en-GB"/>
        </w:rPr>
      </w:pPr>
      <w:r w:rsidRPr="00934D06">
        <w:rPr>
          <w:lang w:val="en-GB"/>
        </w:rPr>
        <w:t xml:space="preserve">Fairlearn is an open-source tool from Microsoft Research that is focused on post-processing and optimization methods for fairness in classification and regression (Bird </w:t>
      </w:r>
      <w:r w:rsidR="00934D06" w:rsidRPr="00934D06">
        <w:rPr>
          <w:i/>
          <w:iCs/>
          <w:lang w:val="en-GB"/>
        </w:rPr>
        <w:t>et al</w:t>
      </w:r>
      <w:r w:rsidRPr="00934D06">
        <w:rPr>
          <w:lang w:val="en-GB"/>
        </w:rPr>
        <w:t xml:space="preserve">., 2020). Its primary contribution is the reduction algorithm, which allows users to constrain any scikit-learn classifiers to be compliant with specific fairness requirements. As a result, it extends the applicability of scikit-learn to all available classification (Pedregosa </w:t>
      </w:r>
      <w:r w:rsidR="00934D06" w:rsidRPr="00934D06">
        <w:rPr>
          <w:i/>
          <w:iCs/>
          <w:lang w:val="en-GB"/>
        </w:rPr>
        <w:t>et al</w:t>
      </w:r>
      <w:r w:rsidRPr="00934D06">
        <w:rPr>
          <w:lang w:val="en-GB"/>
        </w:rPr>
        <w:t>., 2011). It is a user-friendly extension to standard ML tools, which decreases the threshold for practitioners to adopt fairness constraints in ML solutions.</w:t>
      </w:r>
    </w:p>
    <w:p w14:paraId="48DA8DB9" w14:textId="24C415D9" w:rsidR="00DA4D97" w:rsidRPr="00934D06" w:rsidRDefault="00DA4D97" w:rsidP="00DA4D97">
      <w:pPr>
        <w:spacing w:after="160" w:line="360" w:lineRule="auto"/>
        <w:jc w:val="both"/>
        <w:rPr>
          <w:lang w:val="en-GB"/>
        </w:rPr>
      </w:pPr>
      <w:r w:rsidRPr="00934D06">
        <w:rPr>
          <w:lang w:val="en-GB"/>
        </w:rPr>
        <w:t xml:space="preserve">Fairlearn, as described by Bird </w:t>
      </w:r>
      <w:r w:rsidR="00934D06" w:rsidRPr="00934D06">
        <w:rPr>
          <w:i/>
          <w:iCs/>
          <w:lang w:val="en-GB"/>
        </w:rPr>
        <w:t>et al</w:t>
      </w:r>
      <w:r w:rsidRPr="00934D06">
        <w:rPr>
          <w:lang w:val="en-GB"/>
        </w:rPr>
        <w:t xml:space="preserve">. (2020), has its focus on transparency in the decision-making process by incorporating an interactive dashboard with trade-off model configurations between fairness and accuracy for various demographic groups. This captures the understanding that reducing bias does not solely concern tackling a technical optimization problem but rather is a judgment call that incorporates stakeholder </w:t>
      </w:r>
      <w:r w:rsidR="00934D06" w:rsidRPr="00934D06">
        <w:rPr>
          <w:lang w:val="en-GB"/>
        </w:rPr>
        <w:t>input and</w:t>
      </w:r>
      <w:r w:rsidRPr="00934D06">
        <w:rPr>
          <w:lang w:val="en-GB"/>
        </w:rPr>
        <w:t xml:space="preserve"> aligns with the overall framework of trustworthy AI articulated in Section 2.8.</w:t>
      </w:r>
    </w:p>
    <w:p w14:paraId="43FBE608" w14:textId="77777777" w:rsidR="00284EEA" w:rsidRPr="00934D06" w:rsidRDefault="00000000">
      <w:pPr>
        <w:spacing w:before="360" w:after="180" w:line="360" w:lineRule="auto"/>
        <w:rPr>
          <w:lang w:val="en-GB"/>
        </w:rPr>
      </w:pPr>
      <w:r w:rsidRPr="00934D06">
        <w:rPr>
          <w:b/>
          <w:bCs/>
          <w:lang w:val="en-GB"/>
        </w:rPr>
        <w:t>2.7 Legal and Regulatory Context</w:t>
      </w:r>
    </w:p>
    <w:p w14:paraId="31B48C23" w14:textId="534BBC09" w:rsidR="00284EEA" w:rsidRPr="00934D06" w:rsidRDefault="00000000">
      <w:pPr>
        <w:spacing w:before="280" w:after="120" w:line="360" w:lineRule="auto"/>
        <w:rPr>
          <w:lang w:val="en-GB"/>
        </w:rPr>
      </w:pPr>
      <w:r w:rsidRPr="00934D06">
        <w:rPr>
          <w:b/>
          <w:bCs/>
          <w:i/>
          <w:iCs/>
          <w:lang w:val="en-GB"/>
        </w:rPr>
        <w:t xml:space="preserve">2.7.1 The EU AI Act and </w:t>
      </w:r>
      <w:r w:rsidR="00934D06" w:rsidRPr="00934D06">
        <w:rPr>
          <w:b/>
          <w:bCs/>
          <w:i/>
          <w:iCs/>
          <w:lang w:val="en-GB"/>
        </w:rPr>
        <w:t>High-Risk</w:t>
      </w:r>
      <w:r w:rsidRPr="00934D06">
        <w:rPr>
          <w:b/>
          <w:bCs/>
          <w:i/>
          <w:iCs/>
          <w:lang w:val="en-GB"/>
        </w:rPr>
        <w:t xml:space="preserve"> AI Systems</w:t>
      </w:r>
    </w:p>
    <w:p w14:paraId="54457C3F" w14:textId="556A7234" w:rsidR="001E3058" w:rsidRPr="00934D06" w:rsidRDefault="001E3058" w:rsidP="001E3058">
      <w:pPr>
        <w:spacing w:after="160" w:line="360" w:lineRule="auto"/>
        <w:jc w:val="both"/>
        <w:rPr>
          <w:lang w:val="en-GB"/>
        </w:rPr>
      </w:pPr>
      <w:r w:rsidRPr="00934D06">
        <w:rPr>
          <w:lang w:val="en-GB"/>
        </w:rPr>
        <w:t xml:space="preserve">The European Union’s AI (Artificial Intelligence) Act formally adopted in June 2024 is the most extensive piece of legislation on Artificial Intelligence to date (European Parliament and Council, 2024). In the realm of work, the EU AI Act considers systems used for recruitment, employee selection, and performance assessment to be high risk, which creates several responsibilities for system providers and users. These responsibilities involve mandatory assessment of system conformity and more </w:t>
      </w:r>
      <w:r w:rsidR="00934D06" w:rsidRPr="00934D06">
        <w:rPr>
          <w:lang w:val="en-GB"/>
        </w:rPr>
        <w:t>extensive</w:t>
      </w:r>
      <w:r w:rsidRPr="00934D06">
        <w:rPr>
          <w:lang w:val="en-GB"/>
        </w:rPr>
        <w:t xml:space="preserve"> systems documentation, as well as the establishment of human oversight and the </w:t>
      </w:r>
      <w:r w:rsidR="00934D06" w:rsidRPr="00934D06">
        <w:rPr>
          <w:lang w:val="en-GB"/>
        </w:rPr>
        <w:t>fulfilment</w:t>
      </w:r>
      <w:r w:rsidRPr="00934D06">
        <w:rPr>
          <w:lang w:val="en-GB"/>
        </w:rPr>
        <w:t xml:space="preserve"> of post marketplace obligations. The EU AI Act categorizes employment system automation as high risk, as systems used to make employment decisions have the potential to cause harmful and irreversible damage to individuals.</w:t>
      </w:r>
    </w:p>
    <w:p w14:paraId="4F06A2EC" w14:textId="62A00721" w:rsidR="001E3058" w:rsidRPr="00934D06" w:rsidRDefault="001E3058" w:rsidP="001E3058">
      <w:pPr>
        <w:spacing w:after="160" w:line="360" w:lineRule="auto"/>
        <w:jc w:val="both"/>
        <w:rPr>
          <w:lang w:val="en-GB"/>
        </w:rPr>
      </w:pPr>
      <w:r w:rsidRPr="00934D06">
        <w:rPr>
          <w:lang w:val="en-GB"/>
        </w:rPr>
        <w:lastRenderedPageBreak/>
        <w:t xml:space="preserve">Kleinberg </w:t>
      </w:r>
      <w:r w:rsidR="00934D06" w:rsidRPr="00934D06">
        <w:rPr>
          <w:i/>
          <w:iCs/>
          <w:lang w:val="en-GB"/>
        </w:rPr>
        <w:t>et al</w:t>
      </w:r>
      <w:r w:rsidRPr="00934D06">
        <w:rPr>
          <w:lang w:val="en-GB"/>
        </w:rPr>
        <w:t>. (2019) argued in one of their legal analyses that the challenge of algorithmic discrimination is unique, as the mechanisms of discrimination in algorithmic systems are different than those in systems of human decision-making. Consequently, many challenges remain in applying anti-discrimination laws to such systems. Although the EU AI Act does impose process obligations (as opposed to obligations) to such systems, many of the provisions remain subject to regulators’ discretion.</w:t>
      </w:r>
    </w:p>
    <w:p w14:paraId="63E561F0" w14:textId="77777777" w:rsidR="00284EEA" w:rsidRPr="00934D06" w:rsidRDefault="00000000">
      <w:pPr>
        <w:spacing w:before="280" w:after="120" w:line="360" w:lineRule="auto"/>
        <w:rPr>
          <w:lang w:val="en-GB"/>
        </w:rPr>
      </w:pPr>
      <w:r w:rsidRPr="00934D06">
        <w:rPr>
          <w:b/>
          <w:bCs/>
          <w:i/>
          <w:iCs/>
          <w:lang w:val="en-GB"/>
        </w:rPr>
        <w:t>2.7.2 UK Equality and Data Protection Legislation</w:t>
      </w:r>
    </w:p>
    <w:p w14:paraId="7CD74A53" w14:textId="6FAC2967" w:rsidR="001E3058" w:rsidRPr="00934D06" w:rsidRDefault="001E3058" w:rsidP="001E3058">
      <w:pPr>
        <w:spacing w:after="160" w:line="360" w:lineRule="auto"/>
        <w:jc w:val="both"/>
        <w:rPr>
          <w:lang w:val="en-GB"/>
        </w:rPr>
      </w:pPr>
      <w:r w:rsidRPr="00934D06">
        <w:rPr>
          <w:lang w:val="en-GB"/>
        </w:rPr>
        <w:t xml:space="preserve">Under the Equality Act 2010, all forms of discrimination based on certain protected characteristics in the workplace are banned in the UK (UK Government, 2010). The concept of indirect discrimination is the most relevant to the nature of </w:t>
      </w:r>
      <w:r w:rsidR="00934D06" w:rsidRPr="00934D06">
        <w:rPr>
          <w:lang w:val="en-GB"/>
        </w:rPr>
        <w:t>most of the</w:t>
      </w:r>
      <w:r w:rsidRPr="00934D06">
        <w:rPr>
          <w:lang w:val="en-GB"/>
        </w:rPr>
        <w:t xml:space="preserve"> algorithmic recruitment systems. Such systems may not use the protected characteristics </w:t>
      </w:r>
      <w:r w:rsidR="00934D06" w:rsidRPr="00934D06">
        <w:rPr>
          <w:lang w:val="en-GB"/>
        </w:rPr>
        <w:t>directly;</w:t>
      </w:r>
      <w:r w:rsidRPr="00934D06">
        <w:rPr>
          <w:lang w:val="en-GB"/>
        </w:rPr>
        <w:t xml:space="preserve"> however, they may cause indirect discrimination by means of disparate impact using correlated variables. Therefore, these systems fall within the indirect discrimination law.</w:t>
      </w:r>
    </w:p>
    <w:p w14:paraId="50321BE3" w14:textId="718FFC93" w:rsidR="001E3058" w:rsidRPr="00934D06" w:rsidRDefault="001E3058" w:rsidP="001E3058">
      <w:pPr>
        <w:spacing w:after="160" w:line="360" w:lineRule="auto"/>
        <w:jc w:val="both"/>
        <w:rPr>
          <w:lang w:val="en-GB"/>
        </w:rPr>
      </w:pPr>
      <w:r w:rsidRPr="00934D06">
        <w:rPr>
          <w:lang w:val="en-GB"/>
        </w:rPr>
        <w:t>The UK General Data Protection Regulation, alongside the Data Protection Act 2018, brings other obligations regarding the automated processing of personal data (UK Government, 2018). The UK GDPR</w:t>
      </w:r>
      <w:r w:rsidR="00934D06" w:rsidRPr="00934D06">
        <w:rPr>
          <w:lang w:val="en-GB"/>
        </w:rPr>
        <w:t xml:space="preserve"> stipulates</w:t>
      </w:r>
      <w:r w:rsidRPr="00934D06">
        <w:rPr>
          <w:lang w:val="en-GB"/>
        </w:rPr>
        <w:t xml:space="preserve"> the right not to be subjected to fully automated decision-making that has the potential to result in negative legal consequences (or other grave implications). This directly speaks </w:t>
      </w:r>
      <w:r w:rsidR="00934D06" w:rsidRPr="00934D06">
        <w:rPr>
          <w:lang w:val="en-GB"/>
        </w:rPr>
        <w:t>about</w:t>
      </w:r>
      <w:r w:rsidRPr="00934D06">
        <w:rPr>
          <w:lang w:val="en-GB"/>
        </w:rPr>
        <w:t xml:space="preserve"> the automated recruitment systems. Wachter, Mittelstadt and Russell (2017) examined the implications of the relevant provision of the GDPR and stated that, from the technical and legal standpoint, the provision mandates the formulation of counterfactuals to explain the transparency obligation. The Information Commissioner's Office (2020) has published specific data protection and artificial intelligence guidelines in the UK to these organizations that use algorithmic systems.</w:t>
      </w:r>
    </w:p>
    <w:p w14:paraId="23369743" w14:textId="77777777" w:rsidR="00284EEA" w:rsidRPr="00934D06" w:rsidRDefault="00000000">
      <w:pPr>
        <w:spacing w:before="280" w:after="120" w:line="360" w:lineRule="auto"/>
        <w:rPr>
          <w:lang w:val="en-GB"/>
        </w:rPr>
      </w:pPr>
      <w:r w:rsidRPr="00934D06">
        <w:rPr>
          <w:b/>
          <w:bCs/>
          <w:i/>
          <w:iCs/>
          <w:lang w:val="en-GB"/>
        </w:rPr>
        <w:t>2.7.3 Professional and Ethical Codes of Conduct</w:t>
      </w:r>
    </w:p>
    <w:p w14:paraId="485FC170" w14:textId="67AED9F9" w:rsidR="001E3058" w:rsidRPr="00934D06" w:rsidRDefault="001E3058" w:rsidP="001E3058">
      <w:pPr>
        <w:spacing w:after="160" w:line="360" w:lineRule="auto"/>
        <w:jc w:val="both"/>
        <w:rPr>
          <w:lang w:val="en-GB"/>
        </w:rPr>
      </w:pPr>
      <w:r w:rsidRPr="00934D06">
        <w:rPr>
          <w:lang w:val="en-GB"/>
        </w:rPr>
        <w:t xml:space="preserve">In addition to statutory obligations, ethical guidelines have been established for the design and use of AI systems. The High-Level Expert Group on Artificial Intelligence set up by the European Commission (2019) prepared the ethics of AI guidelines. They identified seven requirements, including maintaining human control, robustness of the AI system, governance of privacy and data, and the promotion of wellbeing and accountability of the society in which AI systems operate. Floridi </w:t>
      </w:r>
      <w:r w:rsidR="00934D06" w:rsidRPr="00934D06">
        <w:rPr>
          <w:i/>
          <w:iCs/>
          <w:lang w:val="en-GB"/>
        </w:rPr>
        <w:t>et al</w:t>
      </w:r>
      <w:r w:rsidRPr="00934D06">
        <w:rPr>
          <w:lang w:val="en-GB"/>
        </w:rPr>
        <w:t xml:space="preserve">. (2018) proposed the AI4People framework, which develops the ethical principles of AI, inspired by the normative tradition of bioethics, and adapts it to the </w:t>
      </w:r>
      <w:r w:rsidRPr="00934D06">
        <w:rPr>
          <w:lang w:val="en-GB"/>
        </w:rPr>
        <w:lastRenderedPageBreak/>
        <w:t>specific features of AI, including its opacity, large scale, and potential to impact individuals without their awareness.</w:t>
      </w:r>
    </w:p>
    <w:p w14:paraId="70E823AB" w14:textId="77777777" w:rsidR="00284EEA" w:rsidRPr="00934D06" w:rsidRDefault="00000000">
      <w:pPr>
        <w:spacing w:before="360" w:after="180" w:line="360" w:lineRule="auto"/>
        <w:rPr>
          <w:lang w:val="en-GB"/>
        </w:rPr>
      </w:pPr>
      <w:r w:rsidRPr="00934D06">
        <w:rPr>
          <w:b/>
          <w:bCs/>
          <w:lang w:val="en-GB"/>
        </w:rPr>
        <w:t>2.8 Trustworthy AI: A Normative Framework</w:t>
      </w:r>
    </w:p>
    <w:p w14:paraId="14AD5BC0" w14:textId="77777777" w:rsidR="00284EEA" w:rsidRPr="00934D06" w:rsidRDefault="00000000">
      <w:pPr>
        <w:spacing w:before="280" w:after="120" w:line="360" w:lineRule="auto"/>
        <w:rPr>
          <w:lang w:val="en-GB"/>
        </w:rPr>
      </w:pPr>
      <w:r w:rsidRPr="00934D06">
        <w:rPr>
          <w:b/>
          <w:bCs/>
          <w:i/>
          <w:iCs/>
          <w:lang w:val="en-GB"/>
        </w:rPr>
        <w:t>2.8.1 Principles of Trustworthy AI</w:t>
      </w:r>
    </w:p>
    <w:p w14:paraId="371AFDCD" w14:textId="093C6DED" w:rsidR="001E3058" w:rsidRPr="00934D06" w:rsidRDefault="001E3058" w:rsidP="001E3058">
      <w:pPr>
        <w:spacing w:after="160" w:line="360" w:lineRule="auto"/>
        <w:jc w:val="both"/>
        <w:rPr>
          <w:lang w:val="en-GB"/>
        </w:rPr>
      </w:pPr>
      <w:r w:rsidRPr="00934D06">
        <w:rPr>
          <w:lang w:val="en-GB"/>
        </w:rPr>
        <w:t xml:space="preserve">Trustworthy AI has developed a normative framework for AI systems that </w:t>
      </w:r>
      <w:r w:rsidR="00934D06" w:rsidRPr="00934D06">
        <w:rPr>
          <w:lang w:val="en-GB"/>
        </w:rPr>
        <w:t>fulfil</w:t>
      </w:r>
      <w:r w:rsidRPr="00934D06">
        <w:rPr>
          <w:lang w:val="en-GB"/>
        </w:rPr>
        <w:t xml:space="preserve"> not only a functional requirement but also an ethical, social, and legal obligation (High-Level Expert Group on Artificial Intelligence, 2019; Mittelstadt </w:t>
      </w:r>
      <w:r w:rsidR="00934D06" w:rsidRPr="00934D06">
        <w:rPr>
          <w:i/>
          <w:iCs/>
          <w:lang w:val="en-GB"/>
        </w:rPr>
        <w:t>et al</w:t>
      </w:r>
      <w:r w:rsidRPr="00934D06">
        <w:rPr>
          <w:lang w:val="en-GB"/>
        </w:rPr>
        <w:t xml:space="preserve">. 2016). The Trustworthy AI framework aims to address a broader set of issues beyond the technical fairness of AI systems, including transparency, explainability, and fundamental rights, and one’s accountability. This framework represents an effort to specify the conditions under which societal confidence in AI systems is warranted, and it is argued that technical fairness is insufficient without the provision of oversight, rights, and correction mechanisms (Floridi </w:t>
      </w:r>
      <w:r w:rsidR="00934D06" w:rsidRPr="00934D06">
        <w:rPr>
          <w:i/>
          <w:iCs/>
          <w:lang w:val="en-GB"/>
        </w:rPr>
        <w:t>et al</w:t>
      </w:r>
      <w:r w:rsidRPr="00934D06">
        <w:rPr>
          <w:lang w:val="en-GB"/>
        </w:rPr>
        <w:t>. 2018).</w:t>
      </w:r>
    </w:p>
    <w:p w14:paraId="5C6BB9A4" w14:textId="56D1E582" w:rsidR="001E3058" w:rsidRPr="00934D06" w:rsidRDefault="001E3058" w:rsidP="001E3058">
      <w:pPr>
        <w:spacing w:after="160" w:line="360" w:lineRule="auto"/>
        <w:jc w:val="both"/>
        <w:rPr>
          <w:lang w:val="en-GB"/>
        </w:rPr>
      </w:pPr>
      <w:r w:rsidRPr="00934D06">
        <w:rPr>
          <w:lang w:val="en-GB"/>
        </w:rPr>
        <w:t xml:space="preserve">The current argument indicates that the analysis of bias mitigation strategies ought to consider the systems resultant from these strategies, in addition to computational fairness techniques. Demographically balanced classification may </w:t>
      </w:r>
      <w:r w:rsidR="00934D06" w:rsidRPr="00934D06">
        <w:rPr>
          <w:lang w:val="en-GB"/>
        </w:rPr>
        <w:t>fulfil</w:t>
      </w:r>
      <w:r w:rsidRPr="00934D06">
        <w:rPr>
          <w:lang w:val="en-GB"/>
        </w:rPr>
        <w:t xml:space="preserve"> the computational fairness </w:t>
      </w:r>
      <w:r w:rsidR="00934D06" w:rsidRPr="00934D06">
        <w:rPr>
          <w:lang w:val="en-GB"/>
        </w:rPr>
        <w:t>criterion but</w:t>
      </w:r>
      <w:r w:rsidRPr="00934D06">
        <w:rPr>
          <w:lang w:val="en-GB"/>
        </w:rPr>
        <w:t xml:space="preserve"> may still be ethically and legally inadequate if the system’s decisions cannot be explained or audited. Mittelstadt </w:t>
      </w:r>
      <w:r w:rsidR="00934D06" w:rsidRPr="00934D06">
        <w:rPr>
          <w:i/>
          <w:iCs/>
          <w:lang w:val="en-GB"/>
        </w:rPr>
        <w:t>et al</w:t>
      </w:r>
      <w:r w:rsidRPr="00934D06">
        <w:rPr>
          <w:lang w:val="en-GB"/>
        </w:rPr>
        <w:t>. (2016) explicitly state this within their mapping of the algorithmic ethics debate, where they contend that opacity is a harmful status because it renders impossible the identification and contestation of, and provision for, the correction of errors.</w:t>
      </w:r>
    </w:p>
    <w:p w14:paraId="7E97AF30" w14:textId="77777777" w:rsidR="00284EEA" w:rsidRPr="00934D06" w:rsidRDefault="00000000">
      <w:pPr>
        <w:spacing w:before="280" w:after="120" w:line="360" w:lineRule="auto"/>
        <w:rPr>
          <w:lang w:val="en-GB"/>
        </w:rPr>
      </w:pPr>
      <w:r w:rsidRPr="00934D06">
        <w:rPr>
          <w:b/>
          <w:bCs/>
          <w:i/>
          <w:iCs/>
          <w:lang w:val="en-GB"/>
        </w:rPr>
        <w:t>2.8.2 Explainability and Interpretability in Hiring Contexts</w:t>
      </w:r>
    </w:p>
    <w:p w14:paraId="7A2DCE70" w14:textId="6A968DB0" w:rsidR="00E57A0B" w:rsidRPr="00934D06" w:rsidRDefault="00E57A0B" w:rsidP="00E57A0B">
      <w:pPr>
        <w:spacing w:after="160" w:line="360" w:lineRule="auto"/>
        <w:jc w:val="both"/>
        <w:rPr>
          <w:lang w:val="en-GB"/>
        </w:rPr>
      </w:pPr>
      <w:r w:rsidRPr="00934D06">
        <w:rPr>
          <w:lang w:val="en-GB"/>
        </w:rPr>
        <w:t xml:space="preserve">The need to explain decisions emanating from AI systems is in part a pragmatic response to new regulations. Under the European Union’s General Data Protection Regulation (GDPR), for example, a system’s explainability is </w:t>
      </w:r>
      <w:r w:rsidR="00934D06" w:rsidRPr="00934D06">
        <w:rPr>
          <w:lang w:val="en-GB"/>
        </w:rPr>
        <w:t>related</w:t>
      </w:r>
      <w:r w:rsidRPr="00934D06">
        <w:rPr>
          <w:lang w:val="en-GB"/>
        </w:rPr>
        <w:t xml:space="preserve"> to the organization’s operational accountability and the system’s legal compliance (Adadi and Berrada, 2018; Doshi-Velez and Kim, 2017). In the context of automated recruitment, being able to explain why a candidate was (or was not) selected is relevant to the system’s legal compliance and to the candidate’s right to contest the decision. Doshi-Velez and Kim (2017) argued that the absence of a thorough concept of interpretability is problematic for the field, and that </w:t>
      </w:r>
      <w:r w:rsidR="00934D06" w:rsidRPr="00934D06">
        <w:rPr>
          <w:lang w:val="en-GB"/>
        </w:rPr>
        <w:t>to</w:t>
      </w:r>
      <w:r w:rsidRPr="00934D06">
        <w:rPr>
          <w:lang w:val="en-GB"/>
        </w:rPr>
        <w:t xml:space="preserve"> advance the field it is crucial to specify for which purpose and to which audience explanations ought to be directed.</w:t>
      </w:r>
    </w:p>
    <w:p w14:paraId="6E0C4DA6" w14:textId="64C0AB4C" w:rsidR="001E3058" w:rsidRPr="00934D06" w:rsidRDefault="00E57A0B" w:rsidP="00E57A0B">
      <w:pPr>
        <w:spacing w:after="160" w:line="360" w:lineRule="auto"/>
        <w:jc w:val="both"/>
        <w:rPr>
          <w:lang w:val="en-GB"/>
        </w:rPr>
      </w:pPr>
      <w:r w:rsidRPr="00934D06">
        <w:rPr>
          <w:lang w:val="en-GB"/>
        </w:rPr>
        <w:lastRenderedPageBreak/>
        <w:t xml:space="preserve">LIME, developed by Ribeiro, Singh, and Guestrin in 2016, is a framework to create local explanations of any classifier’s prediction by approximating the complex model with a simpler one within the </w:t>
      </w:r>
      <w:r w:rsidR="00934D06" w:rsidRPr="00934D06">
        <w:rPr>
          <w:lang w:val="en-GB"/>
        </w:rPr>
        <w:t>neighbourhood</w:t>
      </w:r>
      <w:r w:rsidRPr="00934D06">
        <w:rPr>
          <w:lang w:val="en-GB"/>
        </w:rPr>
        <w:t xml:space="preserve"> of the instance. In contrast, SHAP, developed by Lundberg and Lee in 2017, offers a formal, cooperative game-theory-based framework to allocate contributions of a particular feature towards the predicted outcome. Both methodologies serve as key tools within the AI Fairness 360 and Fairlearn toolkits and are widely utilized to study the influence of protected attributes and their proxies in prediction-related fairness assessments. At the data documentation level, Gebru </w:t>
      </w:r>
      <w:r w:rsidR="00934D06" w:rsidRPr="00934D06">
        <w:rPr>
          <w:i/>
          <w:iCs/>
          <w:lang w:val="en-GB"/>
        </w:rPr>
        <w:t>et al</w:t>
      </w:r>
      <w:r w:rsidRPr="00934D06">
        <w:rPr>
          <w:lang w:val="en-GB"/>
        </w:rPr>
        <w:t xml:space="preserve">. (2021) argued in </w:t>
      </w:r>
      <w:r w:rsidR="00934D06" w:rsidRPr="00934D06">
        <w:rPr>
          <w:lang w:val="en-GB"/>
        </w:rPr>
        <w:t>favour</w:t>
      </w:r>
      <w:r w:rsidRPr="00934D06">
        <w:rPr>
          <w:lang w:val="en-GB"/>
        </w:rPr>
        <w:t xml:space="preserve"> of proposing a datasheet for each dataset as a means of documenting the training data's provenance, composition, and limitations, thus facilitating trustworthy bias assessment.</w:t>
      </w:r>
    </w:p>
    <w:p w14:paraId="3453363E" w14:textId="77777777" w:rsidR="00284EEA" w:rsidRPr="00934D06" w:rsidRDefault="00000000">
      <w:pPr>
        <w:spacing w:before="360" w:after="180" w:line="360" w:lineRule="auto"/>
        <w:rPr>
          <w:lang w:val="en-GB"/>
        </w:rPr>
      </w:pPr>
      <w:r w:rsidRPr="00934D06">
        <w:rPr>
          <w:b/>
          <w:bCs/>
          <w:lang w:val="en-GB"/>
        </w:rPr>
        <w:t>2.9 Critical Synthesis and Research Gaps</w:t>
      </w:r>
    </w:p>
    <w:p w14:paraId="37855F4F" w14:textId="6E3E83EA" w:rsidR="00934D06" w:rsidRPr="00934D06" w:rsidRDefault="00934D06" w:rsidP="00934D06">
      <w:pPr>
        <w:spacing w:after="160" w:line="360" w:lineRule="auto"/>
        <w:jc w:val="both"/>
        <w:rPr>
          <w:lang w:val="en-GB"/>
        </w:rPr>
      </w:pPr>
      <w:r w:rsidRPr="00934D06">
        <w:rPr>
          <w:lang w:val="en-GB"/>
        </w:rPr>
        <w:t xml:space="preserve">The review of literature in this chapter illustrates a field that has made a lot of progress in developing a theoretical understanding of algorithmic fairness but is lacking in some important areas. Chouldechova’s (2017) results on mathematical impossibility and the findings of Friedler </w:t>
      </w:r>
      <w:r w:rsidRPr="00934D06">
        <w:rPr>
          <w:i/>
          <w:iCs/>
          <w:lang w:val="en-GB"/>
        </w:rPr>
        <w:t>et al</w:t>
      </w:r>
      <w:r w:rsidRPr="00934D06">
        <w:rPr>
          <w:lang w:val="en-GB"/>
        </w:rPr>
        <w:t>. (2019) together show that there is no best way to mitigate bias, and that the right approach is dependent on context related value-based judgments regarding which fairness attributes are most applicable in that situation. This context-related dependency is poorly represented in research where methods are assessed in isolation or in relation to a single fairness criterion.</w:t>
      </w:r>
    </w:p>
    <w:p w14:paraId="12A62CCC" w14:textId="3C91E553" w:rsidR="00934D06" w:rsidRPr="00934D06" w:rsidRDefault="00934D06" w:rsidP="00934D06">
      <w:pPr>
        <w:spacing w:after="160" w:line="360" w:lineRule="auto"/>
        <w:jc w:val="both"/>
        <w:rPr>
          <w:lang w:val="en-GB"/>
        </w:rPr>
      </w:pPr>
      <w:r w:rsidRPr="00934D06">
        <w:rPr>
          <w:lang w:val="en-GB"/>
        </w:rPr>
        <w:t>One of the major shortcomings of the current literature is the lack of research on the comparative performance of the various families of methods, especially those in the categories of preprocessing, in-processing, and postprocessing, when studied using the same datasets, and a shared research methodology. This was noted as a substantive shortcoming by Pessach and Shmueli (2022) and Caton and Haas (2024). This also includes a lack of research on the comparative performance of the various families of methods within the same framework. The current research is directly motivated by both concerns.</w:t>
      </w:r>
    </w:p>
    <w:p w14:paraId="0C115273" w14:textId="0D57D0CF" w:rsidR="00934D06" w:rsidRPr="00934D06" w:rsidRDefault="00934D06" w:rsidP="00934D06">
      <w:pPr>
        <w:spacing w:after="160" w:line="360" w:lineRule="auto"/>
        <w:jc w:val="both"/>
        <w:rPr>
          <w:lang w:val="en-GB"/>
        </w:rPr>
      </w:pPr>
      <w:r w:rsidRPr="00934D06">
        <w:rPr>
          <w:lang w:val="en-GB"/>
        </w:rPr>
        <w:t xml:space="preserve">Most experimental fairness studies have used a limited number of benchmark datasets, especially the UCI Adult Income dataset (Dua and Graff, 2019) and the COMPAS dataset (Larson </w:t>
      </w:r>
      <w:r w:rsidRPr="00934D06">
        <w:rPr>
          <w:i/>
          <w:iCs/>
          <w:lang w:val="en-GB"/>
        </w:rPr>
        <w:t>et al</w:t>
      </w:r>
      <w:r w:rsidRPr="00934D06">
        <w:rPr>
          <w:lang w:val="en-GB"/>
        </w:rPr>
        <w:t xml:space="preserve">., 2016). These datasets have known issues as hiring decision proxies. The Adult dataset, which is derived from the 1994 census, reflects income distribution of 30-year-old data, and the COMPAS dataset is related to criminal justice and not to employment. However, </w:t>
      </w:r>
      <w:r w:rsidRPr="00934D06">
        <w:rPr>
          <w:lang w:val="en-GB"/>
        </w:rPr>
        <w:lastRenderedPageBreak/>
        <w:t xml:space="preserve">using these established benchmarks is important to compare with the previous studies, and the present study follows this practice, explicitly stating the limitations, in alignment to the data documentation principles that Gebru </w:t>
      </w:r>
      <w:r w:rsidRPr="00934D06">
        <w:rPr>
          <w:i/>
          <w:iCs/>
          <w:lang w:val="en-GB"/>
        </w:rPr>
        <w:t>et al</w:t>
      </w:r>
      <w:r w:rsidRPr="00934D06">
        <w:rPr>
          <w:lang w:val="en-GB"/>
        </w:rPr>
        <w:t>. (2021) have advocated.</w:t>
      </w:r>
    </w:p>
    <w:p w14:paraId="1AA8CE66" w14:textId="694732D1" w:rsidR="00934D06" w:rsidRPr="00934D06" w:rsidRDefault="00934D06" w:rsidP="00934D06">
      <w:pPr>
        <w:spacing w:after="160" w:line="360" w:lineRule="auto"/>
        <w:jc w:val="both"/>
        <w:rPr>
          <w:lang w:val="en-GB"/>
        </w:rPr>
      </w:pPr>
      <w:r w:rsidRPr="00934D06">
        <w:rPr>
          <w:lang w:val="en-GB"/>
        </w:rPr>
        <w:t>Another gap in literature is the combination of explainability and fairness analyses. Most of the studies in the literature examine fairness metrics before and after mitigation. However, they do not examine whether the changes in model behaviour that mitigation brings are aligned with the purpose of the technique. The present study aims to fill this gap by using SHAP and LIME to examine feature attribution before and after mitigation, which will bring more understanding of the mechanisms that mitigation employs.</w:t>
      </w:r>
    </w:p>
    <w:p w14:paraId="12012A8F" w14:textId="77777777" w:rsidR="00284EEA" w:rsidRPr="00934D06" w:rsidRDefault="00000000">
      <w:pPr>
        <w:spacing w:before="360" w:after="180" w:line="360" w:lineRule="auto"/>
        <w:rPr>
          <w:lang w:val="en-GB"/>
        </w:rPr>
      </w:pPr>
      <w:r w:rsidRPr="00934D06">
        <w:rPr>
          <w:b/>
          <w:bCs/>
          <w:lang w:val="en-GB"/>
        </w:rPr>
        <w:t>2.10 Chapter Summary</w:t>
      </w:r>
    </w:p>
    <w:p w14:paraId="4BDB0426" w14:textId="4558A5EE" w:rsidR="00934D06" w:rsidRPr="00934D06" w:rsidRDefault="00934D06" w:rsidP="00934D06">
      <w:pPr>
        <w:spacing w:after="160" w:line="360" w:lineRule="auto"/>
        <w:jc w:val="both"/>
        <w:rPr>
          <w:lang w:val="en-GB"/>
        </w:rPr>
      </w:pPr>
      <w:r w:rsidRPr="00934D06">
        <w:rPr>
          <w:lang w:val="en-GB"/>
        </w:rPr>
        <w:t>This chapter has examined the primary theoretical and empirical contributions to algorithmic bias and fairness in the context of machine learning, especially in relation to AI-based hiring systems. Research has shown that bias in these systems is a complex, multi-faceted problem that cannot be tackled with a single technical solution. The choice of a fairness criterion is a complex decision with important normative implications. The three main families of bias mitigation techniques, namely, preprocessing, in-processing, and post-processing have boundary conditions that are context dependent. No dominant technique has been identified for all contexts. The legal and regulatory framework, particularly the EU AI Act and UK equality and data protection legislation, impose real responsibilities on companies that use these systems. The trustworthy AI framework integrates these technical issues and seeks to provide an ethical and governance-oriented approach to the safeguarding of transparency and accountability and the provision of the right to a reasoned explanation. The specific gaps that have been articulated in literature, especially the lack of a formal comparison of the families of mitigation techniques in a controlled setting are the primary motivation for the empirical work that will be documented in the following chapters.</w:t>
      </w:r>
    </w:p>
    <w:p w14:paraId="6C910414" w14:textId="77777777" w:rsidR="00934D06" w:rsidRPr="00934D06" w:rsidRDefault="00934D06">
      <w:pPr>
        <w:spacing w:after="160" w:line="360" w:lineRule="auto"/>
        <w:jc w:val="both"/>
        <w:rPr>
          <w:lang w:val="en-GB"/>
        </w:rPr>
      </w:pPr>
    </w:p>
    <w:p w14:paraId="1890203E" w14:textId="77777777" w:rsidR="00934D06" w:rsidRPr="00934D06" w:rsidRDefault="00934D06">
      <w:pPr>
        <w:spacing w:after="160" w:line="360" w:lineRule="auto"/>
        <w:jc w:val="both"/>
        <w:rPr>
          <w:lang w:val="en-GB"/>
        </w:rPr>
      </w:pPr>
    </w:p>
    <w:p w14:paraId="46D4D42E" w14:textId="77777777" w:rsidR="00934D06" w:rsidRPr="00934D06" w:rsidRDefault="00934D06">
      <w:pPr>
        <w:spacing w:after="160" w:line="360" w:lineRule="auto"/>
        <w:jc w:val="both"/>
        <w:rPr>
          <w:lang w:val="en-GB"/>
        </w:rPr>
      </w:pPr>
    </w:p>
    <w:p w14:paraId="74201576" w14:textId="77777777" w:rsidR="00934D06" w:rsidRPr="00934D06" w:rsidRDefault="00934D06">
      <w:pPr>
        <w:spacing w:after="160" w:line="360" w:lineRule="auto"/>
        <w:jc w:val="both"/>
        <w:rPr>
          <w:lang w:val="en-GB"/>
        </w:rPr>
      </w:pPr>
    </w:p>
    <w:p w14:paraId="5E5A86FD" w14:textId="77777777" w:rsidR="00284EEA" w:rsidRPr="00934D06" w:rsidRDefault="00000000" w:rsidP="00934D06">
      <w:pPr>
        <w:pBdr>
          <w:bottom w:val="double" w:sz="4" w:space="1" w:color="auto"/>
        </w:pBdr>
        <w:spacing w:before="600" w:after="240" w:line="360" w:lineRule="auto"/>
        <w:rPr>
          <w:sz w:val="28"/>
          <w:szCs w:val="28"/>
          <w:lang w:val="en-GB"/>
        </w:rPr>
      </w:pPr>
      <w:r w:rsidRPr="00934D06">
        <w:rPr>
          <w:b/>
          <w:bCs/>
          <w:sz w:val="32"/>
          <w:szCs w:val="32"/>
          <w:lang w:val="en-GB"/>
        </w:rPr>
        <w:lastRenderedPageBreak/>
        <w:t>References</w:t>
      </w:r>
    </w:p>
    <w:p w14:paraId="51F98AC6" w14:textId="77777777" w:rsidR="00284EEA" w:rsidRPr="00934D06" w:rsidRDefault="00000000" w:rsidP="00934D06">
      <w:pPr>
        <w:spacing w:before="80" w:after="80" w:line="360" w:lineRule="auto"/>
        <w:ind w:left="480" w:hanging="480"/>
        <w:rPr>
          <w:lang w:val="en-GB"/>
        </w:rPr>
      </w:pPr>
      <w:r w:rsidRPr="00934D06">
        <w:rPr>
          <w:sz w:val="22"/>
          <w:szCs w:val="22"/>
          <w:lang w:val="en-GB"/>
        </w:rPr>
        <w:t>Adadi, A. and Berrada, M. (2018) 'Peeking inside the black-box: A survey on explainable artificial intelligence (XAI)', IEEE Access, 6, pp. 52138–52160. doi:10.1109/ACCESS.2018.2870052.</w:t>
      </w:r>
    </w:p>
    <w:p w14:paraId="6D4DB939" w14:textId="77777777" w:rsidR="00284EEA" w:rsidRPr="00934D06" w:rsidRDefault="00000000" w:rsidP="00934D06">
      <w:pPr>
        <w:spacing w:before="80" w:after="80" w:line="360" w:lineRule="auto"/>
        <w:ind w:left="480" w:hanging="480"/>
        <w:rPr>
          <w:lang w:val="en-GB"/>
        </w:rPr>
      </w:pPr>
      <w:r w:rsidRPr="00934D06">
        <w:rPr>
          <w:sz w:val="22"/>
          <w:szCs w:val="22"/>
          <w:lang w:val="en-GB"/>
        </w:rPr>
        <w:t>Angwin, J., Larson, J., Mattu, S. and Kirchner, L. (2016) Machine bias. ProPublica, 23 May. Available at: https://www.propublica.org/article/machine-bias-risk-assessments-in-criminal-sentencing [Accessed 1 June 2026].</w:t>
      </w:r>
    </w:p>
    <w:p w14:paraId="59C7C41B" w14:textId="77777777" w:rsidR="00284EEA" w:rsidRPr="00934D06" w:rsidRDefault="00000000" w:rsidP="00934D06">
      <w:pPr>
        <w:spacing w:before="80" w:after="80" w:line="360" w:lineRule="auto"/>
        <w:ind w:left="480" w:hanging="480"/>
        <w:rPr>
          <w:lang w:val="en-GB"/>
        </w:rPr>
      </w:pPr>
      <w:r w:rsidRPr="00934D06">
        <w:rPr>
          <w:sz w:val="22"/>
          <w:szCs w:val="22"/>
          <w:lang w:val="en-GB"/>
        </w:rPr>
        <w:t>Barocas, S. and Selbst, A.D. (2016) 'Big data’s disparate impact', California Law Review, 104(3), pp. 671–732.</w:t>
      </w:r>
    </w:p>
    <w:p w14:paraId="5FBB1826" w14:textId="77777777" w:rsidR="00284EEA" w:rsidRPr="00934D06" w:rsidRDefault="00000000" w:rsidP="00934D06">
      <w:pPr>
        <w:spacing w:before="80" w:after="80" w:line="360" w:lineRule="auto"/>
        <w:ind w:left="480" w:hanging="480"/>
        <w:rPr>
          <w:lang w:val="en-GB"/>
        </w:rPr>
      </w:pPr>
      <w:r w:rsidRPr="00934D06">
        <w:rPr>
          <w:sz w:val="22"/>
          <w:szCs w:val="22"/>
          <w:lang w:val="en-GB"/>
        </w:rPr>
        <w:t>Barocas, S., Hardt, M. and Moritz, H. (2023) Fairness and Machine Learning: Limitations and Opportunities. Cambridge, MA: MIT Press. Available at: https://fairmlbook.org [Accessed 1 June 2026].</w:t>
      </w:r>
    </w:p>
    <w:p w14:paraId="279A4991" w14:textId="77777777" w:rsidR="00284EEA" w:rsidRPr="00934D06" w:rsidRDefault="00000000" w:rsidP="00934D06">
      <w:pPr>
        <w:spacing w:before="80" w:after="80" w:line="360" w:lineRule="auto"/>
        <w:ind w:left="480" w:hanging="480"/>
        <w:rPr>
          <w:lang w:val="en-GB"/>
        </w:rPr>
      </w:pPr>
      <w:r w:rsidRPr="00934D06">
        <w:rPr>
          <w:sz w:val="22"/>
          <w:szCs w:val="22"/>
          <w:lang w:val="en-GB"/>
        </w:rPr>
        <w:t>Bellamy, R.K.E., Dey, K., Hind, M., Hoffman, S.C., Houde, S., Kannan, K., Lohia, P., Martino, J., Mehta, S., Mojsilovic, A., Nagar, S., Ramamurthy, K.N., Richards, J., Saha, D., Sattigeri, P., Singh, M., Varshney, K.R. and Zhang, Y. (2019) 'AI Fairness 360: An extensible toolkit for detecting and mitigating algorithmic bias', IBM Journal of Research and Development, 63(4/5), pp. 4:1–4:15. doi:10.1147/JRD.2019.2942287.</w:t>
      </w:r>
    </w:p>
    <w:p w14:paraId="6504F865" w14:textId="77777777" w:rsidR="00284EEA" w:rsidRPr="00934D06" w:rsidRDefault="00000000" w:rsidP="00934D06">
      <w:pPr>
        <w:spacing w:before="80" w:after="80" w:line="360" w:lineRule="auto"/>
        <w:ind w:left="480" w:hanging="480"/>
        <w:rPr>
          <w:lang w:val="en-GB"/>
        </w:rPr>
      </w:pPr>
      <w:r w:rsidRPr="00934D06">
        <w:rPr>
          <w:sz w:val="22"/>
          <w:szCs w:val="22"/>
          <w:lang w:val="en-GB"/>
        </w:rPr>
        <w:t>Bird, S., Dudik, M., Edgar, R., Horn, B., Lutz, R., Milan, V., Sameki, M., Wallach, H. and Walker, K. (2020) Fairlearn: A Toolkit for Assessing and Improving Fairness in AI. Redmond, WA: Microsoft Research. Available at: https://fairlearn.org [Accessed 1 June 2026].</w:t>
      </w:r>
    </w:p>
    <w:p w14:paraId="0ABA27CA" w14:textId="77777777" w:rsidR="00284EEA" w:rsidRPr="00934D06" w:rsidRDefault="00000000" w:rsidP="00934D06">
      <w:pPr>
        <w:spacing w:before="80" w:after="80" w:line="360" w:lineRule="auto"/>
        <w:ind w:left="480" w:hanging="480"/>
        <w:rPr>
          <w:lang w:val="en-GB"/>
        </w:rPr>
      </w:pPr>
      <w:r w:rsidRPr="00934D06">
        <w:rPr>
          <w:sz w:val="22"/>
          <w:szCs w:val="22"/>
          <w:lang w:val="en-GB"/>
        </w:rPr>
        <w:t>Bogen, M. and Rieke, A. (2018) Help Wanted: An Examination of Hiring Algorithms, Equity, and Bias. Washington, DC: Upturn. Available at: https://upturn.org/work/help-wanted/ [Accessed 1 June 2026].</w:t>
      </w:r>
    </w:p>
    <w:p w14:paraId="229535D8" w14:textId="77777777" w:rsidR="00284EEA" w:rsidRPr="00934D06" w:rsidRDefault="00000000" w:rsidP="00934D06">
      <w:pPr>
        <w:spacing w:before="80" w:after="80" w:line="360" w:lineRule="auto"/>
        <w:ind w:left="480" w:hanging="480"/>
        <w:rPr>
          <w:lang w:val="en-GB"/>
        </w:rPr>
      </w:pPr>
      <w:r w:rsidRPr="00934D06">
        <w:rPr>
          <w:sz w:val="22"/>
          <w:szCs w:val="22"/>
          <w:lang w:val="en-GB"/>
        </w:rPr>
        <w:t>Buolamwini, J. and Gebru, T. (2018) 'Gender shades: Intersectional accuracy disparities in commercial gender classification', in Proceedings of the 1st Conference on Fairness, Accountability and Transparency (FAT 2018). PMLR 81, pp. 77–91.</w:t>
      </w:r>
    </w:p>
    <w:p w14:paraId="513F618E" w14:textId="77777777" w:rsidR="00284EEA" w:rsidRPr="00934D06" w:rsidRDefault="00000000" w:rsidP="00934D06">
      <w:pPr>
        <w:spacing w:before="80" w:after="80" w:line="360" w:lineRule="auto"/>
        <w:ind w:left="480" w:hanging="480"/>
        <w:rPr>
          <w:lang w:val="en-GB"/>
        </w:rPr>
      </w:pPr>
      <w:r w:rsidRPr="00934D06">
        <w:rPr>
          <w:sz w:val="22"/>
          <w:szCs w:val="22"/>
          <w:lang w:val="en-GB"/>
        </w:rPr>
        <w:t>Calders, T. and Verwer, S. (2010) 'Three naive Bayes approaches for discrimination-free classification', Data Mining and Knowledge Discovery, 21(2), pp. 277–292. doi:10.1007/s10618-010-0190-x.</w:t>
      </w:r>
    </w:p>
    <w:p w14:paraId="078E665F" w14:textId="77777777" w:rsidR="00284EEA" w:rsidRPr="00934D06" w:rsidRDefault="00000000" w:rsidP="00934D06">
      <w:pPr>
        <w:spacing w:before="80" w:after="80" w:line="360" w:lineRule="auto"/>
        <w:ind w:left="480" w:hanging="480"/>
        <w:rPr>
          <w:lang w:val="en-GB"/>
        </w:rPr>
      </w:pPr>
      <w:r w:rsidRPr="00934D06">
        <w:rPr>
          <w:sz w:val="22"/>
          <w:szCs w:val="22"/>
          <w:lang w:val="en-GB"/>
        </w:rPr>
        <w:t>Calmon, F., Wei, D., Vinzamuri, B., Ramamurthy, K.N. and Varshney, K.R. (2017) 'Optimized pre-processing for discrimination prevention', in Advances in Neural Information Processing Systems 30 (NeurIPS 2017). Available at: https://arxiv.org/abs/1704.03354 [Accessed 1 June 2026].</w:t>
      </w:r>
    </w:p>
    <w:p w14:paraId="7CF9FF8F" w14:textId="77777777" w:rsidR="00284EEA" w:rsidRPr="00934D06" w:rsidRDefault="00000000" w:rsidP="00934D06">
      <w:pPr>
        <w:spacing w:before="80" w:after="80" w:line="360" w:lineRule="auto"/>
        <w:ind w:left="480" w:hanging="480"/>
        <w:rPr>
          <w:lang w:val="en-GB"/>
        </w:rPr>
      </w:pPr>
      <w:r w:rsidRPr="00934D06">
        <w:rPr>
          <w:sz w:val="22"/>
          <w:szCs w:val="22"/>
          <w:lang w:val="en-GB"/>
        </w:rPr>
        <w:lastRenderedPageBreak/>
        <w:t>Caton, S. and Haas, C. (2024) 'Fairness in machine learning: A survey', ACM Computing Surveys, 56(7). doi:10.1145/3616865.</w:t>
      </w:r>
    </w:p>
    <w:p w14:paraId="1DCE01DE" w14:textId="77777777" w:rsidR="00284EEA" w:rsidRPr="00934D06" w:rsidRDefault="00000000" w:rsidP="00934D06">
      <w:pPr>
        <w:spacing w:before="80" w:after="80" w:line="360" w:lineRule="auto"/>
        <w:ind w:left="480" w:hanging="480"/>
        <w:rPr>
          <w:lang w:val="en-GB"/>
        </w:rPr>
      </w:pPr>
      <w:r w:rsidRPr="00934D06">
        <w:rPr>
          <w:sz w:val="22"/>
          <w:szCs w:val="22"/>
          <w:lang w:val="en-GB"/>
        </w:rPr>
        <w:t>Chouldechova, A. (2017) 'Fair prediction with disparate impact: A study of bias in recidivism prediction instruments', Big Data, 5(2), pp. 153–163. doi:10.1089/big.2016.0047.</w:t>
      </w:r>
    </w:p>
    <w:p w14:paraId="032A714D" w14:textId="77777777" w:rsidR="00284EEA" w:rsidRPr="00934D06" w:rsidRDefault="00000000" w:rsidP="00934D06">
      <w:pPr>
        <w:spacing w:before="80" w:after="80" w:line="360" w:lineRule="auto"/>
        <w:ind w:left="480" w:hanging="480"/>
        <w:rPr>
          <w:lang w:val="en-GB"/>
        </w:rPr>
      </w:pPr>
      <w:r w:rsidRPr="00934D06">
        <w:rPr>
          <w:sz w:val="22"/>
          <w:szCs w:val="22"/>
          <w:lang w:val="en-GB"/>
        </w:rPr>
        <w:t>Dastin, J. (2018) Amazon scraps secret AI recruiting tool that showed bias against women. Reuters, 10 October. Available at: https://www.reuters.com/article/us-amazon-com-jobs-automation-insight-idUSKCN1MK08G [Accessed 1 June 2026].</w:t>
      </w:r>
    </w:p>
    <w:p w14:paraId="0E494DAC" w14:textId="77777777" w:rsidR="00284EEA" w:rsidRPr="00934D06" w:rsidRDefault="00000000" w:rsidP="00934D06">
      <w:pPr>
        <w:spacing w:before="80" w:after="80" w:line="360" w:lineRule="auto"/>
        <w:ind w:left="480" w:hanging="480"/>
        <w:rPr>
          <w:lang w:val="en-GB"/>
        </w:rPr>
      </w:pPr>
      <w:r w:rsidRPr="00934D06">
        <w:rPr>
          <w:sz w:val="22"/>
          <w:szCs w:val="22"/>
          <w:lang w:val="en-GB"/>
        </w:rPr>
        <w:t>Doshi-Velez, F. and Kim, B. (2017) Towards a rigorous science of interpretable machine learning. arXiv preprint arXiv:1702.08608. Available at: https://arxiv.org/abs/1702.08608 [Accessed 1 June 2026].</w:t>
      </w:r>
    </w:p>
    <w:p w14:paraId="2D3589E4" w14:textId="77777777" w:rsidR="00284EEA" w:rsidRPr="00934D06" w:rsidRDefault="00000000" w:rsidP="00934D06">
      <w:pPr>
        <w:spacing w:before="80" w:after="80" w:line="360" w:lineRule="auto"/>
        <w:ind w:left="480" w:hanging="480"/>
        <w:rPr>
          <w:lang w:val="en-GB"/>
        </w:rPr>
      </w:pPr>
      <w:r w:rsidRPr="00934D06">
        <w:rPr>
          <w:sz w:val="22"/>
          <w:szCs w:val="22"/>
          <w:lang w:val="en-GB"/>
        </w:rPr>
        <w:t>Dressel, J. and Farid, H. (2018) 'The accuracy, fairness, and limits of predicting recidivism', Science Advances, 4(1), eaao5580. doi:10.1126/sciadv.aao5580.</w:t>
      </w:r>
    </w:p>
    <w:p w14:paraId="79F7C877" w14:textId="77777777" w:rsidR="00284EEA" w:rsidRPr="00934D06" w:rsidRDefault="00000000" w:rsidP="00934D06">
      <w:pPr>
        <w:spacing w:before="80" w:after="80" w:line="360" w:lineRule="auto"/>
        <w:ind w:left="480" w:hanging="480"/>
        <w:rPr>
          <w:lang w:val="en-GB"/>
        </w:rPr>
      </w:pPr>
      <w:r w:rsidRPr="00934D06">
        <w:rPr>
          <w:sz w:val="22"/>
          <w:szCs w:val="22"/>
          <w:lang w:val="en-GB"/>
        </w:rPr>
        <w:t>Dua, D. and Graff, C. (2019) UCI Machine Learning Repository. Irvine, CA: University of California, School of Information and Computer Science. Available at: https://archive.ics.uci.edu [Accessed 1 June 2026].</w:t>
      </w:r>
    </w:p>
    <w:p w14:paraId="31D278DD" w14:textId="77777777" w:rsidR="00284EEA" w:rsidRPr="00934D06" w:rsidRDefault="00000000" w:rsidP="00934D06">
      <w:pPr>
        <w:spacing w:before="80" w:after="80" w:line="360" w:lineRule="auto"/>
        <w:ind w:left="480" w:hanging="480"/>
        <w:rPr>
          <w:lang w:val="en-GB"/>
        </w:rPr>
      </w:pPr>
      <w:r w:rsidRPr="00934D06">
        <w:rPr>
          <w:sz w:val="22"/>
          <w:szCs w:val="22"/>
          <w:lang w:val="en-GB"/>
        </w:rPr>
        <w:t>Dwork, C., Hardt, M., Pitassi, T., Reingold, O. and Zemel, R. (2012) 'Fairness through awareness', in Proceedings of the 3rd Innovations in Theoretical Computer Science Conference (ITCS 2012). New York: ACM, pp. 214–226. doi:10.1145/2090236.2090255.</w:t>
      </w:r>
    </w:p>
    <w:p w14:paraId="72738508" w14:textId="77777777" w:rsidR="00284EEA" w:rsidRPr="00934D06" w:rsidRDefault="00000000" w:rsidP="00934D06">
      <w:pPr>
        <w:spacing w:before="80" w:after="80" w:line="360" w:lineRule="auto"/>
        <w:ind w:left="480" w:hanging="480"/>
        <w:rPr>
          <w:lang w:val="en-GB"/>
        </w:rPr>
      </w:pPr>
      <w:r w:rsidRPr="00934D06">
        <w:rPr>
          <w:sz w:val="22"/>
          <w:szCs w:val="22"/>
          <w:lang w:val="en-GB"/>
        </w:rPr>
        <w:t>Eubanks, V. (2018) Automating Inequality: How High-Tech Tools Profile, Police, and Punish the Poor. New York: St. Martin’s Press.</w:t>
      </w:r>
    </w:p>
    <w:p w14:paraId="54C38070" w14:textId="77777777" w:rsidR="00284EEA" w:rsidRPr="00934D06" w:rsidRDefault="00000000" w:rsidP="00934D06">
      <w:pPr>
        <w:spacing w:before="80" w:after="80" w:line="360" w:lineRule="auto"/>
        <w:ind w:left="480" w:hanging="480"/>
        <w:rPr>
          <w:lang w:val="en-GB"/>
        </w:rPr>
      </w:pPr>
      <w:r w:rsidRPr="00934D06">
        <w:rPr>
          <w:sz w:val="22"/>
          <w:szCs w:val="22"/>
          <w:lang w:val="en-GB"/>
        </w:rPr>
        <w:t>European Parliament and Council (2024) Regulation (EU) 2024/1689 of the European Parliament and of the Council of 13 June 2024 laying down harmonised rules on artificial intelligence (Artificial Intelligence Act). Official Journal of the European Union, L 2024/1689. Available at: https://eur-lex.europa.eu [Accessed 1 June 2026].</w:t>
      </w:r>
    </w:p>
    <w:p w14:paraId="6B231E54" w14:textId="77777777" w:rsidR="00284EEA" w:rsidRPr="00934D06" w:rsidRDefault="00000000" w:rsidP="00934D06">
      <w:pPr>
        <w:spacing w:before="80" w:after="80" w:line="360" w:lineRule="auto"/>
        <w:ind w:left="480" w:hanging="480"/>
        <w:rPr>
          <w:lang w:val="en-GB"/>
        </w:rPr>
      </w:pPr>
      <w:r w:rsidRPr="00934D06">
        <w:rPr>
          <w:sz w:val="22"/>
          <w:szCs w:val="22"/>
          <w:lang w:val="en-GB"/>
        </w:rPr>
        <w:t>Feldman, M., Friedler, S.A., Moeller, J., Scheidegger, C. and Venkatasubramanian, S. (2015) 'Certifying and removing disparate impact', in Proceedings of the 21st ACM SIGKDD International Conference on Knowledge Discovery and Data Mining. New York: ACM, pp. 259–268. doi:10.1145/2783258.2783311.</w:t>
      </w:r>
    </w:p>
    <w:p w14:paraId="3D4F6DF5" w14:textId="77777777" w:rsidR="00284EEA" w:rsidRPr="00934D06" w:rsidRDefault="00000000" w:rsidP="00934D06">
      <w:pPr>
        <w:spacing w:before="80" w:after="80" w:line="360" w:lineRule="auto"/>
        <w:ind w:left="480" w:hanging="480"/>
        <w:rPr>
          <w:lang w:val="en-GB"/>
        </w:rPr>
      </w:pPr>
      <w:r w:rsidRPr="00934D06">
        <w:rPr>
          <w:sz w:val="22"/>
          <w:szCs w:val="22"/>
          <w:lang w:val="en-GB"/>
        </w:rPr>
        <w:t>Floridi, L., Cowls, J., Beltrametti, M., Chatila, R., Chazerand, P., Dignum, V., Luetge, C., Madelin, R., Pagallo, U., Rossi, F., Schafer, B., Valcke, P. and Vayena, E. (2018) 'AI4People — An ethical framework for a good AI society: Opportunities, risks, principles, and recommendations', Minds and Machines, 28(4), pp. 689–707. doi:10.1007/s11023-018-9482-5.</w:t>
      </w:r>
    </w:p>
    <w:p w14:paraId="2B3A2A25" w14:textId="77777777" w:rsidR="00284EEA" w:rsidRPr="00934D06" w:rsidRDefault="00000000" w:rsidP="00934D06">
      <w:pPr>
        <w:spacing w:before="80" w:after="80" w:line="360" w:lineRule="auto"/>
        <w:ind w:left="480" w:hanging="480"/>
        <w:rPr>
          <w:lang w:val="en-GB"/>
        </w:rPr>
      </w:pPr>
      <w:r w:rsidRPr="00934D06">
        <w:rPr>
          <w:sz w:val="22"/>
          <w:szCs w:val="22"/>
          <w:lang w:val="en-GB"/>
        </w:rPr>
        <w:t xml:space="preserve">Friedler, S.A., Scheidegger, C., Venkatasubramanian, S., Choudhary, S., Hamilton, E.P. and Roth, D. (2019) 'A comparative study of fairness-enhancing interventions in machine learning', in </w:t>
      </w:r>
      <w:r w:rsidRPr="00934D06">
        <w:rPr>
          <w:sz w:val="22"/>
          <w:szCs w:val="22"/>
          <w:lang w:val="en-GB"/>
        </w:rPr>
        <w:lastRenderedPageBreak/>
        <w:t>Proceedings of the 2019 Conference on Fairness, Accountability, and Transparency (FAT* 2019). New York: ACM, pp. 329–338. doi:10.1145/3287560.3287589.</w:t>
      </w:r>
    </w:p>
    <w:p w14:paraId="716F949F" w14:textId="77777777" w:rsidR="00284EEA" w:rsidRPr="00934D06" w:rsidRDefault="00000000" w:rsidP="00934D06">
      <w:pPr>
        <w:spacing w:before="80" w:after="80" w:line="360" w:lineRule="auto"/>
        <w:ind w:left="480" w:hanging="480"/>
        <w:rPr>
          <w:lang w:val="en-GB"/>
        </w:rPr>
      </w:pPr>
      <w:r w:rsidRPr="00934D06">
        <w:rPr>
          <w:sz w:val="22"/>
          <w:szCs w:val="22"/>
          <w:lang w:val="en-GB"/>
        </w:rPr>
        <w:t>Gebru, T., Morgenstern, J., Vecchione, B., Vaughan, J.W., Wallach, H., Daume III, H. and Crawford, K. (2021) 'Datasheets for datasets', Communications of the ACM, 64(12), pp. 86–92. doi:10.1145/3458723.</w:t>
      </w:r>
    </w:p>
    <w:p w14:paraId="60A58707" w14:textId="77777777" w:rsidR="00284EEA" w:rsidRPr="00934D06" w:rsidRDefault="00000000" w:rsidP="00934D06">
      <w:pPr>
        <w:spacing w:before="80" w:after="80" w:line="360" w:lineRule="auto"/>
        <w:ind w:left="480" w:hanging="480"/>
        <w:rPr>
          <w:lang w:val="en-GB"/>
        </w:rPr>
      </w:pPr>
      <w:r w:rsidRPr="00934D06">
        <w:rPr>
          <w:sz w:val="22"/>
          <w:szCs w:val="22"/>
          <w:lang w:val="en-GB"/>
        </w:rPr>
        <w:t>Hardt, M., Price, E. and Srebro, N. (2016) 'Equality of opportunity in supervised learning', in Advances in Neural Information Processing Systems 29 (NeurIPS 2016). Available at: https://arxiv.org/abs/1610.02413 [Accessed 1 June 2026].</w:t>
      </w:r>
    </w:p>
    <w:p w14:paraId="493A0DB4" w14:textId="77777777" w:rsidR="00284EEA" w:rsidRPr="00934D06" w:rsidRDefault="00000000" w:rsidP="00934D06">
      <w:pPr>
        <w:spacing w:before="80" w:after="80" w:line="360" w:lineRule="auto"/>
        <w:ind w:left="480" w:hanging="480"/>
        <w:rPr>
          <w:lang w:val="en-GB"/>
        </w:rPr>
      </w:pPr>
      <w:r w:rsidRPr="00934D06">
        <w:rPr>
          <w:sz w:val="22"/>
          <w:szCs w:val="22"/>
          <w:lang w:val="en-GB"/>
        </w:rPr>
        <w:t>High-Level Expert Group on Artificial Intelligence (2019) Ethics Guidelines for Trustworthy AI. Brussels: European Commission. Available at: https://ec.europa.eu/futurium/en/ai-alliance-consultation [Accessed 1 June 2026].</w:t>
      </w:r>
    </w:p>
    <w:p w14:paraId="532C9D63" w14:textId="77777777" w:rsidR="00284EEA" w:rsidRPr="00934D06" w:rsidRDefault="00000000" w:rsidP="00934D06">
      <w:pPr>
        <w:spacing w:before="80" w:after="80" w:line="360" w:lineRule="auto"/>
        <w:ind w:left="480" w:hanging="480"/>
        <w:rPr>
          <w:lang w:val="en-GB"/>
        </w:rPr>
      </w:pPr>
      <w:r w:rsidRPr="00934D06">
        <w:rPr>
          <w:sz w:val="22"/>
          <w:szCs w:val="22"/>
          <w:lang w:val="en-GB"/>
        </w:rPr>
        <w:t>Information Commissioner’s Office (2020) Guidance on AI and Data Protection. Wilmslow: ICO. Available at: https://ico.org.uk/for-organisations/guide-to-data-protection/key-dp-themes/guidance-on-ai-and-data-protection/ [Accessed 1 June 2026].</w:t>
      </w:r>
    </w:p>
    <w:p w14:paraId="719EC77D" w14:textId="77777777" w:rsidR="00284EEA" w:rsidRPr="00934D06" w:rsidRDefault="00000000" w:rsidP="00934D06">
      <w:pPr>
        <w:spacing w:before="80" w:after="80" w:line="360" w:lineRule="auto"/>
        <w:ind w:left="480" w:hanging="480"/>
        <w:rPr>
          <w:lang w:val="en-GB"/>
        </w:rPr>
      </w:pPr>
      <w:r w:rsidRPr="00934D06">
        <w:rPr>
          <w:sz w:val="22"/>
          <w:szCs w:val="22"/>
          <w:lang w:val="en-GB"/>
        </w:rPr>
        <w:t>Kamiran, F. and Calders, T. (2012) 'Data preprocessing techniques for classification without discrimination', Knowledge and Information Systems, 33(1), pp. 1–33. doi:10.1007/s10115-011-0463-8.</w:t>
      </w:r>
    </w:p>
    <w:p w14:paraId="7357EF28" w14:textId="77777777" w:rsidR="00284EEA" w:rsidRPr="00934D06" w:rsidRDefault="00000000" w:rsidP="00934D06">
      <w:pPr>
        <w:spacing w:before="80" w:after="80" w:line="360" w:lineRule="auto"/>
        <w:ind w:left="480" w:hanging="480"/>
        <w:rPr>
          <w:lang w:val="en-GB"/>
        </w:rPr>
      </w:pPr>
      <w:r w:rsidRPr="00934D06">
        <w:rPr>
          <w:sz w:val="22"/>
          <w:szCs w:val="22"/>
          <w:lang w:val="en-GB"/>
        </w:rPr>
        <w:t>Kamishima, T., Akaho, S., Asoh, H. and Sakuma, J. (2012) 'Fairness-aware classifier with prejudice remover regularizer', in Proceedings of the European Conference on Machine Learning and Knowledge Discovery in Databases (ECML PKDD 2012), Lecture Notes in Computer Science, vol. 7524. Berlin: Springer, pp. 35–50. doi:10.1007/978-3-642-33486-3_3.</w:t>
      </w:r>
    </w:p>
    <w:p w14:paraId="0F7ECF57" w14:textId="77777777" w:rsidR="00284EEA" w:rsidRPr="00934D06" w:rsidRDefault="00000000" w:rsidP="00934D06">
      <w:pPr>
        <w:spacing w:before="80" w:after="80" w:line="360" w:lineRule="auto"/>
        <w:ind w:left="480" w:hanging="480"/>
        <w:rPr>
          <w:lang w:val="en-GB"/>
        </w:rPr>
      </w:pPr>
      <w:r w:rsidRPr="00934D06">
        <w:rPr>
          <w:sz w:val="22"/>
          <w:szCs w:val="22"/>
          <w:lang w:val="en-GB"/>
        </w:rPr>
        <w:t>Kearns, M., Neel, S., Roth, A. and Wu, Z.S. (2018) 'Preventing fairness gerrymandering: Auditing and learning for subgroup fairness', in Proceedings of the 35th International Conference on Machine Learning (ICML 2018). PMLR 80, pp. 2564–2572.</w:t>
      </w:r>
    </w:p>
    <w:p w14:paraId="0EE4EF2F" w14:textId="77777777" w:rsidR="00284EEA" w:rsidRPr="00934D06" w:rsidRDefault="00000000" w:rsidP="00934D06">
      <w:pPr>
        <w:spacing w:before="80" w:after="80" w:line="360" w:lineRule="auto"/>
        <w:ind w:left="480" w:hanging="480"/>
        <w:rPr>
          <w:lang w:val="en-GB"/>
        </w:rPr>
      </w:pPr>
      <w:r w:rsidRPr="00934D06">
        <w:rPr>
          <w:sz w:val="22"/>
          <w:szCs w:val="22"/>
          <w:lang w:val="en-GB"/>
        </w:rPr>
        <w:t>Kleinberg, J., Ludwig, J., Mullainathan, S. and Sunstein, C.R. (2019) 'Discrimination in the age of algorithms', Journal of Legal Analysis, 10, pp. 113–174. doi:10.1093/jla/laz001.</w:t>
      </w:r>
    </w:p>
    <w:p w14:paraId="7FB8A8D9" w14:textId="77777777" w:rsidR="00284EEA" w:rsidRPr="00934D06" w:rsidRDefault="00000000" w:rsidP="00934D06">
      <w:pPr>
        <w:spacing w:before="80" w:after="80" w:line="360" w:lineRule="auto"/>
        <w:ind w:left="480" w:hanging="480"/>
        <w:rPr>
          <w:lang w:val="en-GB"/>
        </w:rPr>
      </w:pPr>
      <w:r w:rsidRPr="00934D06">
        <w:rPr>
          <w:sz w:val="22"/>
          <w:szCs w:val="22"/>
          <w:lang w:val="en-GB"/>
        </w:rPr>
        <w:t>Kochling, A. and Wehner, M.C. (2020) 'Discriminated by an algorithm: A systematic review of discrimination and fairness by algorithmic decision-making in the context of HR recruitment and HR development', Business Research, 13(3), pp. 795–848. doi:10.1007/s40685-020-00134-w.</w:t>
      </w:r>
    </w:p>
    <w:p w14:paraId="6A3297AC" w14:textId="77777777" w:rsidR="00284EEA" w:rsidRPr="00934D06" w:rsidRDefault="00000000" w:rsidP="00934D06">
      <w:pPr>
        <w:spacing w:before="80" w:after="80" w:line="360" w:lineRule="auto"/>
        <w:ind w:left="480" w:hanging="480"/>
        <w:rPr>
          <w:lang w:val="en-GB"/>
        </w:rPr>
      </w:pPr>
      <w:r w:rsidRPr="00934D06">
        <w:rPr>
          <w:sz w:val="22"/>
          <w:szCs w:val="22"/>
          <w:lang w:val="en-GB"/>
        </w:rPr>
        <w:t>Kusner, M.J., Loftus, J., Russell, C. and Silva, R. (2017) 'Counterfactual fairness', in Advances in Neural Information Processing Systems 30 (NeurIPS 2017). Available at: https://arxiv.org/abs/1703.06856 [Accessed 1 June 2026].</w:t>
      </w:r>
    </w:p>
    <w:p w14:paraId="31F191A7" w14:textId="77777777" w:rsidR="00284EEA" w:rsidRPr="00934D06" w:rsidRDefault="00000000" w:rsidP="00934D06">
      <w:pPr>
        <w:spacing w:before="80" w:after="80" w:line="360" w:lineRule="auto"/>
        <w:ind w:left="480" w:hanging="480"/>
        <w:rPr>
          <w:lang w:val="en-GB"/>
        </w:rPr>
      </w:pPr>
      <w:r w:rsidRPr="00934D06">
        <w:rPr>
          <w:sz w:val="22"/>
          <w:szCs w:val="22"/>
          <w:lang w:val="en-GB"/>
        </w:rPr>
        <w:lastRenderedPageBreak/>
        <w:t>Larson, J., Mattu, S., Kirchner, L. and Angwin, J. (2016) How we analyzed the COMPAS recidivism algorithm. ProPublica, 23 May. Available at: https://www.propublica.org/article/how-we-analyzed-the-compas-recidivism-algorithm [Accessed 1 June 2026].</w:t>
      </w:r>
    </w:p>
    <w:p w14:paraId="1B6D8A4A" w14:textId="77777777" w:rsidR="00284EEA" w:rsidRPr="00934D06" w:rsidRDefault="00000000" w:rsidP="00934D06">
      <w:pPr>
        <w:spacing w:before="80" w:after="80" w:line="360" w:lineRule="auto"/>
        <w:ind w:left="480" w:hanging="480"/>
        <w:rPr>
          <w:lang w:val="en-GB"/>
        </w:rPr>
      </w:pPr>
      <w:r w:rsidRPr="00934D06">
        <w:rPr>
          <w:sz w:val="22"/>
          <w:szCs w:val="22"/>
          <w:lang w:val="en-GB"/>
        </w:rPr>
        <w:t>Lundberg, S.M. and Lee, S.I. (2017) 'A unified approach to interpreting model predictions', in Advances in Neural Information Processing Systems 30 (NeurIPS 2017). Available at: https://arxiv.org/abs/1705.07874 [Accessed 1 June 2026].</w:t>
      </w:r>
    </w:p>
    <w:p w14:paraId="545EEB75" w14:textId="77777777" w:rsidR="00284EEA" w:rsidRPr="00934D06" w:rsidRDefault="00000000" w:rsidP="00934D06">
      <w:pPr>
        <w:spacing w:before="80" w:after="80" w:line="360" w:lineRule="auto"/>
        <w:ind w:left="480" w:hanging="480"/>
        <w:rPr>
          <w:lang w:val="en-GB"/>
        </w:rPr>
      </w:pPr>
      <w:r w:rsidRPr="00934D06">
        <w:rPr>
          <w:sz w:val="22"/>
          <w:szCs w:val="22"/>
          <w:lang w:val="en-GB"/>
        </w:rPr>
        <w:t>Mehrabi, N., Morstatter, F., Saxena, N., Lerman, K. and Galstyan, A. (2021) 'A survey on bias and fairness in machine learning', ACM Computing Surveys, 54(6), Article 115. doi:10.1145/3457607.</w:t>
      </w:r>
    </w:p>
    <w:p w14:paraId="587BD8A5" w14:textId="77777777" w:rsidR="00284EEA" w:rsidRPr="00934D06" w:rsidRDefault="00000000" w:rsidP="00934D06">
      <w:pPr>
        <w:spacing w:before="80" w:after="80" w:line="360" w:lineRule="auto"/>
        <w:ind w:left="480" w:hanging="480"/>
        <w:rPr>
          <w:lang w:val="en-GB"/>
        </w:rPr>
      </w:pPr>
      <w:r w:rsidRPr="00934D06">
        <w:rPr>
          <w:sz w:val="22"/>
          <w:szCs w:val="22"/>
          <w:lang w:val="en-GB"/>
        </w:rPr>
        <w:t>Mittelstadt, B.D., Allo, P., Taddeo, M., Wachter, S. and Floridi, L. (2016) 'The ethics of algorithms: Mapping the debate', Big Data and Society, 3(2), pp. 1–21. doi:10.1177/2053951716679679.</w:t>
      </w:r>
    </w:p>
    <w:p w14:paraId="2233166C" w14:textId="77777777" w:rsidR="00284EEA" w:rsidRPr="00934D06" w:rsidRDefault="00000000" w:rsidP="00934D06">
      <w:pPr>
        <w:spacing w:before="80" w:after="80" w:line="360" w:lineRule="auto"/>
        <w:ind w:left="480" w:hanging="480"/>
        <w:rPr>
          <w:lang w:val="en-GB"/>
        </w:rPr>
      </w:pPr>
      <w:r w:rsidRPr="00934D06">
        <w:rPr>
          <w:sz w:val="22"/>
          <w:szCs w:val="22"/>
          <w:lang w:val="en-GB"/>
        </w:rPr>
        <w:t>O’Neil, C. (2016) Weapons of Math Destruction: How Big Data Increases Inequality and Threatens Democracy. New York: Crown Publishers.</w:t>
      </w:r>
    </w:p>
    <w:p w14:paraId="1CEFF6F7" w14:textId="77777777" w:rsidR="00284EEA" w:rsidRPr="00934D06" w:rsidRDefault="00000000" w:rsidP="00934D06">
      <w:pPr>
        <w:spacing w:before="80" w:after="80" w:line="360" w:lineRule="auto"/>
        <w:ind w:left="480" w:hanging="480"/>
        <w:rPr>
          <w:lang w:val="en-GB"/>
        </w:rPr>
      </w:pPr>
      <w:r w:rsidRPr="00934D06">
        <w:rPr>
          <w:sz w:val="22"/>
          <w:szCs w:val="22"/>
          <w:lang w:val="en-GB"/>
        </w:rPr>
        <w:t>Pedregosa, F., Varoquaux, G., Gramfort, A., Michel, V., Thirion, B., Grisel, O., Blondel, M., Prettenhofer, P., Weiss, R., Dubourg, V., Vanderplas, J., Passos, A., Cournapeau, D., Brucher, M., Perrot, M. and Duchesnay, E. (2011) 'Scikit-learn: Machine learning in Python', Journal of Machine Learning Research, 12, pp. 2825–2830.</w:t>
      </w:r>
    </w:p>
    <w:p w14:paraId="3CE23161" w14:textId="77777777" w:rsidR="00284EEA" w:rsidRPr="00934D06" w:rsidRDefault="00000000" w:rsidP="00934D06">
      <w:pPr>
        <w:spacing w:before="80" w:after="80" w:line="360" w:lineRule="auto"/>
        <w:ind w:left="480" w:hanging="480"/>
        <w:rPr>
          <w:lang w:val="en-GB"/>
        </w:rPr>
      </w:pPr>
      <w:r w:rsidRPr="00934D06">
        <w:rPr>
          <w:sz w:val="22"/>
          <w:szCs w:val="22"/>
          <w:lang w:val="en-GB"/>
        </w:rPr>
        <w:t>Pedreshi, D., Ruggieri, S. and Turini, F. (2008) 'Discrimination-aware data mining', in Proceedings of the 14th ACM SIGKDD International Conference on Knowledge Discovery and Data Mining. New York: ACM, pp. 560–568. doi:10.1145/1401890.1401959.</w:t>
      </w:r>
    </w:p>
    <w:p w14:paraId="4C8D334C" w14:textId="77777777" w:rsidR="00284EEA" w:rsidRPr="00934D06" w:rsidRDefault="00000000" w:rsidP="00934D06">
      <w:pPr>
        <w:spacing w:before="80" w:after="80" w:line="360" w:lineRule="auto"/>
        <w:ind w:left="480" w:hanging="480"/>
        <w:rPr>
          <w:lang w:val="en-GB"/>
        </w:rPr>
      </w:pPr>
      <w:r w:rsidRPr="00934D06">
        <w:rPr>
          <w:sz w:val="22"/>
          <w:szCs w:val="22"/>
          <w:lang w:val="en-GB"/>
        </w:rPr>
        <w:t>Pessach, D. and Shmueli, E. (2022) 'A review on fairness in machine learning', ACM Computing Surveys, 55(3), Article 51. doi:10.1145/3494672.</w:t>
      </w:r>
    </w:p>
    <w:p w14:paraId="5FF5DB60" w14:textId="77777777" w:rsidR="00284EEA" w:rsidRPr="00934D06" w:rsidRDefault="00000000" w:rsidP="00934D06">
      <w:pPr>
        <w:spacing w:before="80" w:after="80" w:line="360" w:lineRule="auto"/>
        <w:ind w:left="480" w:hanging="480"/>
        <w:rPr>
          <w:lang w:val="en-GB"/>
        </w:rPr>
      </w:pPr>
      <w:r w:rsidRPr="00934D06">
        <w:rPr>
          <w:sz w:val="22"/>
          <w:szCs w:val="22"/>
          <w:lang w:val="en-GB"/>
        </w:rPr>
        <w:t>Pleiss, G., Raghavan, M., Wu, F., Kleinberg, J. and Weinberger, K.Q. (2017) 'On fairness and calibration', in Advances in Neural Information Processing Systems 30 (NeurIPS 2017). Available at: https://arxiv.org/abs/1709.02012 [Accessed 1 June 2026].</w:t>
      </w:r>
    </w:p>
    <w:p w14:paraId="75EDD9DF" w14:textId="77777777" w:rsidR="00284EEA" w:rsidRPr="00934D06" w:rsidRDefault="00000000" w:rsidP="00934D06">
      <w:pPr>
        <w:spacing w:before="80" w:after="80" w:line="360" w:lineRule="auto"/>
        <w:ind w:left="480" w:hanging="480"/>
        <w:rPr>
          <w:lang w:val="en-GB"/>
        </w:rPr>
      </w:pPr>
      <w:r w:rsidRPr="00934D06">
        <w:rPr>
          <w:sz w:val="22"/>
          <w:szCs w:val="22"/>
          <w:lang w:val="en-GB"/>
        </w:rPr>
        <w:t>Raghavan, M., Barocas, S., Kleinberg, J. and Levy, K. (2020) 'Mitigating bias in algorithmic hiring: Evaluating claims and practices', in Proceedings of the 2020 Conference on Fairness, Accountability, and Transparency (FAT* 2020). New York: ACM, pp. 469–481. doi:10.1145/3351095.3372828.</w:t>
      </w:r>
    </w:p>
    <w:p w14:paraId="40CC44B6" w14:textId="77777777" w:rsidR="00284EEA" w:rsidRPr="00934D06" w:rsidRDefault="00000000" w:rsidP="00934D06">
      <w:pPr>
        <w:spacing w:before="80" w:after="80" w:line="360" w:lineRule="auto"/>
        <w:ind w:left="480" w:hanging="480"/>
        <w:rPr>
          <w:lang w:val="en-GB"/>
        </w:rPr>
      </w:pPr>
      <w:r w:rsidRPr="00934D06">
        <w:rPr>
          <w:sz w:val="22"/>
          <w:szCs w:val="22"/>
          <w:lang w:val="en-GB"/>
        </w:rPr>
        <w:t>Ribeiro, M.T., Singh, S. and Guestrin, C. (2016) '“Why should I trust you?”: Explaining the predictions of any classifier', in Proceedings of the 22nd ACM SIGKDD International Conference on Knowledge Discovery and Data Mining. New York: ACM, pp. 1135–1144. doi:10.1145/2939672.2939778.</w:t>
      </w:r>
    </w:p>
    <w:p w14:paraId="7774C7F7" w14:textId="77777777" w:rsidR="00284EEA" w:rsidRPr="00934D06" w:rsidRDefault="00000000" w:rsidP="00934D06">
      <w:pPr>
        <w:spacing w:before="80" w:after="80" w:line="360" w:lineRule="auto"/>
        <w:ind w:left="480" w:hanging="480"/>
        <w:rPr>
          <w:lang w:val="en-GB"/>
        </w:rPr>
      </w:pPr>
      <w:r w:rsidRPr="00934D06">
        <w:rPr>
          <w:sz w:val="22"/>
          <w:szCs w:val="22"/>
          <w:lang w:val="en-GB"/>
        </w:rPr>
        <w:lastRenderedPageBreak/>
        <w:t>Romei, A. and Ruggieri, S. (2014) 'A multidisciplinary survey on discrimination analysis', The Knowledge Engineering Review, 29(5), pp. 582–638. doi:10.1017/S0269888913000039.</w:t>
      </w:r>
    </w:p>
    <w:p w14:paraId="5628445E" w14:textId="77777777" w:rsidR="00284EEA" w:rsidRPr="00934D06" w:rsidRDefault="00000000" w:rsidP="00934D06">
      <w:pPr>
        <w:spacing w:before="80" w:after="80" w:line="360" w:lineRule="auto"/>
        <w:ind w:left="480" w:hanging="480"/>
        <w:rPr>
          <w:lang w:val="en-GB"/>
        </w:rPr>
      </w:pPr>
      <w:r w:rsidRPr="00934D06">
        <w:rPr>
          <w:sz w:val="22"/>
          <w:szCs w:val="22"/>
          <w:lang w:val="en-GB"/>
        </w:rPr>
        <w:t>UK Government (2010) Equality Act 2010. London: The Stationery Office. Available at: https://www.legislation.gov.uk/ukpga/2010/15/contents [Accessed 1 June 2026].</w:t>
      </w:r>
    </w:p>
    <w:p w14:paraId="61D3AAE1" w14:textId="77777777" w:rsidR="00284EEA" w:rsidRPr="00934D06" w:rsidRDefault="00000000" w:rsidP="00934D06">
      <w:pPr>
        <w:spacing w:before="80" w:after="80" w:line="360" w:lineRule="auto"/>
        <w:ind w:left="480" w:hanging="480"/>
        <w:rPr>
          <w:lang w:val="en-GB"/>
        </w:rPr>
      </w:pPr>
      <w:r w:rsidRPr="00934D06">
        <w:rPr>
          <w:sz w:val="22"/>
          <w:szCs w:val="22"/>
          <w:lang w:val="en-GB"/>
        </w:rPr>
        <w:t>UK Government (2018) Data Protection Act 2018. London: The Stationery Office. Available at: https://www.legislation.gov.uk/ukpga/2018/12/contents [Accessed 1 June 2026].</w:t>
      </w:r>
    </w:p>
    <w:p w14:paraId="104F66B0" w14:textId="77777777" w:rsidR="00284EEA" w:rsidRPr="00934D06" w:rsidRDefault="00000000" w:rsidP="00934D06">
      <w:pPr>
        <w:spacing w:before="80" w:after="80" w:line="360" w:lineRule="auto"/>
        <w:ind w:left="480" w:hanging="480"/>
        <w:rPr>
          <w:lang w:val="en-GB"/>
        </w:rPr>
      </w:pPr>
      <w:r w:rsidRPr="00934D06">
        <w:rPr>
          <w:sz w:val="22"/>
          <w:szCs w:val="22"/>
          <w:lang w:val="en-GB"/>
        </w:rPr>
        <w:t>Wachter, S., Mittelstadt, B. and Russell, C. (2017) 'Counterfactual explanations without opening the black box: Automated decisions and the GDPR', Harvard Journal of Law and Technology, 31(2), pp. 841–887.</w:t>
      </w:r>
    </w:p>
    <w:p w14:paraId="51232575" w14:textId="77777777" w:rsidR="00284EEA" w:rsidRPr="00934D06" w:rsidRDefault="00000000" w:rsidP="00934D06">
      <w:pPr>
        <w:spacing w:before="80" w:after="80" w:line="360" w:lineRule="auto"/>
        <w:ind w:left="480" w:hanging="480"/>
        <w:rPr>
          <w:lang w:val="en-GB"/>
        </w:rPr>
      </w:pPr>
      <w:r w:rsidRPr="00934D06">
        <w:rPr>
          <w:sz w:val="22"/>
          <w:szCs w:val="22"/>
          <w:lang w:val="en-GB"/>
        </w:rPr>
        <w:t>Zafar, M.B., Valera, I., Rodriguez, M.G. and Gummadi, K.P. (2017) 'Fairness beyond disparate treatment and disparate impact: Learning classification without disparate mistreatment', in Proceedings of the 26th International Conference on World Wide Web (WWW 2017). Geneva: International World Wide Web Conferences Steering Committee, pp. 1171–1180. doi:10.1145/3038912.3052660.</w:t>
      </w:r>
    </w:p>
    <w:p w14:paraId="4C60EA32" w14:textId="77777777" w:rsidR="00284EEA" w:rsidRPr="00934D06" w:rsidRDefault="00000000" w:rsidP="00934D06">
      <w:pPr>
        <w:spacing w:before="80" w:after="80" w:line="360" w:lineRule="auto"/>
        <w:ind w:left="480" w:hanging="480"/>
        <w:rPr>
          <w:lang w:val="en-GB"/>
        </w:rPr>
      </w:pPr>
      <w:r w:rsidRPr="00934D06">
        <w:rPr>
          <w:sz w:val="22"/>
          <w:szCs w:val="22"/>
          <w:lang w:val="en-GB"/>
        </w:rPr>
        <w:t>Zemel, R., Wu, Y., Swersky, K., Pitassi, T. and Dwork, C. (2013) 'Learning fair representations', in Proceedings of the 30th International Conference on Machine Learning (ICML 2013). PMLR 28(3), pp. 325–333. Available at: https://proceedings.mlr.press/v28/zemel13.html [Accessed 1 June 2026].</w:t>
      </w:r>
    </w:p>
    <w:p w14:paraId="3D056132" w14:textId="77777777" w:rsidR="00284EEA" w:rsidRPr="00934D06" w:rsidRDefault="00000000" w:rsidP="00934D06">
      <w:pPr>
        <w:spacing w:before="80" w:after="80" w:line="360" w:lineRule="auto"/>
        <w:ind w:left="480" w:hanging="480"/>
        <w:rPr>
          <w:lang w:val="en-GB"/>
        </w:rPr>
      </w:pPr>
      <w:r w:rsidRPr="00934D06">
        <w:rPr>
          <w:sz w:val="22"/>
          <w:szCs w:val="22"/>
          <w:lang w:val="en-GB"/>
        </w:rPr>
        <w:t>Zhang, B.H., Lemoine, B. and Mitchell, M. (2018) 'Mitigating unwanted biases with adversarial learning', in Proceedings of the 2018 AAAI/ACM Conference on AI, Ethics, and Society (AIES 2018). New York: ACM, pp. 335–340. doi:10.1145/3278721.3278779.</w:t>
      </w:r>
    </w:p>
    <w:sectPr w:rsidR="00284EEA" w:rsidRPr="00934D06">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AA6BFC" w14:textId="77777777" w:rsidR="002339F2" w:rsidRDefault="002339F2">
      <w:r>
        <w:separator/>
      </w:r>
    </w:p>
  </w:endnote>
  <w:endnote w:type="continuationSeparator" w:id="0">
    <w:p w14:paraId="38D0D3B6" w14:textId="77777777" w:rsidR="002339F2" w:rsidRDefault="002339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5F3793" w14:textId="77777777" w:rsidR="00284EEA" w:rsidRDefault="00000000">
    <w:pPr>
      <w:jc w:val="center"/>
    </w:pPr>
    <w:r>
      <w:rPr>
        <w:sz w:val="20"/>
        <w:szCs w:val="20"/>
      </w:rPr>
      <w:fldChar w:fldCharType="begin"/>
    </w:r>
    <w:r>
      <w:rPr>
        <w:sz w:val="20"/>
        <w:szCs w:val="20"/>
      </w:rPr>
      <w:instrText>PAGE</w:instrText>
    </w:r>
    <w:r>
      <w:rPr>
        <w:sz w:val="20"/>
        <w:szCs w:val="20"/>
      </w:rPr>
      <w:fldChar w:fldCharType="separate"/>
    </w:r>
    <w:r w:rsidR="00B625CB">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FACB7C" w14:textId="77777777" w:rsidR="002339F2" w:rsidRDefault="002339F2">
      <w:r>
        <w:separator/>
      </w:r>
    </w:p>
  </w:footnote>
  <w:footnote w:type="continuationSeparator" w:id="0">
    <w:p w14:paraId="0971E049" w14:textId="77777777" w:rsidR="002339F2" w:rsidRDefault="002339F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942189"/>
    <w:multiLevelType w:val="hybridMultilevel"/>
    <w:tmpl w:val="9ED25B06"/>
    <w:lvl w:ilvl="0" w:tplc="86669D7E">
      <w:start w:val="1"/>
      <w:numFmt w:val="bullet"/>
      <w:lvlText w:val="●"/>
      <w:lvlJc w:val="left"/>
      <w:pPr>
        <w:ind w:left="720" w:hanging="360"/>
      </w:pPr>
    </w:lvl>
    <w:lvl w:ilvl="1" w:tplc="97F64C3C">
      <w:start w:val="1"/>
      <w:numFmt w:val="bullet"/>
      <w:lvlText w:val="○"/>
      <w:lvlJc w:val="left"/>
      <w:pPr>
        <w:ind w:left="1440" w:hanging="360"/>
      </w:pPr>
    </w:lvl>
    <w:lvl w:ilvl="2" w:tplc="024C63B0">
      <w:start w:val="1"/>
      <w:numFmt w:val="bullet"/>
      <w:lvlText w:val="■"/>
      <w:lvlJc w:val="left"/>
      <w:pPr>
        <w:ind w:left="2160" w:hanging="360"/>
      </w:pPr>
    </w:lvl>
    <w:lvl w:ilvl="3" w:tplc="E202E318">
      <w:start w:val="1"/>
      <w:numFmt w:val="bullet"/>
      <w:lvlText w:val="●"/>
      <w:lvlJc w:val="left"/>
      <w:pPr>
        <w:ind w:left="2880" w:hanging="360"/>
      </w:pPr>
    </w:lvl>
    <w:lvl w:ilvl="4" w:tplc="9E3263F4">
      <w:start w:val="1"/>
      <w:numFmt w:val="bullet"/>
      <w:lvlText w:val="○"/>
      <w:lvlJc w:val="left"/>
      <w:pPr>
        <w:ind w:left="3600" w:hanging="360"/>
      </w:pPr>
    </w:lvl>
    <w:lvl w:ilvl="5" w:tplc="F700632C">
      <w:start w:val="1"/>
      <w:numFmt w:val="bullet"/>
      <w:lvlText w:val="■"/>
      <w:lvlJc w:val="left"/>
      <w:pPr>
        <w:ind w:left="4320" w:hanging="360"/>
      </w:pPr>
    </w:lvl>
    <w:lvl w:ilvl="6" w:tplc="F344392A">
      <w:start w:val="1"/>
      <w:numFmt w:val="bullet"/>
      <w:lvlText w:val="●"/>
      <w:lvlJc w:val="left"/>
      <w:pPr>
        <w:ind w:left="5040" w:hanging="360"/>
      </w:pPr>
    </w:lvl>
    <w:lvl w:ilvl="7" w:tplc="8C3EA97C">
      <w:start w:val="1"/>
      <w:numFmt w:val="bullet"/>
      <w:lvlText w:val="●"/>
      <w:lvlJc w:val="left"/>
      <w:pPr>
        <w:ind w:left="5760" w:hanging="360"/>
      </w:pPr>
    </w:lvl>
    <w:lvl w:ilvl="8" w:tplc="A48C009A">
      <w:start w:val="1"/>
      <w:numFmt w:val="bullet"/>
      <w:lvlText w:val="●"/>
      <w:lvlJc w:val="left"/>
      <w:pPr>
        <w:ind w:left="6480" w:hanging="360"/>
      </w:pPr>
    </w:lvl>
  </w:abstractNum>
  <w:num w:numId="1" w16cid:durableId="33472383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4EEA"/>
    <w:rsid w:val="000361D8"/>
    <w:rsid w:val="000979A8"/>
    <w:rsid w:val="000E51C3"/>
    <w:rsid w:val="001E3058"/>
    <w:rsid w:val="002339F2"/>
    <w:rsid w:val="00284EEA"/>
    <w:rsid w:val="006D4C32"/>
    <w:rsid w:val="006D73BF"/>
    <w:rsid w:val="0088790B"/>
    <w:rsid w:val="00934D06"/>
    <w:rsid w:val="00B15A20"/>
    <w:rsid w:val="00B625CB"/>
    <w:rsid w:val="00B83290"/>
    <w:rsid w:val="00BA2775"/>
    <w:rsid w:val="00BD4194"/>
    <w:rsid w:val="00BF1D8A"/>
    <w:rsid w:val="00D025BD"/>
    <w:rsid w:val="00DA4D97"/>
    <w:rsid w:val="00E57A0B"/>
    <w:rsid w:val="00F649C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E12A3C"/>
  <w15:docId w15:val="{8EA3D23F-9102-41C8-A2D6-C295B2387B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38</TotalTime>
  <Pages>20</Pages>
  <Words>7000</Words>
  <Characters>39902</Characters>
  <Application>Microsoft Office Word</Application>
  <DocSecurity>0</DocSecurity>
  <Lines>332</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faisal aleem</cp:lastModifiedBy>
  <cp:revision>2</cp:revision>
  <dcterms:created xsi:type="dcterms:W3CDTF">2026-06-16T02:21:00Z</dcterms:created>
  <dcterms:modified xsi:type="dcterms:W3CDTF">2026-06-29T15:09:00Z</dcterms:modified>
</cp:coreProperties>
</file>