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47A1"/>
          <w:sz w:val="40"/>
          <w:szCs w:val="40"/>
        </w:rPr>
        <w:t xml:space="preserve">GreenLeaf Property Management</w:t>
      </w:r>
    </w:p>
    <w:p>
      <w:pPr>
        <w:spacing w:after="80" w:before="0"/>
        <w:jc w:val="center"/>
      </w:pPr>
      <w:r>
        <w:rPr>
          <w:rFonts w:ascii="Arial" w:cs="Arial" w:eastAsia="Arial" w:hAnsi="Arial"/>
          <w:color w:val="1565C0"/>
          <w:sz w:val="30"/>
          <w:szCs w:val="30"/>
        </w:rPr>
        <w:t xml:space="preserve">Automated Maintenance Request System</w:t>
      </w:r>
    </w:p>
    <w:p>
      <w:pPr>
        <w:spacing w:after="80" w:before="0"/>
        <w:jc w:val="center"/>
      </w:pPr>
      <w:r>
        <w:rPr>
          <w:rFonts w:ascii="Arial" w:cs="Arial" w:eastAsia="Arial" w:hAnsi="Arial"/>
          <w:color w:val="555555"/>
          <w:sz w:val="24"/>
          <w:szCs w:val="24"/>
        </w:rPr>
        <w:t xml:space="preserve">Technical Documentation — Internal Use Only</w:t>
      </w:r>
    </w:p>
    <w:p>
      <w:pPr>
        <w:spacing w:after="480" w:before="0"/>
        <w:jc w:val="center"/>
      </w:pPr>
      <w:r>
        <w:rPr>
          <w:rFonts w:ascii="Arial" w:cs="Arial" w:eastAsia="Arial" w:hAnsi="Arial"/>
          <w:color w:val="888888"/>
          <w:sz w:val="22"/>
          <w:szCs w:val="22"/>
        </w:rPr>
        <w:t xml:space="preserve">April 2026</w:t>
      </w:r>
    </w:p>
    <w:p>
      <w:pPr>
        <w:pBdr>
          <w:bottom w:val="single" w:color="1565C0" w:sz="6" w:space="1"/>
        </w:pBdr>
        <w:spacing w:after="0"/>
      </w:pPr>
    </w:p>
    <w:p>
      <w:pPr>
        <w:spacing w:after="400" w:before="0"/>
      </w:pPr>
    </w:p>
    <w:p>
      <w:pPr>
        <w:pStyle w:val="Heading1"/>
        <w:spacing w:after="160" w:before="360"/>
      </w:pPr>
      <w:r>
        <w:rPr>
          <w:rFonts w:ascii="Arial" w:cs="Arial" w:eastAsia="Arial" w:hAnsi="Arial"/>
          <w:b/>
          <w:bCs/>
          <w:color w:val="0D47A1"/>
          <w:sz w:val="32"/>
          <w:szCs w:val="32"/>
        </w:rPr>
        <w:t xml:space="preserve">1. System overview</w:t>
      </w:r>
    </w:p>
    <w:p>
      <w:pPr>
        <w:spacing w:after="120" w:before="80"/>
      </w:pPr>
      <w:r>
        <w:rPr>
          <w:rFonts w:ascii="Arial" w:cs="Arial" w:eastAsia="Arial" w:hAnsi="Arial"/>
          <w:sz w:val="24"/>
          <w:szCs w:val="24"/>
        </w:rPr>
        <w:t xml:space="preserve">This document covers the full technical implementation of the GreenLeaf maintenance automation workflow. The system is built on n8n Cloud and consists of six connected nodes: a webhook intake, an OpenAI triage model, a JavaScript code node for business logic, a Google Sheets logging node, a conditional IF branch, and two Gmail notification nodes. It is designed to run fully unattended and handle real failure cases gracefully without human intervention.</w:t>
      </w:r>
    </w:p>
    <w:p>
      <w:pPr>
        <w:spacing w:after="80" w:before="0"/>
      </w:pPr>
    </w:p>
    <w:p>
      <w:pPr>
        <w:pStyle w:val="Heading2"/>
        <w:spacing w:after="120" w:before="240"/>
      </w:pPr>
      <w:r>
        <w:rPr>
          <w:rFonts w:ascii="Arial" w:cs="Arial" w:eastAsia="Arial" w:hAnsi="Arial"/>
          <w:b/>
          <w:bCs/>
          <w:color w:val="1565C0"/>
          <w:sz w:val="26"/>
          <w:szCs w:val="26"/>
        </w:rPr>
        <w:t xml:space="preserve">Architecture summary</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Webhook (POST /greenleaf-intake)</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v</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OpenAI GPT-4o-mini  (triage + classification)</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v</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Code Node (JS)  ---&gt;  Google Sheets (log row)</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v</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IF Node  (category = Emergency?)</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true                 false</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Emergency Email     Routine Email</w:t>
      </w:r>
    </w:p>
    <w:p>
      <w:pPr>
        <w:spacing w:after="200" w:before="0"/>
      </w:pPr>
    </w:p>
    <w:p>
      <w:pPr>
        <w:pStyle w:val="Heading1"/>
        <w:spacing w:after="160" w:before="360"/>
      </w:pPr>
      <w:r>
        <w:rPr>
          <w:rFonts w:ascii="Arial" w:cs="Arial" w:eastAsia="Arial" w:hAnsi="Arial"/>
          <w:b/>
          <w:bCs/>
          <w:color w:val="0D47A1"/>
          <w:sz w:val="32"/>
          <w:szCs w:val="32"/>
        </w:rPr>
        <w:t xml:space="preserve">2. Stack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Component</w:t>
            </w:r>
          </w:p>
        </w:tc>
        <w:tc>
          <w:tcPr>
            <w:tcW w:type="dxa" w:w="28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Tool / Service</w:t>
            </w:r>
          </w:p>
        </w:tc>
        <w:tc>
          <w:tcPr>
            <w:tcW w:type="dxa" w:w="43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n8n Cloud</w:t>
            </w:r>
          </w:p>
        </w:tc>
        <w:tc>
          <w:tcPr>
            <w:tcW w:type="dxa" w:w="4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Workflow engine and node runner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triage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classification and summarisation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Google Sheets</w:t>
            </w:r>
          </w:p>
        </w:tc>
        <w:tc>
          <w:tcPr>
            <w:tcW w:type="dxa" w:w="4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Persistent logging of all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via OAuth2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and routine alert emails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Intake</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n8n Webhook (POST)</w:t>
            </w:r>
          </w:p>
        </w:tc>
        <w:tc>
          <w:tcPr>
            <w:tcW w:type="dxa" w:w="4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Receives inbound tenant request payloads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(Code node)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calculation, parsing, escalation flags</w:t>
            </w:r>
          </w:p>
        </w:tc>
      </w:tr>
    </w:tbl>
    <w:p>
      <w:pPr>
        <w:spacing w:after="200" w:before="0"/>
      </w:pPr>
    </w:p>
    <w:p>
      <w:pPr>
        <w:pStyle w:val="Heading1"/>
        <w:spacing w:after="160" w:before="360"/>
      </w:pPr>
      <w:r>
        <w:rPr>
          <w:rFonts w:ascii="Arial" w:cs="Arial" w:eastAsia="Arial" w:hAnsi="Arial"/>
          <w:b/>
          <w:bCs/>
          <w:color w:val="0D47A1"/>
          <w:sz w:val="32"/>
          <w:szCs w:val="32"/>
        </w:rPr>
        <w:t xml:space="preserve">3. Node configuration</w:t>
      </w:r>
    </w:p>
    <w:p>
      <w:pPr>
        <w:pStyle w:val="Heading2"/>
        <w:spacing w:after="120" w:before="240"/>
      </w:pPr>
      <w:r>
        <w:rPr>
          <w:rFonts w:ascii="Arial" w:cs="Arial" w:eastAsia="Arial" w:hAnsi="Arial"/>
          <w:b/>
          <w:bCs/>
          <w:color w:val="1565C0"/>
          <w:sz w:val="26"/>
          <w:szCs w:val="26"/>
        </w:rPr>
        <w:t xml:space="preserve">3.1 Webhook node</w:t>
      </w:r>
    </w:p>
    <w:p>
      <w:pPr>
        <w:spacing w:after="120" w:before="80"/>
      </w:pPr>
      <w:r>
        <w:rPr>
          <w:rFonts w:ascii="Arial" w:cs="Arial" w:eastAsia="Arial" w:hAnsi="Arial"/>
          <w:sz w:val="24"/>
          <w:szCs w:val="24"/>
        </w:rPr>
        <w:t xml:space="preserve">The workflow starts with an n8n Webhook node configured to accept HTTP POST requests. Tenant submissions arrive as JSON in the request body.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Setting</w:t>
            </w:r>
          </w:p>
        </w:tc>
        <w:tc>
          <w:tcPr>
            <w:tcW w:type="dxa" w:w="63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 Method</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greenleaf-intake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(add IP allowlist for production hardening)</w:t>
            </w:r>
          </w:p>
        </w:tc>
      </w:tr>
    </w:tbl>
    <w:p>
      <w:pPr>
        <w:spacing w:after="80" w:before="0"/>
      </w:pPr>
    </w:p>
    <w:p>
      <w:pPr>
        <w:spacing w:after="120" w:before="80"/>
      </w:pPr>
      <w:r>
        <w:rPr>
          <w:rFonts w:ascii="Arial" w:cs="Arial" w:eastAsia="Arial" w:hAnsi="Arial"/>
          <w:sz w:val="24"/>
          <w:szCs w:val="24"/>
        </w:rPr>
        <w:t xml:space="preserve">Expected payload fields:</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"tenant_name": "string", "property_address": "string",</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"issue_description": "string", "contact_email": "string",</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  "submitted_at": "ISO 8601 timestamp" }</w:t>
      </w:r>
    </w:p>
    <w:p>
      <w:pPr>
        <w:spacing w:after="160" w:before="0"/>
      </w:pPr>
    </w:p>
    <w:p>
      <w:pPr>
        <w:pStyle w:val="Heading2"/>
        <w:spacing w:after="120" w:before="240"/>
      </w:pPr>
      <w:r>
        <w:rPr>
          <w:rFonts w:ascii="Arial" w:cs="Arial" w:eastAsia="Arial" w:hAnsi="Arial"/>
          <w:b/>
          <w:bCs/>
          <w:color w:val="1565C0"/>
          <w:sz w:val="26"/>
          <w:szCs w:val="26"/>
        </w:rPr>
        <w:t xml:space="preserve">3.2 OpenAI node</w:t>
      </w:r>
    </w:p>
    <w:p>
      <w:pPr>
        <w:spacing w:after="120" w:before="80"/>
      </w:pPr>
      <w:r>
        <w:rPr>
          <w:rFonts w:ascii="Arial" w:cs="Arial" w:eastAsia="Arial" w:hAnsi="Arial"/>
          <w:sz w:val="24"/>
          <w:szCs w:val="24"/>
        </w:rPr>
        <w:t xml:space="preserve">The OpenAI node sends the tenant request to GPT-4o-mini for triage. Temperature is set low (0.2) to keep responses consistent and predictable. The system prompt instructs the model to return only a valid JSON object with no additional commentary.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Setting</w:t>
            </w:r>
          </w:p>
        </w:tc>
        <w:tc>
          <w:tcPr>
            <w:tcW w:type="dxa" w:w="63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gpt-4o-mini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Operation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Message a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only (enforced via system prompt)</w:t>
            </w:r>
          </w:p>
        </w:tc>
      </w:tr>
    </w:tbl>
    <w:p>
      <w:pPr>
        <w:spacing w:after="80" w:before="0"/>
      </w:pPr>
    </w:p>
    <w:p>
      <w:pPr>
        <w:spacing w:after="120" w:before="80"/>
      </w:pPr>
      <w:r>
        <w:rPr>
          <w:rFonts w:ascii="Arial" w:cs="Arial" w:eastAsia="Arial" w:hAnsi="Arial"/>
          <w:sz w:val="24"/>
          <w:szCs w:val="24"/>
        </w:rPr>
        <w:t xml:space="preserve">The user message uses n8n expressions to inject live webhook data. Note the .body. path — this is required because n8n wraps the POST payload in a body object:</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Tenant Name: {{ $('Webhook').item.json.body.tenant_name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Property Address: {{ $('Webhook').item.json.body.property_address }}</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Issue: {{ $('Webhook').item.json.body.issue_description }}</w:t>
      </w:r>
    </w:p>
    <w:p>
      <w:pPr>
        <w:spacing w:after="160" w:before="0"/>
      </w:pPr>
    </w:p>
    <w:p>
      <w:pPr>
        <w:pStyle w:val="Heading2"/>
        <w:spacing w:after="120" w:before="240"/>
      </w:pPr>
      <w:r>
        <w:rPr>
          <w:rFonts w:ascii="Arial" w:cs="Arial" w:eastAsia="Arial" w:hAnsi="Arial"/>
          <w:b/>
          <w:bCs/>
          <w:color w:val="1565C0"/>
          <w:sz w:val="26"/>
          <w:szCs w:val="26"/>
        </w:rPr>
        <w:t xml:space="preserve">3.3 JavaScript code node</w:t>
      </w:r>
    </w:p>
    <w:p>
      <w:pPr>
        <w:spacing w:after="120" w:before="80"/>
      </w:pPr>
      <w:r>
        <w:rPr>
          <w:rFonts w:ascii="Arial" w:cs="Arial" w:eastAsia="Arial" w:hAnsi="Arial"/>
          <w:sz w:val="24"/>
          <w:szCs w:val="24"/>
        </w:rPr>
        <w:t xml:space="preserve">This node handles three responsibilities: extracting the AI response from n8n's output structure, parsing and validating the JSON, and applying business logic rules. It is the most critical node in the workflow — a failure here propagates downstream, so it includes a full try/catch fallback.</w:t>
      </w:r>
    </w:p>
    <w:p>
      <w:pPr>
        <w:spacing w:after="80" w:before="0"/>
      </w:pPr>
    </w:p>
    <w:p>
      <w:pPr>
        <w:spacing w:after="120" w:before="80"/>
      </w:pPr>
      <w:r>
        <w:rPr>
          <w:rFonts w:ascii="Arial" w:cs="Arial" w:eastAsia="Arial" w:hAnsi="Arial"/>
          <w:sz w:val="24"/>
          <w:szCs w:val="24"/>
        </w:rPr>
        <w:t xml:space="preserve">Key business logic applied:</w:t>
      </w:r>
    </w:p>
    <w:p>
      <w:pPr>
        <w:pStyle w:val="ListParagraph"/>
        <w:numPr>
          <w:ilvl w:val="0"/>
          <w:numId w:val="2"/>
        </w:numPr>
        <w:spacing w:after="60" w:before="60"/>
      </w:pPr>
      <w:r>
        <w:rPr>
          <w:rFonts w:ascii="Arial" w:cs="Arial" w:eastAsia="Arial" w:hAnsi="Arial"/>
          <w:sz w:val="24"/>
          <w:szCs w:val="24"/>
        </w:rPr>
        <w:t xml:space="preserve">SLA assignment — Emergency = 2 hours, Routine = 48 hours, Needs Review = 24 hours</w:t>
      </w:r>
    </w:p>
    <w:p>
      <w:pPr>
        <w:pStyle w:val="ListParagraph"/>
        <w:numPr>
          <w:ilvl w:val="0"/>
          <w:numId w:val="2"/>
        </w:numPr>
        <w:spacing w:after="60" w:before="60"/>
      </w:pPr>
      <w:r>
        <w:rPr>
          <w:rFonts w:ascii="Arial" w:cs="Arial" w:eastAsia="Arial" w:hAnsi="Arial"/>
          <w:sz w:val="24"/>
          <w:szCs w:val="24"/>
        </w:rPr>
        <w:t xml:space="preserve">Deadline calculation — adds SLA hours to current timestamp and formats a human-readable deadline</w:t>
      </w:r>
    </w:p>
    <w:p>
      <w:pPr>
        <w:pStyle w:val="ListParagraph"/>
        <w:numPr>
          <w:ilvl w:val="0"/>
          <w:numId w:val="2"/>
        </w:numPr>
        <w:spacing w:after="60" w:before="60"/>
      </w:pPr>
      <w:r>
        <w:rPr>
          <w:rFonts w:ascii="Arial" w:cs="Arial" w:eastAsia="Arial" w:hAnsi="Arial"/>
          <w:sz w:val="24"/>
          <w:szCs w:val="24"/>
        </w:rPr>
        <w:t xml:space="preserve">Escalation flag — set to true for Emergency and Needs Review categories</w:t>
      </w:r>
    </w:p>
    <w:p>
      <w:pPr>
        <w:pStyle w:val="ListParagraph"/>
        <w:numPr>
          <w:ilvl w:val="0"/>
          <w:numId w:val="2"/>
        </w:numPr>
        <w:spacing w:after="60" w:before="60"/>
      </w:pPr>
      <w:r>
        <w:rPr>
          <w:rFonts w:ascii="Arial" w:cs="Arial" w:eastAsia="Arial" w:hAnsi="Arial"/>
          <w:sz w:val="24"/>
          <w:szCs w:val="24"/>
        </w:rPr>
        <w:t xml:space="preserve">Priority score — numeric value (1/2/3) for potential downstream sorting</w:t>
      </w:r>
    </w:p>
    <w:p>
      <w:pPr>
        <w:spacing w:after="80" w:before="0"/>
      </w:pPr>
    </w:p>
    <w:p>
      <w:pPr>
        <w:spacing w:after="120" w:before="80"/>
      </w:pPr>
      <w:r>
        <w:rPr>
          <w:rFonts w:ascii="Arial" w:cs="Arial" w:eastAsia="Arial" w:hAnsi="Arial"/>
          <w:sz w:val="24"/>
          <w:szCs w:val="24"/>
        </w:rPr>
        <w:t xml:space="preserve">The AI response path that was confirmed working in this implementation:</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inputData?.output?.[0]?.content?.[0]?.text</w:t>
      </w:r>
    </w:p>
    <w:p>
      <w:pPr>
        <w:spacing w:after="80" w:before="0"/>
      </w:pPr>
    </w:p>
    <w:p>
      <w:pPr>
        <w:spacing w:after="120" w:before="80"/>
      </w:pPr>
      <w:r>
        <w:rPr>
          <w:rFonts w:ascii="Arial" w:cs="Arial" w:eastAsia="Arial" w:hAnsi="Arial"/>
          <w:sz w:val="24"/>
          <w:szCs w:val="24"/>
        </w:rPr>
        <w:t xml:space="preserve">Three additional fallback paths are checked in sequence in case the OpenAI node structure changes in a future n8n update:</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inputData?.message?.content</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inputData?.text</w:t>
      </w:r>
    </w:p>
    <w:p>
      <w:pPr>
        <w:pBdr>
          <w:left w:val="single" w:color="1565C0" w:sz="12" w:space="4"/>
        </w:pBdr>
        <w:shd w:fill="F0F4F8" w:val="clear"/>
        <w:spacing w:after="60" w:before="60"/>
        <w:ind w:left="360"/>
      </w:pPr>
      <w:r>
        <w:rPr>
          <w:rFonts w:ascii="Courier New" w:cs="Courier New" w:eastAsia="Courier New" w:hAnsi="Courier New"/>
          <w:color w:val="1A237E"/>
          <w:sz w:val="20"/>
          <w:szCs w:val="20"/>
        </w:rPr>
        <w:t xml:space="preserve">inputData?.choices?.[0]?.message?.content</w:t>
      </w:r>
    </w:p>
    <w:p>
      <w:pPr>
        <w:spacing w:after="160" w:before="0"/>
      </w:pPr>
    </w:p>
    <w:p>
      <w:pPr>
        <w:pStyle w:val="Heading2"/>
        <w:spacing w:after="120" w:before="240"/>
      </w:pPr>
      <w:r>
        <w:rPr>
          <w:rFonts w:ascii="Arial" w:cs="Arial" w:eastAsia="Arial" w:hAnsi="Arial"/>
          <w:b/>
          <w:bCs/>
          <w:color w:val="1565C0"/>
          <w:sz w:val="26"/>
          <w:szCs w:val="26"/>
        </w:rPr>
        <w:t xml:space="preserve">3.4 Google Sheets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Setting</w:t>
            </w:r>
          </w:p>
        </w:tc>
        <w:tc>
          <w:tcPr>
            <w:tcW w:type="dxa" w:w="63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Operation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Append Row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Automatically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Document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GreenLeaf Maintenance Tracker (by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Sheet1 (gid=0)</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Credential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Google OAuth2 — kfasih68@gmail.com</w:t>
            </w:r>
          </w:p>
        </w:tc>
      </w:tr>
    </w:tbl>
    <w:p>
      <w:pPr>
        <w:spacing w:after="80" w:before="0"/>
      </w:pPr>
    </w:p>
    <w:p>
      <w:pPr>
        <w:spacing w:after="120" w:before="80"/>
      </w:pPr>
      <w:r>
        <w:rPr>
          <w:rFonts w:ascii="Arial" w:cs="Arial" w:eastAsia="Arial" w:hAnsi="Arial"/>
          <w:sz w:val="24"/>
          <w:szCs w:val="24"/>
        </w:rPr>
        <w:t xml:space="preserve">The automatic mapping mode matches incoming field names to column headers. Column headers in the sheet must match the Code node output field names exactly. Current mapped fields: category, priority, summary, property_address, tenant_name, recommended_action, missing_info, sla_hours, sla_deadline, escalate, priority_score, contact_email, timestamp, formatted_date.</w:t>
      </w:r>
    </w:p>
    <w:p>
      <w:pPr>
        <w:spacing w:after="160" w:before="0"/>
      </w:pPr>
    </w:p>
    <w:p>
      <w:pPr>
        <w:pStyle w:val="Heading2"/>
        <w:spacing w:after="120" w:before="240"/>
      </w:pPr>
      <w:r>
        <w:rPr>
          <w:rFonts w:ascii="Arial" w:cs="Arial" w:eastAsia="Arial" w:hAnsi="Arial"/>
          <w:b/>
          <w:bCs/>
          <w:color w:val="1565C0"/>
          <w:sz w:val="26"/>
          <w:szCs w:val="26"/>
        </w:rPr>
        <w:t xml:space="preserve">3.5 IF node</w:t>
      </w:r>
    </w:p>
    <w:p>
      <w:pPr>
        <w:spacing w:after="120" w:before="80"/>
      </w:pPr>
      <w:r>
        <w:rPr>
          <w:rFonts w:ascii="Arial" w:cs="Arial" w:eastAsia="Arial" w:hAnsi="Arial"/>
          <w:sz w:val="24"/>
          <w:szCs w:val="24"/>
        </w:rPr>
        <w:t xml:space="preserve">The IF node branches the workflow based on the AI classification. It reads directly from the Code node's output to avoid any data structure issues introduced by the Google Sheets response.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Setting</w:t>
            </w:r>
          </w:p>
        </w:tc>
        <w:tc>
          <w:tcPr>
            <w:tcW w:type="dxa" w:w="63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Value 1</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 $json.category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equal to</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Value 2</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Emergency (plain text, not expression)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Gmail node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False branch</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Routine Gmail node</w:t>
            </w:r>
          </w:p>
        </w:tc>
      </w:tr>
    </w:tbl>
    <w:p>
      <w:pPr>
        <w:spacing w:after="200" w:before="0"/>
      </w:pPr>
    </w:p>
    <w:p>
      <w:pPr>
        <w:pStyle w:val="Heading1"/>
        <w:spacing w:after="160" w:before="360"/>
      </w:pPr>
      <w:r>
        <w:rPr>
          <w:rFonts w:ascii="Arial" w:cs="Arial" w:eastAsia="Arial" w:hAnsi="Arial"/>
          <w:b/>
          <w:bCs/>
          <w:color w:val="0D47A1"/>
          <w:sz w:val="32"/>
          <w:szCs w:val="32"/>
        </w:rPr>
        <w:t xml:space="preserve">4. Credentials and API key management</w:t>
      </w:r>
    </w:p>
    <w:p>
      <w:pPr>
        <w:spacing w:after="120" w:before="80"/>
      </w:pPr>
      <w:r>
        <w:rPr>
          <w:rFonts w:ascii="Arial" w:cs="Arial" w:eastAsia="Arial" w:hAnsi="Arial"/>
          <w:sz w:val="24"/>
          <w:szCs w:val="24"/>
        </w:rPr>
        <w:t xml:space="preserve">All credentials are stored in n8n's built-in encrypted credential vault. Nothing is hardcoded into any node or expression. To view or rotate a credential, go to n8n Settings &gt; Credentials and select the relevant entry.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c>
          <w:tcPr>
            <w:tcW w:type="dxa" w:w="2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Credential</w:t>
            </w:r>
          </w:p>
        </w:tc>
        <w:tc>
          <w:tcPr>
            <w:tcW w:type="dxa" w:w="16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Type</w:t>
            </w:r>
          </w:p>
        </w:tc>
        <w:tc>
          <w:tcPr>
            <w:tcW w:type="dxa" w:w="26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Used by</w:t>
            </w:r>
          </w:p>
        </w:tc>
        <w:tc>
          <w:tcPr>
            <w:tcW w:type="dxa" w:w="29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Where to rotate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OpenAI API key</w:t>
            </w:r>
          </w:p>
        </w:tc>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API Key</w:t>
            </w:r>
          </w:p>
        </w:tc>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OpenAI node</w:t>
            </w:r>
          </w:p>
        </w:tc>
        <w:tc>
          <w:tcPr>
            <w:tcW w:type="dxa" w:w="2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platform.openai.com &gt; API Keys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 Gmail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Credentials &gt; reconnect</w:t>
            </w:r>
          </w:p>
        </w:tc>
      </w:tr>
    </w:tbl>
    <w:p>
      <w:pPr>
        <w:spacing w:after="80" w:before="0"/>
      </w:pPr>
    </w:p>
    <w:p>
      <w:pPr>
        <w:spacing w:after="120" w:before="80"/>
      </w:pPr>
      <w:r>
        <w:rPr>
          <w:rFonts w:ascii="Arial" w:cs="Arial" w:eastAsia="Arial" w:hAnsi="Arial"/>
          <w:sz w:val="24"/>
          <w:szCs w:val="24"/>
        </w:rPr>
        <w:t xml:space="preserve">The Google OAuth2 token covers both Google Sheets and Gmail access under the same credential. Both the Google Drive metadata scope and the Google Sheets read/write scope must be granted when authenticating — if either is missing, the relevant node will return a 403 Requested Entity Not Found error.</w:t>
      </w:r>
    </w:p>
    <w:p>
      <w:pPr>
        <w:spacing w:after="200" w:before="0"/>
      </w:pPr>
    </w:p>
    <w:p>
      <w:pPr>
        <w:pStyle w:val="Heading1"/>
        <w:spacing w:after="160" w:before="360"/>
      </w:pPr>
      <w:r>
        <w:rPr>
          <w:rFonts w:ascii="Arial" w:cs="Arial" w:eastAsia="Arial" w:hAnsi="Arial"/>
          <w:b/>
          <w:bCs/>
          <w:color w:val="0D47A1"/>
          <w:sz w:val="32"/>
          <w:szCs w:val="32"/>
        </w:rPr>
        <w:t xml:space="preserve">5. Edge cases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Scenario</w:t>
            </w:r>
          </w:p>
        </w:tc>
        <w:tc>
          <w:tcPr>
            <w:tcW w:type="dxa" w:w="57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How it is handled</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AI returns malformed JSON</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try/catch in Code node returns a safe fallback object with category = Needs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response path changes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fallback paths are checked in sequence before falling back</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Missing tenant name or email</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Defaults to the string 'Unknown' — workflow continues without breaking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Vague or incoherent request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returns Needs Review; escalate is set to true for human follow-up</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Empty required fields in webhook</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Fallback values prevent null propagation through the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auth expiry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throws 401 — re-authenticate OAuth2 credential in n8n settings</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OpenAI API limit hit</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Node throws 429 — check billing and usage at platform.openai.com</w:t>
            </w:r>
          </w:p>
        </w:tc>
      </w:tr>
    </w:tbl>
    <w:p>
      <w:pPr>
        <w:spacing w:after="200" w:before="0"/>
      </w:pPr>
    </w:p>
    <w:p>
      <w:pPr>
        <w:pStyle w:val="Heading1"/>
        <w:spacing w:after="160" w:before="360"/>
      </w:pPr>
      <w:r>
        <w:rPr>
          <w:rFonts w:ascii="Arial" w:cs="Arial" w:eastAsia="Arial" w:hAnsi="Arial"/>
          <w:b/>
          <w:bCs/>
          <w:color w:val="0D47A1"/>
          <w:sz w:val="32"/>
          <w:szCs w:val="32"/>
        </w:rPr>
        <w:t xml:space="preserve">6. Monitoring and troubleshooting</w:t>
      </w:r>
    </w:p>
    <w:p>
      <w:pPr>
        <w:pStyle w:val="Heading2"/>
        <w:spacing w:after="120" w:before="240"/>
      </w:pPr>
      <w:r>
        <w:rPr>
          <w:rFonts w:ascii="Arial" w:cs="Arial" w:eastAsia="Arial" w:hAnsi="Arial"/>
          <w:b/>
          <w:bCs/>
          <w:color w:val="1565C0"/>
          <w:sz w:val="26"/>
          <w:szCs w:val="26"/>
        </w:rPr>
        <w:t xml:space="preserve">Execution log</w:t>
      </w:r>
    </w:p>
    <w:p>
      <w:pPr>
        <w:spacing w:after="120" w:before="80"/>
      </w:pPr>
      <w:r>
        <w:rPr>
          <w:rFonts w:ascii="Arial" w:cs="Arial" w:eastAsia="Arial" w:hAnsi="Arial"/>
          <w:sz w:val="24"/>
          <w:szCs w:val="24"/>
        </w:rPr>
        <w:t xml:space="preserve">Every workflow run is recorded under n8n &gt; Executions. Each log entry shows the full input and output for every node, making it straightforward to pinpoint where a failure occurred. Logs are retained based on your n8n plan limits.</w:t>
      </w:r>
    </w:p>
    <w:p>
      <w:pPr>
        <w:spacing w:after="80" w:before="0"/>
      </w:pPr>
    </w:p>
    <w:p>
      <w:pPr>
        <w:pStyle w:val="Heading2"/>
        <w:spacing w:after="120" w:before="240"/>
      </w:pPr>
      <w:r>
        <w:rPr>
          <w:rFonts w:ascii="Arial" w:cs="Arial" w:eastAsia="Arial" w:hAnsi="Arial"/>
          <w:b/>
          <w:bCs/>
          <w:color w:val="1565C0"/>
          <w:sz w:val="26"/>
          <w:szCs w:val="26"/>
        </w:rPr>
        <w:t xml:space="preserve">Common failure patterns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Symptom</w:t>
            </w:r>
          </w:p>
        </w:tc>
        <w:tc>
          <w:tcPr>
            <w:tcW w:type="dxa" w:w="28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Likely cause</w:t>
            </w:r>
          </w:p>
        </w:tc>
        <w:tc>
          <w:tcPr>
            <w:tcW w:type="dxa" w:w="376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22"/>
                <w:szCs w:val="22"/>
              </w:rPr>
              <w:t xml:space="preserve">Fix</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Emails not sending</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Gmail OAuth2 token expired</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Go to Credentials &gt; Google OAuth2 &gt; reconnect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Sheet not updating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Permissions revoked or wrong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Re-authenticate with the sheet owner's Google account</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AI returning empty fields</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Webhook expression using wrong node name</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Confirm node is named 'Webhook' and expressions use $('Webhook').item.json.body.*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requests classified as Emergency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node reading from wrong data context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IF condition uses $json.category directly after the Code node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Code node parse error</w:t>
            </w:r>
          </w:p>
        </w:tc>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OpenAI response structure changed</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Check raw output path and update the first fallback in the Code node</w:t>
            </w:r>
          </w:p>
        </w:tc>
      </w:tr>
    </w:tbl>
    <w:p>
      <w:pPr>
        <w:spacing w:after="80" w:before="0"/>
      </w:pPr>
    </w:p>
    <w:p>
      <w:pPr>
        <w:pStyle w:val="Heading2"/>
        <w:spacing w:after="120" w:before="240"/>
      </w:pPr>
      <w:r>
        <w:rPr>
          <w:rFonts w:ascii="Arial" w:cs="Arial" w:eastAsia="Arial" w:hAnsi="Arial"/>
          <w:b/>
          <w:bCs/>
          <w:color w:val="1565C0"/>
          <w:sz w:val="26"/>
          <w:szCs w:val="26"/>
        </w:rPr>
        <w:t xml:space="preserve">Recommended monitoring setup</w:t>
      </w:r>
    </w:p>
    <w:p>
      <w:pPr>
        <w:spacing w:after="120" w:before="80"/>
      </w:pPr>
      <w:r>
        <w:rPr>
          <w:rFonts w:ascii="Arial" w:cs="Arial" w:eastAsia="Arial" w:hAnsi="Arial"/>
          <w:sz w:val="24"/>
          <w:szCs w:val="24"/>
        </w:rPr>
        <w:t xml:space="preserve">To get alerted if any execution fails, set up n8n's built-in error workflow:</w:t>
      </w:r>
    </w:p>
    <w:p>
      <w:pPr>
        <w:pStyle w:val="ListParagraph"/>
        <w:numPr>
          <w:ilvl w:val="0"/>
          <w:numId w:val="3"/>
        </w:numPr>
        <w:spacing w:after="80" w:before="80"/>
      </w:pPr>
      <w:r>
        <w:rPr>
          <w:rFonts w:ascii="Arial" w:cs="Arial" w:eastAsia="Arial" w:hAnsi="Arial"/>
          <w:sz w:val="24"/>
          <w:szCs w:val="24"/>
        </w:rPr>
        <w:t xml:space="preserve">Go to n8n Settings &gt; Error Workflow</w:t>
      </w:r>
    </w:p>
    <w:p>
      <w:pPr>
        <w:pStyle w:val="ListParagraph"/>
        <w:numPr>
          <w:ilvl w:val="0"/>
          <w:numId w:val="3"/>
        </w:numPr>
        <w:spacing w:after="80" w:before="80"/>
      </w:pPr>
      <w:r>
        <w:rPr>
          <w:rFonts w:ascii="Arial" w:cs="Arial" w:eastAsia="Arial" w:hAnsi="Arial"/>
          <w:sz w:val="24"/>
          <w:szCs w:val="24"/>
        </w:rPr>
        <w:t xml:space="preserve">Create a simple workflow that sends an email when triggered</w:t>
      </w:r>
    </w:p>
    <w:p>
      <w:pPr>
        <w:pStyle w:val="ListParagraph"/>
        <w:numPr>
          <w:ilvl w:val="0"/>
          <w:numId w:val="3"/>
        </w:numPr>
        <w:spacing w:after="80" w:before="80"/>
      </w:pPr>
      <w:r>
        <w:rPr>
          <w:rFonts w:ascii="Arial" w:cs="Arial" w:eastAsia="Arial" w:hAnsi="Arial"/>
          <w:sz w:val="24"/>
          <w:szCs w:val="24"/>
        </w:rPr>
        <w:t xml:space="preserve">Set that workflow as the global error handler</w:t>
      </w:r>
    </w:p>
    <w:p>
      <w:pPr>
        <w:spacing w:after="120" w:before="80"/>
      </w:pPr>
      <w:r>
        <w:rPr>
          <w:rFonts w:ascii="Arial" w:cs="Arial" w:eastAsia="Arial" w:hAnsi="Arial"/>
          <w:sz w:val="24"/>
          <w:szCs w:val="24"/>
        </w:rPr>
        <w:t xml:space="preserve">This ensures that any failed execution triggers an immediate alert to the technical team rather than silently dropping a tenant request.</w:t>
      </w:r>
    </w:p>
    <w:p>
      <w:pPr>
        <w:spacing w:after="200" w:before="0"/>
      </w:pPr>
    </w:p>
    <w:p>
      <w:pPr>
        <w:pStyle w:val="Heading1"/>
        <w:spacing w:after="160" w:before="360"/>
      </w:pPr>
      <w:r>
        <w:rPr>
          <w:rFonts w:ascii="Arial" w:cs="Arial" w:eastAsia="Arial" w:hAnsi="Arial"/>
          <w:b/>
          <w:bCs/>
          <w:color w:val="0D47A1"/>
          <w:sz w:val="32"/>
          <w:szCs w:val="32"/>
        </w:rPr>
        <w:t xml:space="preserve">7. Extending the workflow</w:t>
      </w:r>
    </w:p>
    <w:p>
      <w:pPr>
        <w:pStyle w:val="Heading2"/>
        <w:spacing w:after="120" w:before="240"/>
      </w:pPr>
      <w:r>
        <w:rPr>
          <w:rFonts w:ascii="Arial" w:cs="Arial" w:eastAsia="Arial" w:hAnsi="Arial"/>
          <w:b/>
          <w:bCs/>
          <w:color w:val="1565C0"/>
          <w:sz w:val="26"/>
          <w:szCs w:val="26"/>
        </w:rPr>
        <w:t xml:space="preserve">Add vendor lookup</w:t>
      </w:r>
    </w:p>
    <w:p>
      <w:pPr>
        <w:spacing w:after="120" w:before="80"/>
      </w:pPr>
      <w:r>
        <w:rPr>
          <w:rFonts w:ascii="Arial" w:cs="Arial" w:eastAsia="Arial" w:hAnsi="Arial"/>
          <w:sz w:val="24"/>
          <w:szCs w:val="24"/>
        </w:rPr>
        <w:t xml:space="preserve">To automatically look up the correct vendor for each property instead of sending to a fixed email:</w:t>
      </w:r>
    </w:p>
    <w:p>
      <w:pPr>
        <w:pStyle w:val="ListParagraph"/>
        <w:numPr>
          <w:ilvl w:val="0"/>
          <w:numId w:val="3"/>
        </w:numPr>
        <w:spacing w:after="80" w:before="80"/>
      </w:pPr>
      <w:r>
        <w:rPr>
          <w:rFonts w:ascii="Arial" w:cs="Arial" w:eastAsia="Arial" w:hAnsi="Arial"/>
          <w:sz w:val="24"/>
          <w:szCs w:val="24"/>
        </w:rPr>
        <w:t xml:space="preserve">Add a Google Sheets 'Lookup Row' node after the Code node</w:t>
      </w:r>
    </w:p>
    <w:p>
      <w:pPr>
        <w:pStyle w:val="ListParagraph"/>
        <w:numPr>
          <w:ilvl w:val="0"/>
          <w:numId w:val="3"/>
        </w:numPr>
        <w:spacing w:after="80" w:before="80"/>
      </w:pPr>
      <w:r>
        <w:rPr>
          <w:rFonts w:ascii="Arial" w:cs="Arial" w:eastAsia="Arial" w:hAnsi="Arial"/>
          <w:sz w:val="24"/>
          <w:szCs w:val="24"/>
        </w:rPr>
        <w:t xml:space="preserve">Configure it to match on property_address against a Vendors tab</w:t>
      </w:r>
    </w:p>
    <w:p>
      <w:pPr>
        <w:pStyle w:val="ListParagraph"/>
        <w:numPr>
          <w:ilvl w:val="0"/>
          <w:numId w:val="3"/>
        </w:numPr>
        <w:spacing w:after="80" w:before="80"/>
      </w:pPr>
      <w:r>
        <w:rPr>
          <w:rFonts w:ascii="Arial" w:cs="Arial" w:eastAsia="Arial" w:hAnsi="Arial"/>
          <w:sz w:val="24"/>
          <w:szCs w:val="24"/>
        </w:rPr>
        <w:t xml:space="preserve">Replace the hardcoded To field in the Gmail nodes with {{ $json.vendor_email }}</w:t>
      </w:r>
    </w:p>
    <w:p>
      <w:pPr>
        <w:spacing w:after="80" w:before="0"/>
      </w:pPr>
    </w:p>
    <w:p>
      <w:pPr>
        <w:pStyle w:val="Heading2"/>
        <w:spacing w:after="120" w:before="240"/>
      </w:pPr>
      <w:r>
        <w:rPr>
          <w:rFonts w:ascii="Arial" w:cs="Arial" w:eastAsia="Arial" w:hAnsi="Arial"/>
          <w:b/>
          <w:bCs/>
          <w:color w:val="1565C0"/>
          <w:sz w:val="26"/>
          <w:szCs w:val="26"/>
        </w:rPr>
        <w:t xml:space="preserve">Add SMS for emergencies</w:t>
      </w:r>
    </w:p>
    <w:p>
      <w:pPr>
        <w:spacing w:after="120" w:before="80"/>
      </w:pPr>
      <w:r>
        <w:rPr>
          <w:rFonts w:ascii="Arial" w:cs="Arial" w:eastAsia="Arial" w:hAnsi="Arial"/>
          <w:sz w:val="24"/>
          <w:szCs w:val="24"/>
        </w:rPr>
        <w:t xml:space="preserve">To send an SMS alert in addition to email for emergency requests:</w:t>
      </w:r>
    </w:p>
    <w:p>
      <w:pPr>
        <w:pStyle w:val="ListParagraph"/>
        <w:numPr>
          <w:ilvl w:val="0"/>
          <w:numId w:val="3"/>
        </w:numPr>
        <w:spacing w:after="80" w:before="80"/>
      </w:pPr>
      <w:r>
        <w:rPr>
          <w:rFonts w:ascii="Arial" w:cs="Arial" w:eastAsia="Arial" w:hAnsi="Arial"/>
          <w:sz w:val="24"/>
          <w:szCs w:val="24"/>
        </w:rPr>
        <w:t xml:space="preserve">Create a Twilio account and add Twilio credentials to n8n</w:t>
      </w:r>
    </w:p>
    <w:p>
      <w:pPr>
        <w:pStyle w:val="ListParagraph"/>
        <w:numPr>
          <w:ilvl w:val="0"/>
          <w:numId w:val="3"/>
        </w:numPr>
        <w:spacing w:after="80" w:before="80"/>
      </w:pPr>
      <w:r>
        <w:rPr>
          <w:rFonts w:ascii="Arial" w:cs="Arial" w:eastAsia="Arial" w:hAnsi="Arial"/>
          <w:sz w:val="24"/>
          <w:szCs w:val="24"/>
        </w:rPr>
        <w:t xml:space="preserve">Add a Twilio SMS node on the Emergency branch alongside the email node</w:t>
      </w:r>
    </w:p>
    <w:p>
      <w:pPr>
        <w:pStyle w:val="ListParagraph"/>
        <w:numPr>
          <w:ilvl w:val="0"/>
          <w:numId w:val="3"/>
        </w:numPr>
        <w:spacing w:after="80" w:before="80"/>
      </w:pPr>
      <w:r>
        <w:rPr>
          <w:rFonts w:ascii="Arial" w:cs="Arial" w:eastAsia="Arial" w:hAnsi="Arial"/>
          <w:sz w:val="24"/>
          <w:szCs w:val="24"/>
        </w:rPr>
        <w:t xml:space="preserve">Use the same message template as the emergency email, shortened to 160 characters</w:t>
      </w:r>
    </w:p>
    <w:p>
      <w:pPr>
        <w:spacing w:after="80" w:before="0"/>
      </w:pPr>
    </w:p>
    <w:p>
      <w:pPr>
        <w:pStyle w:val="Heading2"/>
        <w:spacing w:after="120" w:before="240"/>
      </w:pPr>
      <w:r>
        <w:rPr>
          <w:rFonts w:ascii="Arial" w:cs="Arial" w:eastAsia="Arial" w:hAnsi="Arial"/>
          <w:b/>
          <w:bCs/>
          <w:color w:val="1565C0"/>
          <w:sz w:val="26"/>
          <w:szCs w:val="26"/>
        </w:rPr>
        <w:t xml:space="preserve">Add a tenant-facing intake form</w:t>
      </w:r>
    </w:p>
    <w:p>
      <w:pPr>
        <w:spacing w:after="120" w:before="80"/>
      </w:pPr>
      <w:r>
        <w:rPr>
          <w:rFonts w:ascii="Arial" w:cs="Arial" w:eastAsia="Arial" w:hAnsi="Arial"/>
          <w:sz w:val="24"/>
          <w:szCs w:val="24"/>
        </w:rPr>
        <w:t xml:space="preserve">To replace the raw webhook with a user-friendly form for tenants:</w:t>
      </w:r>
    </w:p>
    <w:p>
      <w:pPr>
        <w:pStyle w:val="ListParagraph"/>
        <w:numPr>
          <w:ilvl w:val="0"/>
          <w:numId w:val="3"/>
        </w:numPr>
        <w:spacing w:after="80" w:before="80"/>
      </w:pPr>
      <w:r>
        <w:rPr>
          <w:rFonts w:ascii="Arial" w:cs="Arial" w:eastAsia="Arial" w:hAnsi="Arial"/>
          <w:sz w:val="24"/>
          <w:szCs w:val="24"/>
        </w:rPr>
        <w:t xml:space="preserve">Create a form in Tally or Typeform with fields matching the webhook payload</w:t>
      </w:r>
    </w:p>
    <w:p>
      <w:pPr>
        <w:pStyle w:val="ListParagraph"/>
        <w:numPr>
          <w:ilvl w:val="0"/>
          <w:numId w:val="3"/>
        </w:numPr>
        <w:spacing w:after="80" w:before="80"/>
      </w:pPr>
      <w:r>
        <w:rPr>
          <w:rFonts w:ascii="Arial" w:cs="Arial" w:eastAsia="Arial" w:hAnsi="Arial"/>
          <w:sz w:val="24"/>
          <w:szCs w:val="24"/>
        </w:rPr>
        <w:t xml:space="preserve">Replace the Webhook node with the Tally or Typeform trigger node in n8n</w:t>
      </w:r>
    </w:p>
    <w:p>
      <w:pPr>
        <w:pStyle w:val="ListParagraph"/>
        <w:numPr>
          <w:ilvl w:val="0"/>
          <w:numId w:val="3"/>
        </w:numPr>
        <w:spacing w:after="80" w:before="80"/>
      </w:pPr>
      <w:r>
        <w:rPr>
          <w:rFonts w:ascii="Arial" w:cs="Arial" w:eastAsia="Arial" w:hAnsi="Arial"/>
          <w:sz w:val="24"/>
          <w:szCs w:val="24"/>
        </w:rPr>
        <w:t xml:space="preserve">Field mappings in downstream nodes stay the same — no other changes needed</w:t>
      </w:r>
    </w:p>
    <w:p>
      <w:pPr>
        <w:spacing w:after="200" w:before="0"/>
      </w:pPr>
    </w:p>
    <w:p>
      <w:pPr>
        <w:pStyle w:val="Heading1"/>
        <w:spacing w:after="160" w:before="360"/>
      </w:pPr>
      <w:r>
        <w:rPr>
          <w:rFonts w:ascii="Arial" w:cs="Arial" w:eastAsia="Arial" w:hAnsi="Arial"/>
          <w:b/>
          <w:bCs/>
          <w:color w:val="0D47A1"/>
          <w:sz w:val="32"/>
          <w:szCs w:val="32"/>
        </w:rPr>
        <w:t xml:space="preserve">8. Known assumptions and limitations</w:t>
      </w:r>
    </w:p>
    <w:p>
      <w:pPr>
        <w:pStyle w:val="ListParagraph"/>
        <w:numPr>
          <w:ilvl w:val="0"/>
          <w:numId w:val="2"/>
        </w:numPr>
        <w:spacing w:after="60" w:before="60"/>
      </w:pPr>
      <w:r>
        <w:rPr>
          <w:rFonts w:ascii="Arial" w:cs="Arial" w:eastAsia="Arial" w:hAnsi="Arial"/>
          <w:sz w:val="24"/>
          <w:szCs w:val="24"/>
        </w:rPr>
        <w:t xml:space="preserve">The OpenAI model has a knowledge cutoff and classifies requests based on language patterns, not domain-specific rules. Unusual phrasings may occasionally be miscategorised — the Needs Review fallback handles this.</w:t>
      </w:r>
    </w:p>
    <w:p>
      <w:pPr>
        <w:pStyle w:val="ListParagraph"/>
        <w:numPr>
          <w:ilvl w:val="0"/>
          <w:numId w:val="2"/>
        </w:numPr>
        <w:spacing w:after="60" w:before="60"/>
      </w:pPr>
      <w:r>
        <w:rPr>
          <w:rFonts w:ascii="Arial" w:cs="Arial" w:eastAsia="Arial" w:hAnsi="Arial"/>
          <w:sz w:val="24"/>
          <w:szCs w:val="24"/>
        </w:rPr>
        <w:t xml:space="preserve">The workflow runs on n8n's free tier, which allows 50 executions per month. For production use with higher request volumes, upgrading to a paid tier is necessary.</w:t>
      </w:r>
    </w:p>
    <w:p>
      <w:pPr>
        <w:pStyle w:val="ListParagraph"/>
        <w:numPr>
          <w:ilvl w:val="0"/>
          <w:numId w:val="2"/>
        </w:numPr>
        <w:spacing w:after="60" w:before="60"/>
      </w:pPr>
      <w:r>
        <w:rPr>
          <w:rFonts w:ascii="Arial" w:cs="Arial" w:eastAsia="Arial" w:hAnsi="Arial"/>
          <w:sz w:val="24"/>
          <w:szCs w:val="24"/>
        </w:rPr>
        <w:t xml:space="preserve">Gmail OAuth2 tokens expire periodically and require manual re-authentication. For a production deployment, a service account with delegated access is more robust.</w:t>
      </w:r>
    </w:p>
    <w:p>
      <w:pPr>
        <w:pStyle w:val="ListParagraph"/>
        <w:numPr>
          <w:ilvl w:val="0"/>
          <w:numId w:val="2"/>
        </w:numPr>
        <w:spacing w:after="60" w:before="60"/>
      </w:pPr>
      <w:r>
        <w:rPr>
          <w:rFonts w:ascii="Arial" w:cs="Arial" w:eastAsia="Arial" w:hAnsi="Arial"/>
          <w:sz w:val="24"/>
          <w:szCs w:val="24"/>
        </w:rPr>
        <w:t xml:space="preserve">The Google Sheet has no row limit enforced by the workflow. For long-running deployments, archiving old rows periodically will keep the sheet performant.</w:t>
      </w:r>
    </w:p>
    <w:p>
      <w:pPr>
        <w:pStyle w:val="ListParagraph"/>
        <w:numPr>
          <w:ilvl w:val="0"/>
          <w:numId w:val="2"/>
        </w:numPr>
        <w:spacing w:after="60" w:before="60"/>
      </w:pPr>
      <w:r>
        <w:rPr>
          <w:rFonts w:ascii="Arial" w:cs="Arial" w:eastAsia="Arial" w:hAnsi="Arial"/>
          <w:sz w:val="24"/>
          <w:szCs w:val="24"/>
        </w:rPr>
        <w:t xml:space="preserve">Concurrent requests are handled sequentially by n8n's queue. Under very high volume, a queue-based architecture with dedicated workers would be more appropriate.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GreenLeaf Property Management  |  Technical Documentation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2026-04-16T05:14:10.222Z</dcterms:created>
  <dcterms:modified xsi:type="dcterms:W3CDTF">2026-04-16T05:14:10.223Z</dcterms:modified>
</cp:coreProperties>
</file>

<file path=docProps/custom.xml><?xml version="1.0" encoding="utf-8"?>
<Properties xmlns="http://schemas.openxmlformats.org/officeDocument/2006/custom-properties" xmlns:vt="http://schemas.openxmlformats.org/officeDocument/2006/docPropsVTypes"/>
</file>