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1FBA4" w14:textId="77777777" w:rsidR="00C30C22" w:rsidRPr="003E467F" w:rsidRDefault="00C30C22" w:rsidP="00C30C22">
      <w:pPr>
        <w:pStyle w:val="Default"/>
        <w:jc w:val="center"/>
      </w:pPr>
      <w:r w:rsidRPr="003E467F">
        <w:rPr>
          <w:b/>
          <w:bCs/>
        </w:rPr>
        <w:t>Maldives P</w:t>
      </w:r>
      <w:r>
        <w:rPr>
          <w:b/>
          <w:bCs/>
        </w:rPr>
        <w:t xml:space="preserve">ublic </w:t>
      </w:r>
      <w:r w:rsidRPr="003E467F">
        <w:rPr>
          <w:b/>
          <w:bCs/>
        </w:rPr>
        <w:t>F</w:t>
      </w:r>
      <w:r>
        <w:rPr>
          <w:b/>
          <w:bCs/>
        </w:rPr>
        <w:t xml:space="preserve">inancial </w:t>
      </w:r>
      <w:r w:rsidRPr="003E467F">
        <w:rPr>
          <w:b/>
          <w:bCs/>
        </w:rPr>
        <w:t>M</w:t>
      </w:r>
      <w:r>
        <w:rPr>
          <w:b/>
          <w:bCs/>
        </w:rPr>
        <w:t>anagement</w:t>
      </w:r>
      <w:r w:rsidRPr="003E467F">
        <w:rPr>
          <w:b/>
          <w:bCs/>
        </w:rPr>
        <w:t xml:space="preserve"> Systems Strengthening Project</w:t>
      </w:r>
    </w:p>
    <w:p w14:paraId="61CFBAB0" w14:textId="77777777" w:rsidR="00C30C22" w:rsidRPr="003E467F" w:rsidRDefault="00C30C22" w:rsidP="00C30C22">
      <w:pPr>
        <w:pStyle w:val="Default"/>
        <w:jc w:val="center"/>
        <w:rPr>
          <w:b/>
          <w:bCs/>
        </w:rPr>
      </w:pPr>
      <w:r w:rsidRPr="003E467F">
        <w:rPr>
          <w:b/>
          <w:bCs/>
        </w:rPr>
        <w:t>Aide Memoire, November 12-14, 2019</w:t>
      </w:r>
    </w:p>
    <w:p w14:paraId="7674B168" w14:textId="77777777" w:rsidR="000D2F40" w:rsidRDefault="000D2F40" w:rsidP="0085187B">
      <w:pPr>
        <w:rPr>
          <w:rFonts w:cs="Times New Roman"/>
          <w:b/>
          <w:i/>
          <w:sz w:val="22"/>
        </w:rPr>
      </w:pPr>
    </w:p>
    <w:p w14:paraId="4920FD4D" w14:textId="77777777" w:rsidR="00C274CB" w:rsidRPr="00C01218" w:rsidRDefault="00C274CB" w:rsidP="00C274CB">
      <w:pPr>
        <w:pStyle w:val="ListParagraph"/>
        <w:numPr>
          <w:ilvl w:val="0"/>
          <w:numId w:val="3"/>
        </w:numPr>
        <w:rPr>
          <w:rFonts w:cs="Times New Roman"/>
          <w:sz w:val="22"/>
        </w:rPr>
      </w:pPr>
      <w:r w:rsidRPr="00C01218">
        <w:rPr>
          <w:rFonts w:cs="Times New Roman"/>
          <w:b/>
          <w:sz w:val="22"/>
        </w:rPr>
        <w:t>Introduction:</w:t>
      </w:r>
      <w:r w:rsidRPr="00C01218">
        <w:rPr>
          <w:rFonts w:cs="Times New Roman"/>
          <w:sz w:val="22"/>
        </w:rPr>
        <w:t xml:space="preserve"> </w:t>
      </w:r>
    </w:p>
    <w:p w14:paraId="71CA5CC4" w14:textId="72769F63" w:rsidR="000717B6" w:rsidRPr="00E8075F" w:rsidRDefault="000717B6" w:rsidP="00A20898">
      <w:pPr>
        <w:jc w:val="both"/>
        <w:rPr>
          <w:rFonts w:cs="Times New Roman"/>
          <w:sz w:val="22"/>
        </w:rPr>
      </w:pPr>
      <w:r w:rsidRPr="00E8075F">
        <w:rPr>
          <w:rFonts w:cs="Times New Roman"/>
          <w:sz w:val="22"/>
        </w:rPr>
        <w:t xml:space="preserve">A World Bank mission conducted the third implementation support mission of the Maldives PFM Systems Strengthening Project AF in Male during November 12-14, 2019. During the mission, the team met with all the project stakeholders including: the main departments of the Ministry of Finance; the Financial Controller; the Auditor General’s office; the permanent secretary of the Ministry of National Planning and Infrastructure and team; the chair of the National Pay Commission; the president of the Privatization and Corporatization Board; and civil society (detailed list in Annex 1). The mission </w:t>
      </w:r>
      <w:r w:rsidR="00E8075F" w:rsidRPr="00E8075F">
        <w:rPr>
          <w:rFonts w:cs="Times New Roman"/>
          <w:sz w:val="22"/>
        </w:rPr>
        <w:t>wishes to express their appreciation to</w:t>
      </w:r>
      <w:r w:rsidRPr="00E8075F">
        <w:rPr>
          <w:rFonts w:cs="Times New Roman"/>
          <w:sz w:val="22"/>
        </w:rPr>
        <w:t xml:space="preserve"> the authorities for their open and effective cooperation. The mission’s main findings were discussed at the wrap-up meeting chaired by the State Minister, Mr. Ismail Ali </w:t>
      </w:r>
      <w:proofErr w:type="spellStart"/>
      <w:r w:rsidRPr="00E8075F">
        <w:rPr>
          <w:rFonts w:cs="Times New Roman"/>
          <w:sz w:val="22"/>
        </w:rPr>
        <w:t>Manik</w:t>
      </w:r>
      <w:proofErr w:type="spellEnd"/>
      <w:r w:rsidRPr="00E8075F">
        <w:rPr>
          <w:rFonts w:cs="Times New Roman"/>
          <w:sz w:val="22"/>
        </w:rPr>
        <w:t xml:space="preserve"> on November 14,</w:t>
      </w:r>
      <w:r w:rsidR="00A20898">
        <w:rPr>
          <w:rFonts w:cs="Times New Roman"/>
          <w:sz w:val="22"/>
        </w:rPr>
        <w:t xml:space="preserve"> </w:t>
      </w:r>
      <w:r w:rsidRPr="00E8075F">
        <w:rPr>
          <w:rFonts w:cs="Times New Roman"/>
          <w:sz w:val="22"/>
        </w:rPr>
        <w:t xml:space="preserve">2019. </w:t>
      </w:r>
    </w:p>
    <w:p w14:paraId="2494EE96" w14:textId="3CC89D30" w:rsidR="002C1FAC" w:rsidRPr="00C01218" w:rsidRDefault="00C379BD" w:rsidP="002C1FAC">
      <w:pPr>
        <w:pStyle w:val="ListParagraph"/>
        <w:numPr>
          <w:ilvl w:val="0"/>
          <w:numId w:val="3"/>
        </w:numPr>
        <w:rPr>
          <w:rFonts w:cs="Times New Roman"/>
          <w:b/>
          <w:sz w:val="22"/>
        </w:rPr>
      </w:pPr>
      <w:r w:rsidRPr="00C01218">
        <w:rPr>
          <w:rFonts w:cs="Times New Roman"/>
          <w:b/>
          <w:sz w:val="22"/>
        </w:rPr>
        <w:t xml:space="preserve">Overall </w:t>
      </w:r>
      <w:r w:rsidR="002C1FAC" w:rsidRPr="00C01218">
        <w:rPr>
          <w:rFonts w:cs="Times New Roman"/>
          <w:b/>
          <w:sz w:val="22"/>
        </w:rPr>
        <w:t xml:space="preserve">Project performance </w:t>
      </w:r>
    </w:p>
    <w:p w14:paraId="4E38B4C8" w14:textId="77777777" w:rsidR="00A20898" w:rsidRPr="00A20898" w:rsidRDefault="00E8075F" w:rsidP="00E8075F">
      <w:pPr>
        <w:numPr>
          <w:ilvl w:val="0"/>
          <w:numId w:val="9"/>
        </w:numPr>
        <w:spacing w:after="0" w:line="240" w:lineRule="auto"/>
        <w:jc w:val="both"/>
        <w:rPr>
          <w:rFonts w:cs="Times New Roman"/>
          <w:sz w:val="22"/>
        </w:rPr>
      </w:pPr>
      <w:r w:rsidRPr="00E8075F">
        <w:rPr>
          <w:rFonts w:cs="Times New Roman"/>
          <w:b/>
          <w:bCs/>
          <w:sz w:val="22"/>
        </w:rPr>
        <w:t xml:space="preserve">Overall Project Implementation Status. </w:t>
      </w:r>
    </w:p>
    <w:p w14:paraId="36338B60" w14:textId="77777777" w:rsidR="00A20898" w:rsidRDefault="00A20898" w:rsidP="00A20898">
      <w:pPr>
        <w:spacing w:after="0" w:line="240" w:lineRule="auto"/>
        <w:jc w:val="both"/>
        <w:rPr>
          <w:rFonts w:cs="Times New Roman"/>
          <w:b/>
          <w:bCs/>
          <w:sz w:val="22"/>
        </w:rPr>
      </w:pPr>
    </w:p>
    <w:p w14:paraId="075FD36C" w14:textId="64A201FF" w:rsidR="00E8075F" w:rsidRPr="00E8075F" w:rsidRDefault="00E8075F" w:rsidP="00A20898">
      <w:pPr>
        <w:spacing w:after="0" w:line="240" w:lineRule="auto"/>
        <w:jc w:val="both"/>
        <w:rPr>
          <w:rFonts w:cs="Times New Roman"/>
          <w:sz w:val="22"/>
        </w:rPr>
      </w:pPr>
      <w:r w:rsidRPr="00E8075F">
        <w:rPr>
          <w:rFonts w:cs="Times New Roman"/>
          <w:b/>
          <w:sz w:val="22"/>
        </w:rPr>
        <w:t xml:space="preserve">The likelihood of achieving the PDO has been downgraded from </w:t>
      </w:r>
      <w:r w:rsidR="00E9431E">
        <w:rPr>
          <w:rFonts w:cs="Times New Roman"/>
          <w:b/>
          <w:sz w:val="22"/>
        </w:rPr>
        <w:t>“</w:t>
      </w:r>
      <w:r w:rsidRPr="00E8075F">
        <w:rPr>
          <w:rFonts w:cs="Times New Roman"/>
          <w:b/>
          <w:sz w:val="22"/>
        </w:rPr>
        <w:t>Satisfactory</w:t>
      </w:r>
      <w:r w:rsidR="00E9431E">
        <w:rPr>
          <w:rFonts w:cs="Times New Roman"/>
          <w:b/>
          <w:sz w:val="22"/>
        </w:rPr>
        <w:t>”</w:t>
      </w:r>
      <w:r w:rsidRPr="00E8075F">
        <w:rPr>
          <w:rFonts w:cs="Times New Roman"/>
          <w:b/>
          <w:sz w:val="22"/>
        </w:rPr>
        <w:t xml:space="preserve"> to </w:t>
      </w:r>
      <w:r w:rsidR="00E9431E">
        <w:rPr>
          <w:rFonts w:cs="Times New Roman"/>
          <w:b/>
          <w:sz w:val="22"/>
        </w:rPr>
        <w:t>“</w:t>
      </w:r>
      <w:r w:rsidRPr="00E8075F">
        <w:rPr>
          <w:rFonts w:cs="Times New Roman"/>
          <w:b/>
          <w:sz w:val="22"/>
        </w:rPr>
        <w:t>Moderately Satisfactory</w:t>
      </w:r>
      <w:r w:rsidR="00E9431E">
        <w:rPr>
          <w:rFonts w:cs="Times New Roman"/>
          <w:b/>
          <w:sz w:val="22"/>
        </w:rPr>
        <w:t>”</w:t>
      </w:r>
      <w:r w:rsidRPr="00E8075F">
        <w:rPr>
          <w:rFonts w:cs="Times New Roman"/>
          <w:b/>
          <w:sz w:val="22"/>
        </w:rPr>
        <w:t>.</w:t>
      </w:r>
      <w:r w:rsidRPr="00E8075F">
        <w:rPr>
          <w:rFonts w:cs="Times New Roman"/>
          <w:sz w:val="22"/>
        </w:rPr>
        <w:t xml:space="preserve"> The rating for implementation progress (IP) is “Moderately Satisfactory” because there are delays in meeting </w:t>
      </w:r>
      <w:bookmarkStart w:id="0" w:name="_Hlk24986821"/>
      <w:r w:rsidRPr="00E8075F">
        <w:rPr>
          <w:rFonts w:cs="Times New Roman"/>
          <w:sz w:val="22"/>
        </w:rPr>
        <w:t>the Disbursement Linked Indicators (DLIs) and status of implementation of the technical assistance component activities are mostly at the early stage of preparation of terms of reference</w:t>
      </w:r>
      <w:r w:rsidR="00E10324">
        <w:rPr>
          <w:rFonts w:cs="Times New Roman"/>
          <w:sz w:val="22"/>
        </w:rPr>
        <w:t>. T</w:t>
      </w:r>
      <w:r w:rsidRPr="00E8075F">
        <w:rPr>
          <w:rFonts w:cs="Times New Roman"/>
          <w:sz w:val="22"/>
        </w:rPr>
        <w:t xml:space="preserve">hese two factors have led to the current very low 1 percent disbursement rate. </w:t>
      </w:r>
      <w:r w:rsidR="000A60BF">
        <w:rPr>
          <w:rFonts w:cs="Times New Roman"/>
          <w:sz w:val="22"/>
        </w:rPr>
        <w:t xml:space="preserve">Achievement of the following indicators are crucial to project implementation: i) </w:t>
      </w:r>
      <w:r w:rsidR="000A60BF" w:rsidRPr="000A60BF">
        <w:rPr>
          <w:rFonts w:cs="Times New Roman"/>
          <w:sz w:val="22"/>
        </w:rPr>
        <w:t>Capacity building on procurement through the implementation of a new Procurement curricula</w:t>
      </w:r>
      <w:r w:rsidR="000A60BF">
        <w:rPr>
          <w:rFonts w:cs="Times New Roman"/>
          <w:sz w:val="22"/>
        </w:rPr>
        <w:t xml:space="preserve">; ii) </w:t>
      </w:r>
      <w:r w:rsidR="000A60BF" w:rsidRPr="000A60BF">
        <w:rPr>
          <w:rFonts w:cs="Times New Roman"/>
          <w:sz w:val="22"/>
        </w:rPr>
        <w:t>BERs subjected to audit by internal auditors</w:t>
      </w:r>
      <w:r w:rsidR="000A60BF">
        <w:rPr>
          <w:rFonts w:cs="Times New Roman"/>
          <w:sz w:val="22"/>
        </w:rPr>
        <w:t xml:space="preserve">; iii) </w:t>
      </w:r>
      <w:r w:rsidR="000A60BF" w:rsidRPr="000A60BF">
        <w:rPr>
          <w:rFonts w:cs="Times New Roman"/>
          <w:sz w:val="22"/>
        </w:rPr>
        <w:t>Timely preparation of annual financial statements</w:t>
      </w:r>
      <w:r w:rsidR="000A60BF">
        <w:rPr>
          <w:rFonts w:cs="Times New Roman"/>
          <w:sz w:val="22"/>
        </w:rPr>
        <w:t xml:space="preserve">, and iv) </w:t>
      </w:r>
      <w:r w:rsidR="000A60BF" w:rsidRPr="000A60BF">
        <w:rPr>
          <w:rFonts w:cs="Times New Roman"/>
          <w:sz w:val="22"/>
        </w:rPr>
        <w:t xml:space="preserve">Inclusion of CPA techniques in Performance Audit. </w:t>
      </w:r>
      <w:r w:rsidRPr="00E8075F">
        <w:rPr>
          <w:rFonts w:cs="Times New Roman"/>
          <w:sz w:val="22"/>
        </w:rPr>
        <w:t>The project team and the mission agreed on priority actions to accelerate project implementation</w:t>
      </w:r>
      <w:bookmarkEnd w:id="0"/>
      <w:r w:rsidRPr="00E8075F">
        <w:rPr>
          <w:rFonts w:cs="Times New Roman"/>
          <w:sz w:val="22"/>
        </w:rPr>
        <w:t xml:space="preserve"> with a focus on the achievement of the targets in the Results Matrix and the Disbursement Linked Indicators (DLIs). </w:t>
      </w:r>
    </w:p>
    <w:p w14:paraId="023E9BD9" w14:textId="77777777" w:rsidR="00E8075F" w:rsidRPr="00E8075F" w:rsidRDefault="00E8075F" w:rsidP="00E8075F">
      <w:pPr>
        <w:spacing w:after="0" w:line="240" w:lineRule="auto"/>
        <w:jc w:val="both"/>
        <w:rPr>
          <w:rFonts w:cs="Times New Roman"/>
          <w:sz w:val="22"/>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23"/>
        <w:gridCol w:w="1170"/>
        <w:gridCol w:w="1274"/>
      </w:tblGrid>
      <w:tr w:rsidR="00E8075F" w:rsidRPr="00E8075F" w14:paraId="080905E2" w14:textId="77777777" w:rsidTr="00E47AD4">
        <w:trPr>
          <w:trHeight w:val="152"/>
        </w:trPr>
        <w:tc>
          <w:tcPr>
            <w:tcW w:w="6223" w:type="dxa"/>
          </w:tcPr>
          <w:p w14:paraId="36ED7D7E" w14:textId="77777777" w:rsidR="00E8075F" w:rsidRPr="00E8075F" w:rsidRDefault="00E8075F" w:rsidP="00E47AD4">
            <w:pPr>
              <w:pStyle w:val="Default"/>
              <w:jc w:val="both"/>
              <w:rPr>
                <w:sz w:val="22"/>
                <w:szCs w:val="22"/>
              </w:rPr>
            </w:pPr>
            <w:r w:rsidRPr="00E8075F">
              <w:rPr>
                <w:b/>
                <w:bCs/>
                <w:sz w:val="22"/>
                <w:szCs w:val="22"/>
              </w:rPr>
              <w:t xml:space="preserve">Project Ratings: </w:t>
            </w:r>
          </w:p>
        </w:tc>
        <w:tc>
          <w:tcPr>
            <w:tcW w:w="1170" w:type="dxa"/>
          </w:tcPr>
          <w:p w14:paraId="4FF42450" w14:textId="77777777" w:rsidR="00E8075F" w:rsidRPr="00E8075F" w:rsidRDefault="00E8075F" w:rsidP="00E47AD4">
            <w:pPr>
              <w:pStyle w:val="Default"/>
              <w:jc w:val="center"/>
              <w:rPr>
                <w:sz w:val="22"/>
                <w:szCs w:val="22"/>
              </w:rPr>
            </w:pPr>
            <w:r w:rsidRPr="00E8075F">
              <w:rPr>
                <w:b/>
                <w:bCs/>
                <w:sz w:val="22"/>
                <w:szCs w:val="22"/>
              </w:rPr>
              <w:t>Previous</w:t>
            </w:r>
          </w:p>
        </w:tc>
        <w:tc>
          <w:tcPr>
            <w:tcW w:w="1274" w:type="dxa"/>
          </w:tcPr>
          <w:p w14:paraId="6422043A" w14:textId="77777777" w:rsidR="00E8075F" w:rsidRPr="00E8075F" w:rsidRDefault="00E8075F" w:rsidP="00E47AD4">
            <w:pPr>
              <w:pStyle w:val="Default"/>
              <w:jc w:val="center"/>
              <w:rPr>
                <w:sz w:val="22"/>
                <w:szCs w:val="22"/>
              </w:rPr>
            </w:pPr>
            <w:r w:rsidRPr="00E8075F">
              <w:rPr>
                <w:b/>
                <w:bCs/>
                <w:sz w:val="22"/>
                <w:szCs w:val="22"/>
              </w:rPr>
              <w:t>Current</w:t>
            </w:r>
          </w:p>
        </w:tc>
      </w:tr>
      <w:tr w:rsidR="00E8075F" w:rsidRPr="00E8075F" w14:paraId="604A673C" w14:textId="77777777" w:rsidTr="00E47AD4">
        <w:trPr>
          <w:trHeight w:val="148"/>
        </w:trPr>
        <w:tc>
          <w:tcPr>
            <w:tcW w:w="6223" w:type="dxa"/>
          </w:tcPr>
          <w:p w14:paraId="5D33564A" w14:textId="77777777" w:rsidR="00E8075F" w:rsidRPr="00E8075F" w:rsidRDefault="00E8075F" w:rsidP="00E47AD4">
            <w:pPr>
              <w:pStyle w:val="Default"/>
              <w:jc w:val="both"/>
              <w:rPr>
                <w:sz w:val="22"/>
                <w:szCs w:val="22"/>
              </w:rPr>
            </w:pPr>
            <w:r w:rsidRPr="00E8075F">
              <w:rPr>
                <w:sz w:val="22"/>
                <w:szCs w:val="22"/>
              </w:rPr>
              <w:t xml:space="preserve">PDO </w:t>
            </w:r>
          </w:p>
        </w:tc>
        <w:tc>
          <w:tcPr>
            <w:tcW w:w="1170" w:type="dxa"/>
          </w:tcPr>
          <w:p w14:paraId="15822EA6" w14:textId="77777777" w:rsidR="00E8075F" w:rsidRPr="00E8075F" w:rsidRDefault="00E8075F" w:rsidP="00E47AD4">
            <w:pPr>
              <w:pStyle w:val="Default"/>
              <w:jc w:val="center"/>
              <w:rPr>
                <w:sz w:val="22"/>
                <w:szCs w:val="22"/>
              </w:rPr>
            </w:pPr>
            <w:r w:rsidRPr="00E8075F">
              <w:rPr>
                <w:sz w:val="22"/>
                <w:szCs w:val="22"/>
              </w:rPr>
              <w:t>S</w:t>
            </w:r>
          </w:p>
        </w:tc>
        <w:tc>
          <w:tcPr>
            <w:tcW w:w="1274" w:type="dxa"/>
          </w:tcPr>
          <w:p w14:paraId="3E446102" w14:textId="51A6D10C" w:rsidR="00E8075F" w:rsidRPr="00E8075F" w:rsidRDefault="00E8075F" w:rsidP="00E47AD4">
            <w:pPr>
              <w:pStyle w:val="Default"/>
              <w:jc w:val="center"/>
              <w:rPr>
                <w:sz w:val="22"/>
                <w:szCs w:val="22"/>
              </w:rPr>
            </w:pPr>
            <w:r>
              <w:rPr>
                <w:sz w:val="22"/>
                <w:szCs w:val="22"/>
              </w:rPr>
              <w:t>M</w:t>
            </w:r>
            <w:r w:rsidRPr="00E8075F">
              <w:rPr>
                <w:sz w:val="22"/>
                <w:szCs w:val="22"/>
              </w:rPr>
              <w:t>S</w:t>
            </w:r>
          </w:p>
        </w:tc>
      </w:tr>
      <w:tr w:rsidR="00E8075F" w:rsidRPr="00E8075F" w14:paraId="42882828" w14:textId="77777777" w:rsidTr="00E47AD4">
        <w:trPr>
          <w:trHeight w:val="148"/>
        </w:trPr>
        <w:tc>
          <w:tcPr>
            <w:tcW w:w="6223" w:type="dxa"/>
          </w:tcPr>
          <w:p w14:paraId="21675D03" w14:textId="77777777" w:rsidR="00E8075F" w:rsidRPr="00E8075F" w:rsidRDefault="00E8075F" w:rsidP="00E47AD4">
            <w:pPr>
              <w:pStyle w:val="Default"/>
              <w:jc w:val="both"/>
              <w:rPr>
                <w:sz w:val="22"/>
                <w:szCs w:val="22"/>
              </w:rPr>
            </w:pPr>
            <w:r w:rsidRPr="00E8075F">
              <w:rPr>
                <w:sz w:val="22"/>
                <w:szCs w:val="22"/>
              </w:rPr>
              <w:t xml:space="preserve">IP </w:t>
            </w:r>
          </w:p>
        </w:tc>
        <w:tc>
          <w:tcPr>
            <w:tcW w:w="1170" w:type="dxa"/>
          </w:tcPr>
          <w:p w14:paraId="15680B5E" w14:textId="77777777" w:rsidR="00E8075F" w:rsidRPr="00E8075F" w:rsidRDefault="00E8075F" w:rsidP="00E47AD4">
            <w:pPr>
              <w:pStyle w:val="Default"/>
              <w:jc w:val="center"/>
              <w:rPr>
                <w:sz w:val="22"/>
                <w:szCs w:val="22"/>
              </w:rPr>
            </w:pPr>
            <w:r w:rsidRPr="00E8075F">
              <w:rPr>
                <w:sz w:val="22"/>
                <w:szCs w:val="22"/>
              </w:rPr>
              <w:t>MS</w:t>
            </w:r>
          </w:p>
        </w:tc>
        <w:tc>
          <w:tcPr>
            <w:tcW w:w="1274" w:type="dxa"/>
          </w:tcPr>
          <w:p w14:paraId="5388CF5E"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170C7674" w14:textId="77777777" w:rsidTr="00E47AD4">
        <w:trPr>
          <w:trHeight w:val="148"/>
        </w:trPr>
        <w:tc>
          <w:tcPr>
            <w:tcW w:w="6223" w:type="dxa"/>
          </w:tcPr>
          <w:p w14:paraId="7C796CA8" w14:textId="77777777" w:rsidR="00E8075F" w:rsidRPr="00E8075F" w:rsidRDefault="00E8075F" w:rsidP="00E47AD4">
            <w:pPr>
              <w:pStyle w:val="Default"/>
              <w:jc w:val="both"/>
              <w:rPr>
                <w:sz w:val="22"/>
                <w:szCs w:val="22"/>
              </w:rPr>
            </w:pPr>
            <w:r w:rsidRPr="00E8075F">
              <w:rPr>
                <w:sz w:val="22"/>
                <w:szCs w:val="22"/>
              </w:rPr>
              <w:t xml:space="preserve">Component 1: Policy-based fiscal strategy and budget credibility </w:t>
            </w:r>
          </w:p>
        </w:tc>
        <w:tc>
          <w:tcPr>
            <w:tcW w:w="1170" w:type="dxa"/>
          </w:tcPr>
          <w:p w14:paraId="594A58F9" w14:textId="77777777" w:rsidR="00E8075F" w:rsidRPr="00E8075F" w:rsidRDefault="00E8075F" w:rsidP="00E47AD4">
            <w:pPr>
              <w:pStyle w:val="Default"/>
              <w:jc w:val="center"/>
              <w:rPr>
                <w:sz w:val="22"/>
                <w:szCs w:val="22"/>
              </w:rPr>
            </w:pPr>
            <w:r w:rsidRPr="00E8075F">
              <w:rPr>
                <w:sz w:val="22"/>
                <w:szCs w:val="22"/>
              </w:rPr>
              <w:t>MS</w:t>
            </w:r>
          </w:p>
        </w:tc>
        <w:tc>
          <w:tcPr>
            <w:tcW w:w="1274" w:type="dxa"/>
          </w:tcPr>
          <w:p w14:paraId="144430AF"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11F9B367" w14:textId="77777777" w:rsidTr="00E47AD4">
        <w:trPr>
          <w:trHeight w:val="148"/>
        </w:trPr>
        <w:tc>
          <w:tcPr>
            <w:tcW w:w="6223" w:type="dxa"/>
          </w:tcPr>
          <w:p w14:paraId="5429018D" w14:textId="77777777" w:rsidR="00E8075F" w:rsidRPr="00E8075F" w:rsidRDefault="00E8075F" w:rsidP="00E47AD4">
            <w:pPr>
              <w:pStyle w:val="Default"/>
              <w:jc w:val="both"/>
              <w:rPr>
                <w:sz w:val="22"/>
                <w:szCs w:val="22"/>
              </w:rPr>
            </w:pPr>
            <w:r w:rsidRPr="00E8075F">
              <w:rPr>
                <w:sz w:val="22"/>
                <w:szCs w:val="22"/>
              </w:rPr>
              <w:t xml:space="preserve">Component 2: Controlled Budget Execution </w:t>
            </w:r>
          </w:p>
        </w:tc>
        <w:tc>
          <w:tcPr>
            <w:tcW w:w="1170" w:type="dxa"/>
          </w:tcPr>
          <w:p w14:paraId="442D6E04" w14:textId="77777777" w:rsidR="00E8075F" w:rsidRPr="00E8075F" w:rsidRDefault="00E8075F" w:rsidP="00E47AD4">
            <w:pPr>
              <w:pStyle w:val="Default"/>
              <w:jc w:val="center"/>
              <w:rPr>
                <w:sz w:val="22"/>
                <w:szCs w:val="22"/>
              </w:rPr>
            </w:pPr>
            <w:r w:rsidRPr="00E8075F">
              <w:rPr>
                <w:sz w:val="22"/>
                <w:szCs w:val="22"/>
              </w:rPr>
              <w:t>MS</w:t>
            </w:r>
          </w:p>
        </w:tc>
        <w:tc>
          <w:tcPr>
            <w:tcW w:w="1274" w:type="dxa"/>
          </w:tcPr>
          <w:p w14:paraId="1DE26998"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0ADD8F11" w14:textId="77777777" w:rsidTr="00E47AD4">
        <w:trPr>
          <w:trHeight w:val="148"/>
        </w:trPr>
        <w:tc>
          <w:tcPr>
            <w:tcW w:w="6223" w:type="dxa"/>
          </w:tcPr>
          <w:p w14:paraId="33643F53" w14:textId="77777777" w:rsidR="00E8075F" w:rsidRPr="00E8075F" w:rsidRDefault="00E8075F" w:rsidP="00E47AD4">
            <w:pPr>
              <w:pStyle w:val="Default"/>
              <w:jc w:val="both"/>
              <w:rPr>
                <w:sz w:val="22"/>
                <w:szCs w:val="22"/>
              </w:rPr>
            </w:pPr>
            <w:r w:rsidRPr="00E8075F">
              <w:rPr>
                <w:sz w:val="22"/>
                <w:szCs w:val="22"/>
              </w:rPr>
              <w:t xml:space="preserve">Component 4: Accounting, reporting and internal audit </w:t>
            </w:r>
          </w:p>
        </w:tc>
        <w:tc>
          <w:tcPr>
            <w:tcW w:w="1170" w:type="dxa"/>
          </w:tcPr>
          <w:p w14:paraId="27DE22E1" w14:textId="77777777" w:rsidR="00E8075F" w:rsidRPr="00E8075F" w:rsidRDefault="00E8075F" w:rsidP="00E47AD4">
            <w:pPr>
              <w:pStyle w:val="Default"/>
              <w:jc w:val="center"/>
              <w:rPr>
                <w:sz w:val="22"/>
                <w:szCs w:val="22"/>
              </w:rPr>
            </w:pPr>
            <w:r w:rsidRPr="00E8075F">
              <w:rPr>
                <w:sz w:val="22"/>
                <w:szCs w:val="22"/>
              </w:rPr>
              <w:t>MS</w:t>
            </w:r>
          </w:p>
        </w:tc>
        <w:tc>
          <w:tcPr>
            <w:tcW w:w="1274" w:type="dxa"/>
          </w:tcPr>
          <w:p w14:paraId="0FECCF68"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75187832" w14:textId="77777777" w:rsidTr="00E47AD4">
        <w:trPr>
          <w:trHeight w:val="148"/>
        </w:trPr>
        <w:tc>
          <w:tcPr>
            <w:tcW w:w="6223" w:type="dxa"/>
          </w:tcPr>
          <w:p w14:paraId="70C6412F" w14:textId="77777777" w:rsidR="00E8075F" w:rsidRPr="00E8075F" w:rsidRDefault="00E8075F" w:rsidP="00E47AD4">
            <w:pPr>
              <w:pStyle w:val="Default"/>
              <w:jc w:val="both"/>
              <w:rPr>
                <w:sz w:val="22"/>
                <w:szCs w:val="22"/>
              </w:rPr>
            </w:pPr>
            <w:r w:rsidRPr="00E8075F">
              <w:rPr>
                <w:sz w:val="22"/>
                <w:szCs w:val="22"/>
              </w:rPr>
              <w:t>Component 5: External Scrutiny and Audit</w:t>
            </w:r>
            <w:r w:rsidRPr="00E8075F">
              <w:rPr>
                <w:b/>
                <w:bCs/>
                <w:sz w:val="22"/>
                <w:szCs w:val="22"/>
              </w:rPr>
              <w:t xml:space="preserve"> </w:t>
            </w:r>
          </w:p>
        </w:tc>
        <w:tc>
          <w:tcPr>
            <w:tcW w:w="1170" w:type="dxa"/>
          </w:tcPr>
          <w:p w14:paraId="00BFA941" w14:textId="77777777" w:rsidR="00E8075F" w:rsidRPr="00E8075F" w:rsidRDefault="00E8075F" w:rsidP="00E47AD4">
            <w:pPr>
              <w:pStyle w:val="Default"/>
              <w:jc w:val="center"/>
              <w:rPr>
                <w:sz w:val="22"/>
                <w:szCs w:val="22"/>
              </w:rPr>
            </w:pPr>
            <w:r w:rsidRPr="00E8075F">
              <w:rPr>
                <w:sz w:val="22"/>
                <w:szCs w:val="22"/>
              </w:rPr>
              <w:t>MS</w:t>
            </w:r>
          </w:p>
        </w:tc>
        <w:tc>
          <w:tcPr>
            <w:tcW w:w="1274" w:type="dxa"/>
          </w:tcPr>
          <w:p w14:paraId="53CCDBC8"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0D5DABFF" w14:textId="77777777" w:rsidTr="00E47AD4">
        <w:trPr>
          <w:trHeight w:val="148"/>
        </w:trPr>
        <w:tc>
          <w:tcPr>
            <w:tcW w:w="6223" w:type="dxa"/>
          </w:tcPr>
          <w:p w14:paraId="46C81B16" w14:textId="77777777" w:rsidR="00E8075F" w:rsidRPr="00E8075F" w:rsidRDefault="00E8075F" w:rsidP="00E47AD4">
            <w:pPr>
              <w:pStyle w:val="Default"/>
              <w:jc w:val="both"/>
              <w:rPr>
                <w:sz w:val="22"/>
                <w:szCs w:val="22"/>
              </w:rPr>
            </w:pPr>
            <w:r w:rsidRPr="00E8075F">
              <w:rPr>
                <w:sz w:val="22"/>
                <w:szCs w:val="22"/>
              </w:rPr>
              <w:t xml:space="preserve">Project Management </w:t>
            </w:r>
          </w:p>
        </w:tc>
        <w:tc>
          <w:tcPr>
            <w:tcW w:w="1170" w:type="dxa"/>
          </w:tcPr>
          <w:p w14:paraId="05C3FDD4" w14:textId="77777777" w:rsidR="00E8075F" w:rsidRPr="00E8075F" w:rsidRDefault="00E8075F" w:rsidP="00E47AD4">
            <w:pPr>
              <w:pStyle w:val="Default"/>
              <w:jc w:val="center"/>
              <w:rPr>
                <w:sz w:val="22"/>
                <w:szCs w:val="22"/>
              </w:rPr>
            </w:pPr>
            <w:r w:rsidRPr="00E8075F">
              <w:rPr>
                <w:sz w:val="22"/>
                <w:szCs w:val="22"/>
              </w:rPr>
              <w:t>S</w:t>
            </w:r>
          </w:p>
        </w:tc>
        <w:tc>
          <w:tcPr>
            <w:tcW w:w="1274" w:type="dxa"/>
          </w:tcPr>
          <w:p w14:paraId="4AED5188"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13461396" w14:textId="77777777" w:rsidTr="00E47AD4">
        <w:trPr>
          <w:trHeight w:val="148"/>
        </w:trPr>
        <w:tc>
          <w:tcPr>
            <w:tcW w:w="6223" w:type="dxa"/>
          </w:tcPr>
          <w:p w14:paraId="5D9C0417" w14:textId="77777777" w:rsidR="00E8075F" w:rsidRPr="00E8075F" w:rsidRDefault="00E8075F" w:rsidP="00E47AD4">
            <w:pPr>
              <w:pStyle w:val="Default"/>
              <w:jc w:val="both"/>
              <w:rPr>
                <w:sz w:val="22"/>
                <w:szCs w:val="22"/>
              </w:rPr>
            </w:pPr>
            <w:r w:rsidRPr="00E8075F">
              <w:rPr>
                <w:sz w:val="22"/>
                <w:szCs w:val="22"/>
              </w:rPr>
              <w:t xml:space="preserve">Procurement </w:t>
            </w:r>
          </w:p>
        </w:tc>
        <w:tc>
          <w:tcPr>
            <w:tcW w:w="1170" w:type="dxa"/>
          </w:tcPr>
          <w:p w14:paraId="4555D7DF" w14:textId="77777777" w:rsidR="00E8075F" w:rsidRPr="00E8075F" w:rsidRDefault="00E8075F" w:rsidP="00E47AD4">
            <w:pPr>
              <w:pStyle w:val="Default"/>
              <w:jc w:val="center"/>
              <w:rPr>
                <w:sz w:val="22"/>
                <w:szCs w:val="22"/>
              </w:rPr>
            </w:pPr>
            <w:r w:rsidRPr="00E8075F">
              <w:rPr>
                <w:sz w:val="22"/>
                <w:szCs w:val="22"/>
              </w:rPr>
              <w:t>S</w:t>
            </w:r>
          </w:p>
        </w:tc>
        <w:tc>
          <w:tcPr>
            <w:tcW w:w="1274" w:type="dxa"/>
          </w:tcPr>
          <w:p w14:paraId="094766F9" w14:textId="77777777" w:rsidR="00E8075F" w:rsidRPr="00E8075F" w:rsidRDefault="00E8075F" w:rsidP="00E47AD4">
            <w:pPr>
              <w:pStyle w:val="Default"/>
              <w:jc w:val="center"/>
              <w:rPr>
                <w:sz w:val="22"/>
                <w:szCs w:val="22"/>
              </w:rPr>
            </w:pPr>
            <w:r w:rsidRPr="00E8075F">
              <w:rPr>
                <w:sz w:val="22"/>
                <w:szCs w:val="22"/>
              </w:rPr>
              <w:t>MS</w:t>
            </w:r>
          </w:p>
        </w:tc>
      </w:tr>
      <w:tr w:rsidR="00E8075F" w:rsidRPr="00E8075F" w14:paraId="3CF2B4F1" w14:textId="77777777" w:rsidTr="00E47AD4">
        <w:trPr>
          <w:trHeight w:val="148"/>
        </w:trPr>
        <w:tc>
          <w:tcPr>
            <w:tcW w:w="6223" w:type="dxa"/>
          </w:tcPr>
          <w:p w14:paraId="026A0CA8" w14:textId="77777777" w:rsidR="00E8075F" w:rsidRPr="00E8075F" w:rsidRDefault="00E8075F" w:rsidP="00E47AD4">
            <w:pPr>
              <w:pStyle w:val="Default"/>
              <w:jc w:val="both"/>
              <w:rPr>
                <w:sz w:val="22"/>
                <w:szCs w:val="22"/>
              </w:rPr>
            </w:pPr>
            <w:r w:rsidRPr="00E8075F">
              <w:rPr>
                <w:sz w:val="22"/>
                <w:szCs w:val="22"/>
              </w:rPr>
              <w:t xml:space="preserve">FM </w:t>
            </w:r>
          </w:p>
        </w:tc>
        <w:tc>
          <w:tcPr>
            <w:tcW w:w="1170" w:type="dxa"/>
          </w:tcPr>
          <w:p w14:paraId="39742E1F" w14:textId="77777777" w:rsidR="00E8075F" w:rsidRPr="00E8075F" w:rsidRDefault="00E8075F" w:rsidP="00E47AD4">
            <w:pPr>
              <w:pStyle w:val="Default"/>
              <w:jc w:val="center"/>
              <w:rPr>
                <w:sz w:val="22"/>
                <w:szCs w:val="22"/>
              </w:rPr>
            </w:pPr>
            <w:r w:rsidRPr="00E8075F">
              <w:rPr>
                <w:sz w:val="22"/>
                <w:szCs w:val="22"/>
              </w:rPr>
              <w:t>S</w:t>
            </w:r>
          </w:p>
        </w:tc>
        <w:tc>
          <w:tcPr>
            <w:tcW w:w="1274" w:type="dxa"/>
          </w:tcPr>
          <w:p w14:paraId="391A31BB" w14:textId="77777777" w:rsidR="00E8075F" w:rsidRPr="00E8075F" w:rsidRDefault="00E8075F" w:rsidP="00E47AD4">
            <w:pPr>
              <w:pStyle w:val="Default"/>
              <w:jc w:val="center"/>
              <w:rPr>
                <w:sz w:val="22"/>
                <w:szCs w:val="22"/>
              </w:rPr>
            </w:pPr>
            <w:r w:rsidRPr="00E8075F">
              <w:rPr>
                <w:sz w:val="22"/>
                <w:szCs w:val="22"/>
              </w:rPr>
              <w:t>S</w:t>
            </w:r>
          </w:p>
        </w:tc>
      </w:tr>
      <w:tr w:rsidR="00E8075F" w:rsidRPr="00E8075F" w14:paraId="6432B991" w14:textId="77777777" w:rsidTr="00E47AD4">
        <w:trPr>
          <w:trHeight w:val="148"/>
        </w:trPr>
        <w:tc>
          <w:tcPr>
            <w:tcW w:w="6223" w:type="dxa"/>
          </w:tcPr>
          <w:p w14:paraId="46144B81" w14:textId="77777777" w:rsidR="00E8075F" w:rsidRPr="00E8075F" w:rsidRDefault="00E8075F" w:rsidP="00E47AD4">
            <w:pPr>
              <w:pStyle w:val="Default"/>
              <w:jc w:val="both"/>
              <w:rPr>
                <w:sz w:val="22"/>
                <w:szCs w:val="22"/>
              </w:rPr>
            </w:pPr>
            <w:r w:rsidRPr="00E8075F">
              <w:rPr>
                <w:sz w:val="22"/>
                <w:szCs w:val="22"/>
              </w:rPr>
              <w:t xml:space="preserve">Environmental safeguards </w:t>
            </w:r>
          </w:p>
        </w:tc>
        <w:tc>
          <w:tcPr>
            <w:tcW w:w="1170" w:type="dxa"/>
          </w:tcPr>
          <w:p w14:paraId="13A1786C" w14:textId="77777777" w:rsidR="00E8075F" w:rsidRPr="00E8075F" w:rsidRDefault="00E8075F" w:rsidP="00E47AD4">
            <w:pPr>
              <w:pStyle w:val="Default"/>
              <w:jc w:val="center"/>
              <w:rPr>
                <w:sz w:val="22"/>
                <w:szCs w:val="22"/>
              </w:rPr>
            </w:pPr>
            <w:r w:rsidRPr="00E8075F">
              <w:rPr>
                <w:sz w:val="22"/>
                <w:szCs w:val="22"/>
              </w:rPr>
              <w:t>S</w:t>
            </w:r>
          </w:p>
        </w:tc>
        <w:tc>
          <w:tcPr>
            <w:tcW w:w="1274" w:type="dxa"/>
          </w:tcPr>
          <w:p w14:paraId="34957192" w14:textId="77777777" w:rsidR="00E8075F" w:rsidRPr="00E8075F" w:rsidRDefault="00E8075F" w:rsidP="00E47AD4">
            <w:pPr>
              <w:pStyle w:val="Default"/>
              <w:jc w:val="center"/>
              <w:rPr>
                <w:sz w:val="22"/>
                <w:szCs w:val="22"/>
              </w:rPr>
            </w:pPr>
            <w:r w:rsidRPr="00E8075F">
              <w:rPr>
                <w:sz w:val="22"/>
                <w:szCs w:val="22"/>
              </w:rPr>
              <w:t>S</w:t>
            </w:r>
          </w:p>
        </w:tc>
      </w:tr>
      <w:tr w:rsidR="00E8075F" w:rsidRPr="00E8075F" w14:paraId="6ED454E9" w14:textId="77777777" w:rsidTr="00E47AD4">
        <w:trPr>
          <w:trHeight w:val="148"/>
        </w:trPr>
        <w:tc>
          <w:tcPr>
            <w:tcW w:w="6223" w:type="dxa"/>
          </w:tcPr>
          <w:p w14:paraId="0905CD1D" w14:textId="77777777" w:rsidR="00E8075F" w:rsidRPr="00E8075F" w:rsidRDefault="00E8075F" w:rsidP="00E47AD4">
            <w:pPr>
              <w:pStyle w:val="Default"/>
              <w:jc w:val="both"/>
              <w:rPr>
                <w:sz w:val="22"/>
                <w:szCs w:val="22"/>
              </w:rPr>
            </w:pPr>
            <w:r w:rsidRPr="00E8075F">
              <w:rPr>
                <w:sz w:val="22"/>
                <w:szCs w:val="22"/>
              </w:rPr>
              <w:t xml:space="preserve">Social safeguards </w:t>
            </w:r>
          </w:p>
        </w:tc>
        <w:tc>
          <w:tcPr>
            <w:tcW w:w="1170" w:type="dxa"/>
          </w:tcPr>
          <w:p w14:paraId="3E9A986B" w14:textId="77777777" w:rsidR="00E8075F" w:rsidRPr="00E8075F" w:rsidRDefault="00E8075F" w:rsidP="00E47AD4">
            <w:pPr>
              <w:pStyle w:val="Default"/>
              <w:jc w:val="center"/>
              <w:rPr>
                <w:sz w:val="22"/>
                <w:szCs w:val="22"/>
              </w:rPr>
            </w:pPr>
            <w:r w:rsidRPr="00E8075F">
              <w:rPr>
                <w:sz w:val="22"/>
                <w:szCs w:val="22"/>
              </w:rPr>
              <w:t>S</w:t>
            </w:r>
          </w:p>
        </w:tc>
        <w:tc>
          <w:tcPr>
            <w:tcW w:w="1274" w:type="dxa"/>
          </w:tcPr>
          <w:p w14:paraId="4BD61444" w14:textId="77777777" w:rsidR="00E8075F" w:rsidRPr="00E8075F" w:rsidRDefault="00E8075F" w:rsidP="00E47AD4">
            <w:pPr>
              <w:pStyle w:val="Default"/>
              <w:jc w:val="center"/>
              <w:rPr>
                <w:sz w:val="22"/>
                <w:szCs w:val="22"/>
              </w:rPr>
            </w:pPr>
            <w:r w:rsidRPr="00E8075F">
              <w:rPr>
                <w:sz w:val="22"/>
                <w:szCs w:val="22"/>
              </w:rPr>
              <w:t>S</w:t>
            </w:r>
          </w:p>
        </w:tc>
      </w:tr>
    </w:tbl>
    <w:p w14:paraId="62CA512C" w14:textId="7554C383" w:rsidR="00E8075F" w:rsidRPr="00E8075F" w:rsidRDefault="00E8075F" w:rsidP="00517256">
      <w:pPr>
        <w:spacing w:before="240" w:after="0" w:line="240" w:lineRule="auto"/>
        <w:ind w:left="360"/>
        <w:jc w:val="both"/>
        <w:rPr>
          <w:rFonts w:cs="Times New Roman"/>
          <w:sz w:val="22"/>
        </w:rPr>
      </w:pPr>
      <w:r w:rsidRPr="00E8075F">
        <w:rPr>
          <w:rFonts w:cs="Times New Roman"/>
          <w:b/>
          <w:bCs/>
          <w:sz w:val="22"/>
        </w:rPr>
        <w:t>While the project design and development objective remain relevant, implementation and disbursement ha</w:t>
      </w:r>
      <w:r w:rsidR="00994AEF">
        <w:rPr>
          <w:rFonts w:cs="Times New Roman"/>
          <w:b/>
          <w:bCs/>
          <w:sz w:val="22"/>
        </w:rPr>
        <w:t>ve</w:t>
      </w:r>
      <w:r w:rsidRPr="00E8075F">
        <w:rPr>
          <w:rFonts w:cs="Times New Roman"/>
          <w:b/>
          <w:bCs/>
          <w:sz w:val="22"/>
        </w:rPr>
        <w:t xml:space="preserve"> been slow. </w:t>
      </w:r>
      <w:bookmarkStart w:id="1" w:name="_Hlk24988547"/>
      <w:r w:rsidRPr="00E8075F">
        <w:rPr>
          <w:rFonts w:cs="Times New Roman"/>
          <w:sz w:val="22"/>
        </w:rPr>
        <w:t xml:space="preserve">Indications from the Inception Report of PwC the Independent Verification Agent (IVA) is that the following DLIs are likely to be achieved and verified during the </w:t>
      </w:r>
      <w:r w:rsidR="000A60BF">
        <w:rPr>
          <w:rFonts w:cs="Times New Roman"/>
          <w:sz w:val="22"/>
        </w:rPr>
        <w:t xml:space="preserve">first </w:t>
      </w:r>
      <w:r w:rsidRPr="00E8075F">
        <w:rPr>
          <w:rFonts w:cs="Times New Roman"/>
          <w:sz w:val="22"/>
        </w:rPr>
        <w:t>verification mission on November 24</w:t>
      </w:r>
      <w:r w:rsidR="007605A3">
        <w:rPr>
          <w:rFonts w:cs="Times New Roman"/>
          <w:sz w:val="22"/>
        </w:rPr>
        <w:t>, 2019</w:t>
      </w:r>
      <w:r w:rsidRPr="00E8075F">
        <w:rPr>
          <w:rFonts w:cs="Times New Roman"/>
          <w:sz w:val="22"/>
        </w:rPr>
        <w:t xml:space="preserve">. DLI #1 pertaining to the establishment and staffing of the Public Finance Development is most advanced with the achievement of two Disbursement Linked Results (DLRs). DLI#2 supporting the Civil Service Pay structure reform has progressed with the achievement of the first DLR regarding the establishment of an integrated civil service registry </w:t>
      </w:r>
      <w:r w:rsidRPr="00E8075F">
        <w:rPr>
          <w:rFonts w:cs="Times New Roman"/>
          <w:sz w:val="22"/>
        </w:rPr>
        <w:lastRenderedPageBreak/>
        <w:t>disaggregated by gender. DLI# 3 on SOE oversight and monitoring is also progressing. The DLR for a joint MoF- PCB Policy for SOE performance monitoring has been achieved. DLI#4 on the publication of the whole of government audited financial statements is expected to be completed by the end of November. Potential disbursement amounting to USD$2 million (i.e. 33 per cent of result-based component)</w:t>
      </w:r>
      <w:r w:rsidRPr="00E8075F">
        <w:rPr>
          <w:rFonts w:cs="Times New Roman"/>
          <w:b/>
          <w:sz w:val="22"/>
        </w:rPr>
        <w:t xml:space="preserve"> </w:t>
      </w:r>
      <w:r w:rsidRPr="00E8075F">
        <w:rPr>
          <w:rFonts w:cs="Times New Roman"/>
          <w:sz w:val="22"/>
        </w:rPr>
        <w:t>is expected upon verification of the DLIs by the IVA and confirmation by the Bank.</w:t>
      </w:r>
    </w:p>
    <w:p w14:paraId="0698FFCC" w14:textId="77777777" w:rsidR="00E8075F" w:rsidRPr="00E8075F" w:rsidRDefault="00E8075F" w:rsidP="00E8075F">
      <w:pPr>
        <w:pStyle w:val="Default"/>
        <w:ind w:left="720"/>
        <w:rPr>
          <w:sz w:val="22"/>
          <w:szCs w:val="22"/>
        </w:rPr>
      </w:pPr>
    </w:p>
    <w:bookmarkEnd w:id="1"/>
    <w:p w14:paraId="34AF4CEE" w14:textId="4B35B342" w:rsidR="002F6B7E" w:rsidRPr="007605A3" w:rsidRDefault="00C379BD" w:rsidP="002F6B7E">
      <w:pPr>
        <w:pStyle w:val="ListParagraph"/>
        <w:numPr>
          <w:ilvl w:val="0"/>
          <w:numId w:val="9"/>
        </w:numPr>
        <w:autoSpaceDE w:val="0"/>
        <w:autoSpaceDN w:val="0"/>
        <w:adjustRightInd w:val="0"/>
        <w:spacing w:after="0" w:line="240" w:lineRule="auto"/>
        <w:jc w:val="both"/>
        <w:rPr>
          <w:rFonts w:cs="Times New Roman"/>
          <w:sz w:val="22"/>
        </w:rPr>
      </w:pPr>
      <w:r w:rsidRPr="007605A3">
        <w:rPr>
          <w:rFonts w:cs="Times New Roman"/>
          <w:sz w:val="22"/>
        </w:rPr>
        <w:t>Project Management</w:t>
      </w:r>
    </w:p>
    <w:p w14:paraId="1BE6490B" w14:textId="228AC467" w:rsidR="002F6B7E" w:rsidRDefault="002F6B7E" w:rsidP="007605A3">
      <w:pPr>
        <w:spacing w:before="240" w:after="0" w:line="240" w:lineRule="auto"/>
        <w:jc w:val="both"/>
        <w:rPr>
          <w:rFonts w:cs="Times New Roman"/>
          <w:bCs/>
          <w:szCs w:val="24"/>
        </w:rPr>
      </w:pPr>
      <w:bookmarkStart w:id="2" w:name="_Hlk24987194"/>
      <w:r w:rsidRPr="003E467F">
        <w:rPr>
          <w:rFonts w:cs="Times New Roman"/>
          <w:b/>
          <w:bCs/>
          <w:szCs w:val="24"/>
        </w:rPr>
        <w:t>The PIU is fully staffed to carry out its day to day operations on project management</w:t>
      </w:r>
      <w:r w:rsidRPr="003E467F">
        <w:rPr>
          <w:rFonts w:cs="Times New Roman"/>
          <w:bCs/>
          <w:szCs w:val="24"/>
        </w:rPr>
        <w:t xml:space="preserve">: project director, coordinator, Financial Management Specialist and Procurement Specialist. The Steering Committee has been set up. </w:t>
      </w:r>
      <w:r w:rsidR="00994AEF">
        <w:rPr>
          <w:rFonts w:cs="Times New Roman"/>
          <w:bCs/>
          <w:szCs w:val="24"/>
        </w:rPr>
        <w:t>Following the approval</w:t>
      </w:r>
      <w:r w:rsidRPr="003E467F">
        <w:rPr>
          <w:rFonts w:cs="Times New Roman"/>
          <w:bCs/>
          <w:szCs w:val="24"/>
        </w:rPr>
        <w:t xml:space="preserve"> from the President</w:t>
      </w:r>
      <w:r w:rsidR="00994AEF">
        <w:rPr>
          <w:rFonts w:cs="Times New Roman"/>
          <w:bCs/>
          <w:szCs w:val="24"/>
        </w:rPr>
        <w:t xml:space="preserve">, </w:t>
      </w:r>
      <w:r w:rsidRPr="003E467F">
        <w:rPr>
          <w:rFonts w:cs="Times New Roman"/>
          <w:bCs/>
          <w:szCs w:val="24"/>
        </w:rPr>
        <w:t xml:space="preserve">the Steering Committee will convene a meeting this calendar year. </w:t>
      </w:r>
      <w:r w:rsidRPr="00B933E5">
        <w:rPr>
          <w:rFonts w:cs="Times New Roman"/>
          <w:bCs/>
          <w:szCs w:val="24"/>
        </w:rPr>
        <w:t>The project team has agreed to conduct a donor mapping exercise as per the guidance from the State Minister</w:t>
      </w:r>
      <w:r w:rsidR="00994AEF">
        <w:rPr>
          <w:rFonts w:cs="Times New Roman"/>
          <w:bCs/>
          <w:szCs w:val="24"/>
        </w:rPr>
        <w:t xml:space="preserve"> </w:t>
      </w:r>
      <w:r w:rsidRPr="00B933E5">
        <w:rPr>
          <w:rFonts w:cs="Times New Roman"/>
          <w:bCs/>
          <w:szCs w:val="24"/>
        </w:rPr>
        <w:t xml:space="preserve">to harmonize donor contributions to avoid duplication in activities. </w:t>
      </w:r>
    </w:p>
    <w:p w14:paraId="03A7AD7E" w14:textId="6C43A0DC" w:rsidR="002F6B7E" w:rsidRPr="00E9431E" w:rsidRDefault="002F6B7E" w:rsidP="007605A3">
      <w:pPr>
        <w:spacing w:before="240" w:after="0" w:line="240" w:lineRule="auto"/>
        <w:jc w:val="both"/>
        <w:rPr>
          <w:rFonts w:cs="Times New Roman"/>
          <w:bCs/>
          <w:szCs w:val="24"/>
        </w:rPr>
      </w:pPr>
      <w:r w:rsidRPr="00E9431E">
        <w:rPr>
          <w:rFonts w:cs="Times New Roman"/>
          <w:b/>
          <w:bCs/>
          <w:sz w:val="22"/>
        </w:rPr>
        <w:t>The project governance structure has been reconstituted</w:t>
      </w:r>
      <w:r w:rsidR="000237D4">
        <w:rPr>
          <w:rFonts w:cs="Times New Roman"/>
          <w:b/>
          <w:bCs/>
          <w:sz w:val="22"/>
        </w:rPr>
        <w:t xml:space="preserve"> (See Annex 4)</w:t>
      </w:r>
      <w:r w:rsidRPr="00E9431E">
        <w:rPr>
          <w:rFonts w:cs="Times New Roman"/>
          <w:b/>
          <w:bCs/>
          <w:sz w:val="22"/>
        </w:rPr>
        <w:t xml:space="preserve">. </w:t>
      </w:r>
      <w:r w:rsidRPr="00E9431E">
        <w:rPr>
          <w:rFonts w:cs="Times New Roman"/>
          <w:bCs/>
          <w:sz w:val="22"/>
        </w:rPr>
        <w:t xml:space="preserve">The mission reiterated the need for more frequent steering committee meetings, at least every quarter to provide strategic guidance to the project and monitor implementation progress based on a traffic light system. The governance and implementation structure can be further strengthened by establishing specific inter-departmental technical task teams to handle cross-cutting reform activities, such as on Public Investment and Asset Management, Financial Accounts and on Fiscal risks/ guarantees to SOEs. </w:t>
      </w:r>
      <w:r w:rsidRPr="00E9431E">
        <w:rPr>
          <w:rFonts w:cs="Times New Roman"/>
          <w:b/>
          <w:bCs/>
          <w:sz w:val="22"/>
        </w:rPr>
        <w:t xml:space="preserve">  </w:t>
      </w:r>
    </w:p>
    <w:bookmarkEnd w:id="2"/>
    <w:p w14:paraId="5FC5D92C" w14:textId="7E0B6BB4" w:rsidR="002F6B7E" w:rsidRPr="00E9431E" w:rsidRDefault="002F6B7E" w:rsidP="007605A3">
      <w:pPr>
        <w:spacing w:before="240" w:after="0" w:line="240" w:lineRule="auto"/>
        <w:jc w:val="both"/>
        <w:rPr>
          <w:rFonts w:cs="Times New Roman"/>
          <w:sz w:val="22"/>
        </w:rPr>
      </w:pPr>
      <w:r w:rsidRPr="00E9431E">
        <w:rPr>
          <w:rFonts w:cs="Times New Roman"/>
          <w:b/>
          <w:sz w:val="22"/>
        </w:rPr>
        <w:t>Need for information systems Master Plan/Blueprint</w:t>
      </w:r>
      <w:r w:rsidRPr="00E9431E">
        <w:rPr>
          <w:rFonts w:cs="Times New Roman"/>
          <w:sz w:val="22"/>
        </w:rPr>
        <w:t xml:space="preserve">.  While there has been progress in developing applications and website portals that contribute to increased transparency and efficiency, the mission advised that there is need to consolidate these initiatives in a Master Plan/Blueprint to take account of the functional requirements of the various central PFM institutions, line departments and local government.  </w:t>
      </w:r>
    </w:p>
    <w:p w14:paraId="44296552" w14:textId="77777777" w:rsidR="002F6B7E" w:rsidRPr="00E8075F" w:rsidRDefault="002F6B7E" w:rsidP="002F6B7E">
      <w:pPr>
        <w:pStyle w:val="Default"/>
        <w:jc w:val="both"/>
        <w:rPr>
          <w:sz w:val="22"/>
          <w:szCs w:val="22"/>
        </w:rPr>
      </w:pPr>
    </w:p>
    <w:p w14:paraId="3636E22A" w14:textId="3F322460" w:rsidR="00766E5C" w:rsidRPr="00902713" w:rsidRDefault="00766E5C" w:rsidP="00766E5C">
      <w:pPr>
        <w:pStyle w:val="ListParagraph"/>
        <w:numPr>
          <w:ilvl w:val="0"/>
          <w:numId w:val="3"/>
        </w:numPr>
        <w:autoSpaceDE w:val="0"/>
        <w:autoSpaceDN w:val="0"/>
        <w:adjustRightInd w:val="0"/>
        <w:spacing w:after="0" w:line="240" w:lineRule="auto"/>
        <w:jc w:val="both"/>
        <w:rPr>
          <w:rFonts w:cs="Times New Roman"/>
          <w:sz w:val="22"/>
        </w:rPr>
      </w:pPr>
      <w:r w:rsidRPr="00A20898">
        <w:rPr>
          <w:rFonts w:cs="Times New Roman"/>
          <w:b/>
          <w:sz w:val="22"/>
        </w:rPr>
        <w:t>Pro</w:t>
      </w:r>
      <w:r w:rsidR="000D2F40" w:rsidRPr="00A20898">
        <w:rPr>
          <w:rFonts w:cs="Times New Roman"/>
          <w:b/>
          <w:sz w:val="22"/>
        </w:rPr>
        <w:t>ject Implementation Performance</w:t>
      </w:r>
      <w:r w:rsidR="00940725" w:rsidRPr="00A20898">
        <w:rPr>
          <w:rFonts w:cs="Times New Roman"/>
          <w:b/>
          <w:sz w:val="22"/>
        </w:rPr>
        <w:t xml:space="preserve">: </w:t>
      </w:r>
    </w:p>
    <w:p w14:paraId="01AA409C" w14:textId="77777777" w:rsidR="00902713" w:rsidRPr="00A20898" w:rsidRDefault="00902713" w:rsidP="00902713">
      <w:pPr>
        <w:pStyle w:val="ListParagraph"/>
        <w:autoSpaceDE w:val="0"/>
        <w:autoSpaceDN w:val="0"/>
        <w:adjustRightInd w:val="0"/>
        <w:spacing w:after="0" w:line="240" w:lineRule="auto"/>
        <w:ind w:left="360"/>
        <w:jc w:val="both"/>
        <w:rPr>
          <w:rFonts w:cs="Times New Roman"/>
          <w:sz w:val="22"/>
        </w:rPr>
      </w:pPr>
    </w:p>
    <w:p w14:paraId="04F2FC24" w14:textId="4B922998" w:rsidR="0077054C" w:rsidRPr="00C01218" w:rsidRDefault="0077054C" w:rsidP="00940725">
      <w:pPr>
        <w:widowControl w:val="0"/>
        <w:autoSpaceDE w:val="0"/>
        <w:autoSpaceDN w:val="0"/>
        <w:adjustRightInd w:val="0"/>
        <w:spacing w:line="240" w:lineRule="atLeast"/>
        <w:ind w:left="90" w:hanging="90"/>
        <w:rPr>
          <w:b/>
          <w:sz w:val="22"/>
        </w:rPr>
      </w:pPr>
      <w:r w:rsidRPr="00C01218">
        <w:rPr>
          <w:b/>
          <w:sz w:val="22"/>
        </w:rPr>
        <w:t xml:space="preserve">Table 1: </w:t>
      </w:r>
      <w:r w:rsidR="005C3BC0" w:rsidRPr="00C01218">
        <w:rPr>
          <w:b/>
          <w:sz w:val="22"/>
        </w:rPr>
        <w:t xml:space="preserve">Performance issues and actions to be undertaken </w:t>
      </w:r>
    </w:p>
    <w:tbl>
      <w:tblPr>
        <w:tblStyle w:val="TableGrid"/>
        <w:tblW w:w="5000" w:type="pct"/>
        <w:tblLook w:val="04A0" w:firstRow="1" w:lastRow="0" w:firstColumn="1" w:lastColumn="0" w:noHBand="0" w:noVBand="1"/>
      </w:tblPr>
      <w:tblGrid>
        <w:gridCol w:w="1890"/>
        <w:gridCol w:w="2507"/>
        <w:gridCol w:w="2553"/>
        <w:gridCol w:w="1339"/>
        <w:gridCol w:w="1061"/>
      </w:tblGrid>
      <w:tr w:rsidR="00C463DC" w:rsidRPr="00E9431E" w14:paraId="6D2138AB" w14:textId="77777777" w:rsidTr="00766981">
        <w:trPr>
          <w:tblHeader/>
        </w:trPr>
        <w:tc>
          <w:tcPr>
            <w:tcW w:w="1011" w:type="pct"/>
            <w:vAlign w:val="center"/>
          </w:tcPr>
          <w:p w14:paraId="10F760AE" w14:textId="77777777" w:rsidR="00781EC7" w:rsidRPr="00E9431E" w:rsidRDefault="00781EC7" w:rsidP="00781EC7">
            <w:pPr>
              <w:pStyle w:val="ListParagraph"/>
              <w:autoSpaceDE w:val="0"/>
              <w:autoSpaceDN w:val="0"/>
              <w:adjustRightInd w:val="0"/>
              <w:ind w:left="0"/>
              <w:jc w:val="center"/>
              <w:rPr>
                <w:rFonts w:cs="Times New Roman"/>
                <w:b/>
                <w:sz w:val="20"/>
                <w:szCs w:val="20"/>
              </w:rPr>
            </w:pPr>
            <w:r w:rsidRPr="00E9431E">
              <w:rPr>
                <w:rFonts w:cs="Times New Roman"/>
                <w:b/>
                <w:sz w:val="20"/>
                <w:szCs w:val="20"/>
              </w:rPr>
              <w:t>Theme</w:t>
            </w:r>
          </w:p>
          <w:p w14:paraId="448AE7EA" w14:textId="424C7187" w:rsidR="00FE6558" w:rsidRPr="00E9431E" w:rsidRDefault="00FE6558" w:rsidP="00A20898">
            <w:pPr>
              <w:pStyle w:val="ListParagraph"/>
              <w:autoSpaceDE w:val="0"/>
              <w:autoSpaceDN w:val="0"/>
              <w:adjustRightInd w:val="0"/>
              <w:ind w:left="0"/>
              <w:rPr>
                <w:rFonts w:cs="Times New Roman"/>
                <w:i/>
                <w:sz w:val="20"/>
                <w:szCs w:val="20"/>
              </w:rPr>
            </w:pPr>
          </w:p>
        </w:tc>
        <w:tc>
          <w:tcPr>
            <w:tcW w:w="1341" w:type="pct"/>
            <w:vAlign w:val="center"/>
          </w:tcPr>
          <w:p w14:paraId="1FEFE533" w14:textId="7CB239ED" w:rsidR="00781EC7" w:rsidRPr="00E9431E" w:rsidRDefault="00781EC7" w:rsidP="00781EC7">
            <w:pPr>
              <w:pStyle w:val="ListParagraph"/>
              <w:autoSpaceDE w:val="0"/>
              <w:autoSpaceDN w:val="0"/>
              <w:adjustRightInd w:val="0"/>
              <w:ind w:left="0"/>
              <w:jc w:val="center"/>
              <w:rPr>
                <w:rFonts w:cs="Times New Roman"/>
                <w:b/>
                <w:sz w:val="20"/>
                <w:szCs w:val="20"/>
              </w:rPr>
            </w:pPr>
            <w:r w:rsidRPr="00E9431E">
              <w:rPr>
                <w:rFonts w:cs="Times New Roman"/>
                <w:b/>
                <w:sz w:val="20"/>
                <w:szCs w:val="20"/>
              </w:rPr>
              <w:t>Description</w:t>
            </w:r>
          </w:p>
        </w:tc>
        <w:tc>
          <w:tcPr>
            <w:tcW w:w="1365" w:type="pct"/>
            <w:vAlign w:val="center"/>
          </w:tcPr>
          <w:p w14:paraId="6D3136CF" w14:textId="5CFC5034" w:rsidR="00781EC7" w:rsidRPr="00E9431E" w:rsidRDefault="00781EC7" w:rsidP="00781EC7">
            <w:pPr>
              <w:pStyle w:val="ListParagraph"/>
              <w:autoSpaceDE w:val="0"/>
              <w:autoSpaceDN w:val="0"/>
              <w:adjustRightInd w:val="0"/>
              <w:ind w:left="0"/>
              <w:jc w:val="center"/>
              <w:rPr>
                <w:rFonts w:cs="Times New Roman"/>
                <w:b/>
                <w:sz w:val="20"/>
                <w:szCs w:val="20"/>
              </w:rPr>
            </w:pPr>
            <w:r w:rsidRPr="00E9431E">
              <w:rPr>
                <w:rFonts w:cs="Times New Roman"/>
                <w:b/>
                <w:sz w:val="20"/>
                <w:szCs w:val="20"/>
              </w:rPr>
              <w:t>A</w:t>
            </w:r>
            <w:r w:rsidR="001B2481" w:rsidRPr="00E9431E">
              <w:rPr>
                <w:rFonts w:cs="Times New Roman"/>
                <w:b/>
                <w:sz w:val="20"/>
                <w:szCs w:val="20"/>
              </w:rPr>
              <w:t xml:space="preserve">greed </w:t>
            </w:r>
            <w:r w:rsidR="003925CE" w:rsidRPr="00E9431E">
              <w:rPr>
                <w:rFonts w:cs="Times New Roman"/>
                <w:b/>
                <w:sz w:val="20"/>
                <w:szCs w:val="20"/>
              </w:rPr>
              <w:t>a</w:t>
            </w:r>
            <w:r w:rsidRPr="00E9431E">
              <w:rPr>
                <w:rFonts w:cs="Times New Roman"/>
                <w:b/>
                <w:sz w:val="20"/>
                <w:szCs w:val="20"/>
              </w:rPr>
              <w:t>ctions to be undertaken to resolve critical issues if any</w:t>
            </w:r>
          </w:p>
        </w:tc>
        <w:tc>
          <w:tcPr>
            <w:tcW w:w="716" w:type="pct"/>
            <w:vAlign w:val="center"/>
          </w:tcPr>
          <w:p w14:paraId="5138A0FB" w14:textId="2B5168E1" w:rsidR="00781EC7" w:rsidRPr="00E9431E" w:rsidRDefault="00781EC7" w:rsidP="00781EC7">
            <w:pPr>
              <w:pStyle w:val="ListParagraph"/>
              <w:autoSpaceDE w:val="0"/>
              <w:autoSpaceDN w:val="0"/>
              <w:adjustRightInd w:val="0"/>
              <w:ind w:left="0"/>
              <w:jc w:val="center"/>
              <w:rPr>
                <w:rFonts w:cs="Times New Roman"/>
                <w:b/>
                <w:sz w:val="20"/>
                <w:szCs w:val="20"/>
              </w:rPr>
            </w:pPr>
            <w:r w:rsidRPr="00E9431E">
              <w:rPr>
                <w:rFonts w:cs="Times New Roman"/>
                <w:b/>
                <w:sz w:val="20"/>
                <w:szCs w:val="20"/>
              </w:rPr>
              <w:t>Responsible party</w:t>
            </w:r>
          </w:p>
        </w:tc>
        <w:tc>
          <w:tcPr>
            <w:tcW w:w="567" w:type="pct"/>
            <w:vAlign w:val="center"/>
          </w:tcPr>
          <w:p w14:paraId="048493A8" w14:textId="3065A6F7" w:rsidR="00781EC7" w:rsidRPr="00E9431E" w:rsidRDefault="00781EC7" w:rsidP="00781EC7">
            <w:pPr>
              <w:pStyle w:val="ListParagraph"/>
              <w:autoSpaceDE w:val="0"/>
              <w:autoSpaceDN w:val="0"/>
              <w:adjustRightInd w:val="0"/>
              <w:ind w:left="0"/>
              <w:jc w:val="center"/>
              <w:rPr>
                <w:rFonts w:cs="Times New Roman"/>
                <w:b/>
                <w:sz w:val="20"/>
                <w:szCs w:val="20"/>
              </w:rPr>
            </w:pPr>
            <w:r w:rsidRPr="00E9431E">
              <w:rPr>
                <w:rFonts w:cs="Times New Roman"/>
                <w:b/>
                <w:sz w:val="20"/>
                <w:szCs w:val="20"/>
              </w:rPr>
              <w:t>Timeline</w:t>
            </w:r>
          </w:p>
        </w:tc>
      </w:tr>
      <w:tr w:rsidR="00C463DC" w:rsidRPr="00E9431E" w14:paraId="72F2E0F4" w14:textId="77777777" w:rsidTr="00766981">
        <w:tc>
          <w:tcPr>
            <w:tcW w:w="1011" w:type="pct"/>
            <w:vAlign w:val="center"/>
          </w:tcPr>
          <w:p w14:paraId="18C2D387" w14:textId="77777777" w:rsidR="00781EC7" w:rsidRPr="00E9431E" w:rsidRDefault="00781EC7" w:rsidP="00C463DC">
            <w:pPr>
              <w:pStyle w:val="ListParagraph"/>
              <w:autoSpaceDE w:val="0"/>
              <w:autoSpaceDN w:val="0"/>
              <w:adjustRightInd w:val="0"/>
              <w:ind w:left="0"/>
              <w:rPr>
                <w:rFonts w:cs="Times New Roman"/>
                <w:b/>
                <w:sz w:val="20"/>
                <w:szCs w:val="20"/>
              </w:rPr>
            </w:pPr>
            <w:r w:rsidRPr="00E9431E">
              <w:rPr>
                <w:rFonts w:cs="Times New Roman"/>
                <w:b/>
                <w:sz w:val="20"/>
                <w:szCs w:val="20"/>
              </w:rPr>
              <w:t>Disbursement</w:t>
            </w:r>
            <w:r w:rsidR="00E453B0" w:rsidRPr="00E9431E">
              <w:rPr>
                <w:rFonts w:cs="Times New Roman"/>
                <w:b/>
                <w:sz w:val="20"/>
                <w:szCs w:val="20"/>
              </w:rPr>
              <w:t xml:space="preserve"> an</w:t>
            </w:r>
            <w:r w:rsidR="00766E5C" w:rsidRPr="00E9431E">
              <w:rPr>
                <w:rFonts w:cs="Times New Roman"/>
                <w:b/>
                <w:sz w:val="20"/>
                <w:szCs w:val="20"/>
              </w:rPr>
              <w:t>d commitments</w:t>
            </w:r>
          </w:p>
          <w:p w14:paraId="25870AB5" w14:textId="77777777" w:rsidR="001B2481" w:rsidRPr="00E9431E" w:rsidRDefault="001B2481" w:rsidP="00C463DC">
            <w:pPr>
              <w:pStyle w:val="ListParagraph"/>
              <w:autoSpaceDE w:val="0"/>
              <w:autoSpaceDN w:val="0"/>
              <w:adjustRightInd w:val="0"/>
              <w:ind w:left="0"/>
              <w:rPr>
                <w:rFonts w:cs="Times New Roman"/>
                <w:b/>
                <w:sz w:val="20"/>
                <w:szCs w:val="20"/>
              </w:rPr>
            </w:pPr>
          </w:p>
          <w:p w14:paraId="2E87F182" w14:textId="21DD49D7" w:rsidR="001B2481" w:rsidRPr="00E9431E" w:rsidRDefault="001B2481" w:rsidP="00C463DC">
            <w:pPr>
              <w:pStyle w:val="ListParagraph"/>
              <w:autoSpaceDE w:val="0"/>
              <w:autoSpaceDN w:val="0"/>
              <w:adjustRightInd w:val="0"/>
              <w:ind w:left="0"/>
              <w:rPr>
                <w:rFonts w:cs="Times New Roman"/>
                <w:b/>
                <w:i/>
                <w:sz w:val="20"/>
                <w:szCs w:val="20"/>
              </w:rPr>
            </w:pPr>
          </w:p>
        </w:tc>
        <w:tc>
          <w:tcPr>
            <w:tcW w:w="1341" w:type="pct"/>
          </w:tcPr>
          <w:p w14:paraId="37A40BAE" w14:textId="4C5AA75C" w:rsidR="007E6EE2" w:rsidRPr="0010035B" w:rsidRDefault="007E6EE2" w:rsidP="007E6EE2">
            <w:pPr>
              <w:pStyle w:val="ListParagraph"/>
              <w:autoSpaceDE w:val="0"/>
              <w:autoSpaceDN w:val="0"/>
              <w:adjustRightInd w:val="0"/>
              <w:ind w:left="0"/>
              <w:jc w:val="both"/>
              <w:rPr>
                <w:rFonts w:cs="Times New Roman"/>
                <w:sz w:val="20"/>
                <w:szCs w:val="20"/>
              </w:rPr>
            </w:pPr>
            <w:r w:rsidRPr="0010035B">
              <w:rPr>
                <w:rFonts w:cs="Times New Roman"/>
                <w:sz w:val="20"/>
                <w:szCs w:val="20"/>
              </w:rPr>
              <w:t xml:space="preserve">The total disbursement is USD 0.795mn (equivalent to 13.58% of total IDA credit of USD 5.7 million as per current exchange rates). The undisbursed balance stands at SDR 3.6 Mn (USD 4.9 Mn). Hence the total unutilized balance is USD 5.5 </w:t>
            </w:r>
            <w:proofErr w:type="spellStart"/>
            <w:r w:rsidRPr="0010035B">
              <w:rPr>
                <w:rFonts w:cs="Times New Roman"/>
                <w:sz w:val="20"/>
                <w:szCs w:val="20"/>
              </w:rPr>
              <w:t>mn</w:t>
            </w:r>
            <w:proofErr w:type="spellEnd"/>
            <w:r w:rsidRPr="0010035B">
              <w:rPr>
                <w:rFonts w:cs="Times New Roman"/>
                <w:sz w:val="20"/>
                <w:szCs w:val="20"/>
              </w:rPr>
              <w:t xml:space="preserve">. </w:t>
            </w:r>
          </w:p>
          <w:p w14:paraId="3048C598" w14:textId="6D764604" w:rsidR="00781EC7" w:rsidRPr="00E9431E" w:rsidRDefault="00781EC7" w:rsidP="00344501">
            <w:pPr>
              <w:pStyle w:val="ListParagraph"/>
              <w:autoSpaceDE w:val="0"/>
              <w:autoSpaceDN w:val="0"/>
              <w:adjustRightInd w:val="0"/>
              <w:ind w:left="0"/>
              <w:jc w:val="both"/>
              <w:rPr>
                <w:rFonts w:cs="Times New Roman"/>
                <w:i/>
                <w:sz w:val="20"/>
                <w:szCs w:val="20"/>
              </w:rPr>
            </w:pPr>
          </w:p>
        </w:tc>
        <w:tc>
          <w:tcPr>
            <w:tcW w:w="1365" w:type="pct"/>
          </w:tcPr>
          <w:p w14:paraId="5A8238F5" w14:textId="63D9CE5A" w:rsidR="00781EC7" w:rsidRPr="00E9431E" w:rsidRDefault="00E9431E" w:rsidP="00344501">
            <w:pPr>
              <w:pStyle w:val="ListParagraph"/>
              <w:autoSpaceDE w:val="0"/>
              <w:autoSpaceDN w:val="0"/>
              <w:adjustRightInd w:val="0"/>
              <w:ind w:left="0"/>
              <w:jc w:val="both"/>
              <w:rPr>
                <w:rFonts w:cs="Times New Roman"/>
                <w:sz w:val="20"/>
                <w:szCs w:val="20"/>
              </w:rPr>
            </w:pPr>
            <w:r w:rsidRPr="00E9431E">
              <w:rPr>
                <w:rFonts w:cs="Times New Roman"/>
                <w:sz w:val="20"/>
                <w:szCs w:val="20"/>
              </w:rPr>
              <w:t xml:space="preserve">The IVA mission—that will take place towards the end of November 2019—will verify the achievement of DLIs. Following the </w:t>
            </w:r>
            <w:r w:rsidR="000A60BF">
              <w:rPr>
                <w:rFonts w:cs="Times New Roman"/>
                <w:sz w:val="20"/>
                <w:szCs w:val="20"/>
              </w:rPr>
              <w:t xml:space="preserve">IVA </w:t>
            </w:r>
            <w:r w:rsidRPr="00E9431E">
              <w:rPr>
                <w:rFonts w:cs="Times New Roman"/>
                <w:sz w:val="20"/>
                <w:szCs w:val="20"/>
              </w:rPr>
              <w:t xml:space="preserve">verification and </w:t>
            </w:r>
            <w:r w:rsidR="000A60BF">
              <w:rPr>
                <w:rFonts w:cs="Times New Roman"/>
                <w:sz w:val="20"/>
                <w:szCs w:val="20"/>
              </w:rPr>
              <w:t>confirmation from</w:t>
            </w:r>
            <w:r w:rsidRPr="00E9431E">
              <w:rPr>
                <w:rFonts w:cs="Times New Roman"/>
                <w:sz w:val="20"/>
                <w:szCs w:val="20"/>
              </w:rPr>
              <w:t xml:space="preserve"> the Bank, the project will be able to disburse for the achieved DLRs</w:t>
            </w:r>
            <w:r w:rsidR="000A60BF">
              <w:rPr>
                <w:rFonts w:cs="Times New Roman"/>
                <w:sz w:val="20"/>
                <w:szCs w:val="20"/>
              </w:rPr>
              <w:t xml:space="preserve">, </w:t>
            </w:r>
            <w:r w:rsidR="000A60BF" w:rsidRPr="000A60BF">
              <w:rPr>
                <w:rFonts w:cs="Times New Roman"/>
                <w:sz w:val="20"/>
                <w:szCs w:val="20"/>
              </w:rPr>
              <w:t xml:space="preserve">amounting to USD$2 million (i.e. 33 per cent of result-based component) </w:t>
            </w:r>
          </w:p>
        </w:tc>
        <w:tc>
          <w:tcPr>
            <w:tcW w:w="716" w:type="pct"/>
          </w:tcPr>
          <w:p w14:paraId="72D128FD" w14:textId="59438F96" w:rsidR="00781EC7" w:rsidRPr="00E9431E" w:rsidRDefault="00A23562" w:rsidP="00344501">
            <w:pPr>
              <w:pStyle w:val="ListParagraph"/>
              <w:autoSpaceDE w:val="0"/>
              <w:autoSpaceDN w:val="0"/>
              <w:adjustRightInd w:val="0"/>
              <w:ind w:left="0"/>
              <w:jc w:val="both"/>
              <w:rPr>
                <w:rFonts w:cs="Times New Roman"/>
                <w:b/>
                <w:sz w:val="20"/>
                <w:szCs w:val="20"/>
              </w:rPr>
            </w:pPr>
            <w:r w:rsidRPr="00E9431E">
              <w:rPr>
                <w:rFonts w:cs="Times New Roman"/>
                <w:b/>
                <w:sz w:val="20"/>
                <w:szCs w:val="20"/>
              </w:rPr>
              <w:t>PMU</w:t>
            </w:r>
          </w:p>
        </w:tc>
        <w:tc>
          <w:tcPr>
            <w:tcW w:w="567" w:type="pct"/>
          </w:tcPr>
          <w:p w14:paraId="5D1E6AC5" w14:textId="4FFD1130" w:rsidR="00781EC7" w:rsidRPr="008E7B40" w:rsidRDefault="008E7B40" w:rsidP="00344501">
            <w:pPr>
              <w:pStyle w:val="ListParagraph"/>
              <w:autoSpaceDE w:val="0"/>
              <w:autoSpaceDN w:val="0"/>
              <w:adjustRightInd w:val="0"/>
              <w:ind w:left="0"/>
              <w:jc w:val="both"/>
              <w:rPr>
                <w:rFonts w:cs="Times New Roman"/>
                <w:sz w:val="20"/>
                <w:szCs w:val="20"/>
              </w:rPr>
            </w:pPr>
            <w:r w:rsidRPr="008E7B40">
              <w:rPr>
                <w:rFonts w:cs="Times New Roman"/>
                <w:sz w:val="20"/>
                <w:szCs w:val="20"/>
              </w:rPr>
              <w:t>December 15, 2019</w:t>
            </w:r>
          </w:p>
        </w:tc>
      </w:tr>
      <w:tr w:rsidR="00C463DC" w:rsidRPr="00E9431E" w14:paraId="100970DA" w14:textId="77777777" w:rsidTr="00766981">
        <w:tc>
          <w:tcPr>
            <w:tcW w:w="1011" w:type="pct"/>
            <w:vAlign w:val="center"/>
          </w:tcPr>
          <w:p w14:paraId="6AACE53A" w14:textId="1FD57CD2" w:rsidR="00781EC7" w:rsidRPr="00E9431E" w:rsidRDefault="00781EC7" w:rsidP="00C463DC">
            <w:pPr>
              <w:pStyle w:val="ListParagraph"/>
              <w:autoSpaceDE w:val="0"/>
              <w:autoSpaceDN w:val="0"/>
              <w:adjustRightInd w:val="0"/>
              <w:ind w:left="0"/>
              <w:rPr>
                <w:rFonts w:cs="Times New Roman"/>
                <w:b/>
                <w:sz w:val="20"/>
                <w:szCs w:val="20"/>
              </w:rPr>
            </w:pPr>
            <w:r w:rsidRPr="00E9431E">
              <w:rPr>
                <w:rFonts w:cs="Times New Roman"/>
                <w:b/>
                <w:sz w:val="20"/>
                <w:szCs w:val="20"/>
              </w:rPr>
              <w:t>Procurement</w:t>
            </w:r>
          </w:p>
        </w:tc>
        <w:tc>
          <w:tcPr>
            <w:tcW w:w="1341" w:type="pct"/>
          </w:tcPr>
          <w:p w14:paraId="17744948" w14:textId="77777777" w:rsidR="00E9431E" w:rsidRPr="00E9431E" w:rsidRDefault="00E9431E" w:rsidP="00E9431E">
            <w:pPr>
              <w:rPr>
                <w:rFonts w:cs="Times New Roman"/>
                <w:sz w:val="20"/>
                <w:szCs w:val="20"/>
              </w:rPr>
            </w:pPr>
            <w:r w:rsidRPr="00E9431E">
              <w:rPr>
                <w:rFonts w:cs="Times New Roman"/>
                <w:sz w:val="20"/>
                <w:szCs w:val="20"/>
              </w:rPr>
              <w:t xml:space="preserve">The mission reviewed progress in the implementation of the procurement plan and adequacy of procurement arrangements. It was noted that an additional staff has been recruited for procurement. This will help in expediting procurement, which experienced significant delays. A review of the procurement plan in STEP shows that of the 24 activities under implementation status, 22 activities are showing a red flag, meaning that at least one milestone has been missed. A closer look reveals that several of these activities have not been updated, although actions may have been completed. STEP is an important tool which can be used effectively to measure project progress. All activities need to be updated as and when procurement milestones are achieved. To reinforce learning on implementation of the Bank’s procurement Regulations and STEP, the procurement team conducted a one-day training on procurement, where specific implementation issues were discussed and clarified. </w:t>
            </w:r>
          </w:p>
          <w:p w14:paraId="05E2D431" w14:textId="600E1624" w:rsidR="001B2481" w:rsidRPr="00E9431E" w:rsidRDefault="001B2481" w:rsidP="00DB510D">
            <w:pPr>
              <w:pStyle w:val="ListParagraph"/>
              <w:autoSpaceDE w:val="0"/>
              <w:autoSpaceDN w:val="0"/>
              <w:adjustRightInd w:val="0"/>
              <w:ind w:left="0"/>
              <w:jc w:val="both"/>
              <w:rPr>
                <w:i/>
                <w:sz w:val="20"/>
                <w:szCs w:val="20"/>
              </w:rPr>
            </w:pPr>
          </w:p>
        </w:tc>
        <w:tc>
          <w:tcPr>
            <w:tcW w:w="1365" w:type="pct"/>
          </w:tcPr>
          <w:p w14:paraId="15DC0A8E" w14:textId="77777777" w:rsidR="00781EC7" w:rsidRDefault="0010035B" w:rsidP="00E9431E">
            <w:pPr>
              <w:rPr>
                <w:rFonts w:cs="Times New Roman"/>
                <w:sz w:val="20"/>
                <w:szCs w:val="20"/>
              </w:rPr>
            </w:pPr>
            <w:proofErr w:type="spellStart"/>
            <w:r w:rsidRPr="00E9431E">
              <w:rPr>
                <w:rFonts w:cs="Times New Roman"/>
                <w:sz w:val="20"/>
                <w:szCs w:val="20"/>
              </w:rPr>
              <w:t>ToRs</w:t>
            </w:r>
            <w:proofErr w:type="spellEnd"/>
            <w:r w:rsidRPr="00E9431E">
              <w:rPr>
                <w:rFonts w:cs="Times New Roman"/>
                <w:sz w:val="20"/>
                <w:szCs w:val="20"/>
              </w:rPr>
              <w:t xml:space="preserve"> for completion of </w:t>
            </w:r>
            <w:proofErr w:type="spellStart"/>
            <w:r w:rsidRPr="00E9431E">
              <w:rPr>
                <w:rFonts w:cs="Times New Roman"/>
                <w:sz w:val="20"/>
                <w:szCs w:val="20"/>
              </w:rPr>
              <w:t>eGP</w:t>
            </w:r>
            <w:proofErr w:type="spellEnd"/>
            <w:r w:rsidRPr="00E9431E">
              <w:rPr>
                <w:rFonts w:cs="Times New Roman"/>
                <w:sz w:val="20"/>
                <w:szCs w:val="20"/>
              </w:rPr>
              <w:t xml:space="preserve"> Readiness Assessment</w:t>
            </w:r>
          </w:p>
          <w:p w14:paraId="17A0C007" w14:textId="77777777" w:rsidR="0010035B" w:rsidRDefault="0010035B" w:rsidP="00E9431E">
            <w:pPr>
              <w:rPr>
                <w:rFonts w:cs="Times New Roman"/>
                <w:sz w:val="20"/>
                <w:szCs w:val="20"/>
              </w:rPr>
            </w:pPr>
          </w:p>
          <w:p w14:paraId="7EF43F11" w14:textId="77777777" w:rsidR="0010035B" w:rsidRDefault="0010035B" w:rsidP="00E9431E">
            <w:pPr>
              <w:rPr>
                <w:rFonts w:cs="Times New Roman"/>
                <w:sz w:val="20"/>
                <w:szCs w:val="20"/>
              </w:rPr>
            </w:pPr>
            <w:proofErr w:type="spellStart"/>
            <w:r w:rsidRPr="00E9431E">
              <w:rPr>
                <w:rFonts w:cs="Times New Roman"/>
                <w:sz w:val="20"/>
                <w:szCs w:val="20"/>
              </w:rPr>
              <w:t>ToRs</w:t>
            </w:r>
            <w:proofErr w:type="spellEnd"/>
            <w:r w:rsidRPr="00E9431E">
              <w:rPr>
                <w:rFonts w:cs="Times New Roman"/>
                <w:sz w:val="20"/>
                <w:szCs w:val="20"/>
              </w:rPr>
              <w:t xml:space="preserve"> for consultant to develop Standard Bidding Documents</w:t>
            </w:r>
          </w:p>
          <w:p w14:paraId="3E4ABF93" w14:textId="77777777" w:rsidR="0010035B" w:rsidRDefault="0010035B" w:rsidP="00E9431E">
            <w:pPr>
              <w:rPr>
                <w:rFonts w:cs="Times New Roman"/>
                <w:sz w:val="20"/>
                <w:szCs w:val="20"/>
              </w:rPr>
            </w:pPr>
          </w:p>
          <w:p w14:paraId="6246BDFC" w14:textId="77777777" w:rsidR="0010035B" w:rsidRDefault="0010035B" w:rsidP="00E9431E">
            <w:pPr>
              <w:rPr>
                <w:rFonts w:cs="Times New Roman"/>
                <w:sz w:val="20"/>
                <w:szCs w:val="20"/>
              </w:rPr>
            </w:pPr>
            <w:proofErr w:type="spellStart"/>
            <w:r w:rsidRPr="00E9431E">
              <w:rPr>
                <w:rFonts w:cs="Times New Roman"/>
                <w:sz w:val="20"/>
                <w:szCs w:val="20"/>
              </w:rPr>
              <w:t>ToRs</w:t>
            </w:r>
            <w:proofErr w:type="spellEnd"/>
            <w:r w:rsidRPr="00E9431E">
              <w:rPr>
                <w:rFonts w:cs="Times New Roman"/>
                <w:sz w:val="20"/>
                <w:szCs w:val="20"/>
              </w:rPr>
              <w:t xml:space="preserve"> for consultant to conduct Gap Analysis/Training Needs Assessment for procurement capacity building</w:t>
            </w:r>
          </w:p>
          <w:p w14:paraId="6A720100" w14:textId="77777777" w:rsidR="0010035B" w:rsidRDefault="0010035B" w:rsidP="00E9431E">
            <w:pPr>
              <w:rPr>
                <w:rFonts w:cs="Times New Roman"/>
                <w:sz w:val="20"/>
                <w:szCs w:val="20"/>
              </w:rPr>
            </w:pPr>
          </w:p>
          <w:p w14:paraId="562F7518" w14:textId="329D411B" w:rsidR="0010035B" w:rsidRPr="00E9431E" w:rsidRDefault="0010035B" w:rsidP="00E9431E">
            <w:pPr>
              <w:rPr>
                <w:rFonts w:cs="Times New Roman"/>
                <w:sz w:val="20"/>
                <w:szCs w:val="20"/>
              </w:rPr>
            </w:pPr>
            <w:proofErr w:type="spellStart"/>
            <w:r w:rsidRPr="00E9431E">
              <w:rPr>
                <w:rFonts w:cs="Times New Roman"/>
                <w:sz w:val="20"/>
                <w:szCs w:val="20"/>
              </w:rPr>
              <w:t>ToRs</w:t>
            </w:r>
            <w:proofErr w:type="spellEnd"/>
            <w:r w:rsidRPr="00E9431E">
              <w:rPr>
                <w:rFonts w:cs="Times New Roman"/>
                <w:sz w:val="20"/>
                <w:szCs w:val="20"/>
              </w:rPr>
              <w:t xml:space="preserve"> for study to pursue Framework Contracts</w:t>
            </w:r>
          </w:p>
        </w:tc>
        <w:tc>
          <w:tcPr>
            <w:tcW w:w="716" w:type="pct"/>
          </w:tcPr>
          <w:p w14:paraId="69F3016A" w14:textId="74A86FCE" w:rsidR="00781EC7" w:rsidRPr="00E9431E" w:rsidRDefault="00E9431E" w:rsidP="00344501">
            <w:pPr>
              <w:pStyle w:val="ListParagraph"/>
              <w:autoSpaceDE w:val="0"/>
              <w:autoSpaceDN w:val="0"/>
              <w:adjustRightInd w:val="0"/>
              <w:ind w:left="0"/>
              <w:jc w:val="both"/>
              <w:rPr>
                <w:rFonts w:cs="Times New Roman"/>
                <w:b/>
                <w:sz w:val="20"/>
                <w:szCs w:val="20"/>
              </w:rPr>
            </w:pPr>
            <w:r w:rsidRPr="00E9431E">
              <w:rPr>
                <w:rFonts w:cs="Times New Roman"/>
                <w:b/>
                <w:sz w:val="20"/>
                <w:szCs w:val="20"/>
              </w:rPr>
              <w:t>Tender Board</w:t>
            </w:r>
          </w:p>
        </w:tc>
        <w:tc>
          <w:tcPr>
            <w:tcW w:w="567" w:type="pct"/>
          </w:tcPr>
          <w:p w14:paraId="370140A1" w14:textId="77777777" w:rsidR="00781EC7" w:rsidRDefault="0010035B" w:rsidP="00344501">
            <w:pPr>
              <w:pStyle w:val="ListParagraph"/>
              <w:autoSpaceDE w:val="0"/>
              <w:autoSpaceDN w:val="0"/>
              <w:adjustRightInd w:val="0"/>
              <w:ind w:left="0"/>
              <w:jc w:val="both"/>
              <w:rPr>
                <w:rFonts w:cs="Times New Roman"/>
                <w:sz w:val="20"/>
                <w:szCs w:val="20"/>
              </w:rPr>
            </w:pPr>
            <w:r w:rsidRPr="00E9431E">
              <w:rPr>
                <w:rFonts w:cs="Times New Roman"/>
                <w:sz w:val="20"/>
                <w:szCs w:val="20"/>
              </w:rPr>
              <w:t>November 30, 2019</w:t>
            </w:r>
          </w:p>
          <w:p w14:paraId="4D5602ED" w14:textId="77777777" w:rsidR="003E3A2E" w:rsidRDefault="003E3A2E" w:rsidP="00344501">
            <w:pPr>
              <w:pStyle w:val="ListParagraph"/>
              <w:autoSpaceDE w:val="0"/>
              <w:autoSpaceDN w:val="0"/>
              <w:adjustRightInd w:val="0"/>
              <w:ind w:left="0"/>
              <w:jc w:val="both"/>
              <w:rPr>
                <w:rFonts w:cs="Times New Roman"/>
                <w:sz w:val="20"/>
                <w:szCs w:val="20"/>
              </w:rPr>
            </w:pPr>
          </w:p>
          <w:p w14:paraId="2DFBB81E" w14:textId="77777777" w:rsidR="003E3A2E" w:rsidRDefault="003E3A2E" w:rsidP="00344501">
            <w:pPr>
              <w:pStyle w:val="ListParagraph"/>
              <w:autoSpaceDE w:val="0"/>
              <w:autoSpaceDN w:val="0"/>
              <w:adjustRightInd w:val="0"/>
              <w:ind w:left="0"/>
              <w:jc w:val="both"/>
              <w:rPr>
                <w:rFonts w:cs="Times New Roman"/>
                <w:sz w:val="20"/>
                <w:szCs w:val="20"/>
              </w:rPr>
            </w:pPr>
            <w:r w:rsidRPr="00E9431E">
              <w:rPr>
                <w:rFonts w:cs="Times New Roman"/>
                <w:sz w:val="20"/>
                <w:szCs w:val="20"/>
              </w:rPr>
              <w:t>November 30, 2019</w:t>
            </w:r>
          </w:p>
          <w:p w14:paraId="3D0FF3B0" w14:textId="77777777" w:rsidR="003E3A2E" w:rsidRDefault="003E3A2E" w:rsidP="00344501">
            <w:pPr>
              <w:pStyle w:val="ListParagraph"/>
              <w:autoSpaceDE w:val="0"/>
              <w:autoSpaceDN w:val="0"/>
              <w:adjustRightInd w:val="0"/>
              <w:ind w:left="0"/>
              <w:jc w:val="both"/>
              <w:rPr>
                <w:rFonts w:cs="Times New Roman"/>
                <w:sz w:val="20"/>
                <w:szCs w:val="20"/>
              </w:rPr>
            </w:pPr>
          </w:p>
          <w:p w14:paraId="4CA5684E" w14:textId="77777777" w:rsidR="003E3A2E" w:rsidRDefault="003E3A2E" w:rsidP="00344501">
            <w:pPr>
              <w:pStyle w:val="ListParagraph"/>
              <w:autoSpaceDE w:val="0"/>
              <w:autoSpaceDN w:val="0"/>
              <w:adjustRightInd w:val="0"/>
              <w:ind w:left="0"/>
              <w:jc w:val="both"/>
              <w:rPr>
                <w:rFonts w:cs="Times New Roman"/>
                <w:sz w:val="20"/>
                <w:szCs w:val="20"/>
              </w:rPr>
            </w:pPr>
          </w:p>
          <w:p w14:paraId="203C0C70" w14:textId="77777777" w:rsidR="003E3A2E" w:rsidRDefault="003E3A2E" w:rsidP="00344501">
            <w:pPr>
              <w:pStyle w:val="ListParagraph"/>
              <w:autoSpaceDE w:val="0"/>
              <w:autoSpaceDN w:val="0"/>
              <w:adjustRightInd w:val="0"/>
              <w:ind w:left="0"/>
              <w:jc w:val="both"/>
              <w:rPr>
                <w:rFonts w:cs="Times New Roman"/>
                <w:sz w:val="20"/>
                <w:szCs w:val="20"/>
              </w:rPr>
            </w:pPr>
            <w:r w:rsidRPr="00E9431E">
              <w:rPr>
                <w:rFonts w:cs="Times New Roman"/>
                <w:sz w:val="20"/>
                <w:szCs w:val="20"/>
              </w:rPr>
              <w:t>November 30, 2019</w:t>
            </w:r>
          </w:p>
          <w:p w14:paraId="50A965B1" w14:textId="77777777" w:rsidR="003E3A2E" w:rsidRDefault="003E3A2E" w:rsidP="00344501">
            <w:pPr>
              <w:pStyle w:val="ListParagraph"/>
              <w:autoSpaceDE w:val="0"/>
              <w:autoSpaceDN w:val="0"/>
              <w:adjustRightInd w:val="0"/>
              <w:ind w:left="0"/>
              <w:jc w:val="both"/>
              <w:rPr>
                <w:rFonts w:cs="Times New Roman"/>
                <w:b/>
                <w:sz w:val="20"/>
                <w:szCs w:val="20"/>
              </w:rPr>
            </w:pPr>
          </w:p>
          <w:p w14:paraId="12144E07" w14:textId="77777777" w:rsidR="003E3A2E" w:rsidRDefault="003E3A2E" w:rsidP="00344501">
            <w:pPr>
              <w:pStyle w:val="ListParagraph"/>
              <w:autoSpaceDE w:val="0"/>
              <w:autoSpaceDN w:val="0"/>
              <w:adjustRightInd w:val="0"/>
              <w:ind w:left="0"/>
              <w:jc w:val="both"/>
              <w:rPr>
                <w:rFonts w:cs="Times New Roman"/>
                <w:b/>
                <w:sz w:val="20"/>
                <w:szCs w:val="20"/>
              </w:rPr>
            </w:pPr>
          </w:p>
          <w:p w14:paraId="5ABD535E" w14:textId="77777777" w:rsidR="003E3A2E" w:rsidRDefault="003E3A2E" w:rsidP="00344501">
            <w:pPr>
              <w:pStyle w:val="ListParagraph"/>
              <w:autoSpaceDE w:val="0"/>
              <w:autoSpaceDN w:val="0"/>
              <w:adjustRightInd w:val="0"/>
              <w:ind w:left="0"/>
              <w:jc w:val="both"/>
              <w:rPr>
                <w:rFonts w:cs="Times New Roman"/>
                <w:b/>
                <w:sz w:val="20"/>
                <w:szCs w:val="20"/>
              </w:rPr>
            </w:pPr>
          </w:p>
          <w:p w14:paraId="66992B9D" w14:textId="77777777" w:rsidR="003E3A2E" w:rsidRDefault="003E3A2E" w:rsidP="00344501">
            <w:pPr>
              <w:pStyle w:val="ListParagraph"/>
              <w:autoSpaceDE w:val="0"/>
              <w:autoSpaceDN w:val="0"/>
              <w:adjustRightInd w:val="0"/>
              <w:ind w:left="0"/>
              <w:jc w:val="both"/>
              <w:rPr>
                <w:rFonts w:cs="Times New Roman"/>
                <w:b/>
                <w:sz w:val="20"/>
                <w:szCs w:val="20"/>
              </w:rPr>
            </w:pPr>
          </w:p>
          <w:p w14:paraId="2A8A2064" w14:textId="1D2B0EB6" w:rsidR="003E3A2E" w:rsidRPr="00E9431E" w:rsidRDefault="003E3A2E" w:rsidP="00344501">
            <w:pPr>
              <w:pStyle w:val="ListParagraph"/>
              <w:autoSpaceDE w:val="0"/>
              <w:autoSpaceDN w:val="0"/>
              <w:adjustRightInd w:val="0"/>
              <w:ind w:left="0"/>
              <w:jc w:val="both"/>
              <w:rPr>
                <w:rFonts w:cs="Times New Roman"/>
                <w:b/>
                <w:sz w:val="20"/>
                <w:szCs w:val="20"/>
              </w:rPr>
            </w:pPr>
            <w:r w:rsidRPr="00E9431E">
              <w:rPr>
                <w:rFonts w:cs="Times New Roman"/>
                <w:sz w:val="20"/>
                <w:szCs w:val="20"/>
              </w:rPr>
              <w:t>December 8, 2019</w:t>
            </w:r>
          </w:p>
        </w:tc>
      </w:tr>
      <w:tr w:rsidR="003C75C2" w:rsidRPr="00E9431E" w14:paraId="1259870D" w14:textId="77777777" w:rsidTr="00766981">
        <w:tc>
          <w:tcPr>
            <w:tcW w:w="1011" w:type="pct"/>
            <w:vAlign w:val="center"/>
          </w:tcPr>
          <w:p w14:paraId="2470F1F7" w14:textId="7E749887" w:rsidR="003C75C2" w:rsidRPr="00E9431E" w:rsidRDefault="003C75C2" w:rsidP="003C75C2">
            <w:pPr>
              <w:pStyle w:val="ListParagraph"/>
              <w:autoSpaceDE w:val="0"/>
              <w:autoSpaceDN w:val="0"/>
              <w:adjustRightInd w:val="0"/>
              <w:ind w:left="0"/>
              <w:rPr>
                <w:rFonts w:cs="Times New Roman"/>
                <w:b/>
                <w:sz w:val="20"/>
                <w:szCs w:val="20"/>
              </w:rPr>
            </w:pPr>
            <w:r w:rsidRPr="00E9431E">
              <w:rPr>
                <w:rFonts w:cs="Times New Roman"/>
                <w:b/>
                <w:sz w:val="20"/>
                <w:szCs w:val="20"/>
              </w:rPr>
              <w:t xml:space="preserve">Financial management </w:t>
            </w:r>
          </w:p>
        </w:tc>
        <w:tc>
          <w:tcPr>
            <w:tcW w:w="1341" w:type="pct"/>
          </w:tcPr>
          <w:p w14:paraId="1BFF5C30" w14:textId="70AE66C2" w:rsidR="003C75C2" w:rsidRPr="00E9431E" w:rsidRDefault="003C75C2" w:rsidP="003C75C2">
            <w:pPr>
              <w:pStyle w:val="ListParagraph"/>
              <w:autoSpaceDE w:val="0"/>
              <w:autoSpaceDN w:val="0"/>
              <w:adjustRightInd w:val="0"/>
              <w:ind w:left="0"/>
              <w:jc w:val="both"/>
              <w:rPr>
                <w:rFonts w:cs="Times New Roman"/>
                <w:i/>
                <w:sz w:val="20"/>
                <w:szCs w:val="20"/>
              </w:rPr>
            </w:pPr>
            <w:r w:rsidRPr="00E9431E">
              <w:rPr>
                <w:rFonts w:cs="Times New Roman"/>
                <w:sz w:val="20"/>
                <w:szCs w:val="20"/>
              </w:rPr>
              <w:t>The project FM staffing arrangements are in order. The PMU has been submitting quarterly IUFRs in a timely manner and no IUFRs were outstanding as at the date of the mission.  PMU has also submitted an acceptable audit report for FY 18 to World Bank in a timely manner. WB team wishes to remind the PMU that the internal audit reports of the project should be shared with the Bank. The annual accounts for annual audit of FY 19 should be submitted to Auditor General of Maldives by PMU, on or before 31st March 2020 so that the annual audit report gets submitted to WB by 30th June 2020. The existing FM arrangements would continue for the Additional Financing (AF). A separate Designated Account has been opened for the AF credit &amp; the disbursements also has commenced. An IVA appointed by PMU will carry out the verification of the DLI achievements under the results-based component in AF credit. PMU has also been advised to prepare a draft IUFR reflecting the Eligible Expenditure Program (EEP) items for the DLI component. By 20th November 2019, the PIU will process WA for the IUFRs ended 30th September 2019 for both original project &amp; AF.</w:t>
            </w:r>
          </w:p>
        </w:tc>
        <w:tc>
          <w:tcPr>
            <w:tcW w:w="1365" w:type="pct"/>
          </w:tcPr>
          <w:p w14:paraId="6AAA81A8" w14:textId="05FDB08C" w:rsidR="003C75C2" w:rsidRDefault="003C75C2" w:rsidP="003C75C2">
            <w:pPr>
              <w:pStyle w:val="ListParagraph"/>
              <w:autoSpaceDE w:val="0"/>
              <w:autoSpaceDN w:val="0"/>
              <w:adjustRightInd w:val="0"/>
              <w:ind w:left="0"/>
              <w:jc w:val="both"/>
              <w:rPr>
                <w:rFonts w:cs="Times New Roman"/>
                <w:sz w:val="20"/>
                <w:szCs w:val="20"/>
              </w:rPr>
            </w:pPr>
            <w:r w:rsidRPr="003C75C2">
              <w:rPr>
                <w:rFonts w:cs="Times New Roman"/>
                <w:sz w:val="20"/>
                <w:szCs w:val="20"/>
              </w:rPr>
              <w:t>Process WA for the IUFRs ended 30th September 2019 for both original project &amp; AF</w:t>
            </w:r>
          </w:p>
          <w:p w14:paraId="706AA740" w14:textId="77777777" w:rsidR="0010035B" w:rsidRDefault="0010035B" w:rsidP="003C75C2">
            <w:pPr>
              <w:pStyle w:val="ListParagraph"/>
              <w:autoSpaceDE w:val="0"/>
              <w:autoSpaceDN w:val="0"/>
              <w:adjustRightInd w:val="0"/>
              <w:ind w:left="0"/>
              <w:jc w:val="both"/>
              <w:rPr>
                <w:rFonts w:cs="Times New Roman"/>
                <w:sz w:val="20"/>
                <w:szCs w:val="20"/>
              </w:rPr>
            </w:pPr>
          </w:p>
          <w:p w14:paraId="552E0815" w14:textId="63559576" w:rsidR="003C75C2" w:rsidRDefault="003C75C2" w:rsidP="003C75C2">
            <w:pPr>
              <w:pStyle w:val="ListParagraph"/>
              <w:autoSpaceDE w:val="0"/>
              <w:autoSpaceDN w:val="0"/>
              <w:adjustRightInd w:val="0"/>
              <w:ind w:left="0"/>
              <w:jc w:val="both"/>
              <w:rPr>
                <w:rFonts w:cs="Times New Roman"/>
                <w:sz w:val="20"/>
                <w:szCs w:val="20"/>
              </w:rPr>
            </w:pPr>
            <w:r w:rsidRPr="003C75C2">
              <w:rPr>
                <w:rFonts w:cs="Times New Roman"/>
                <w:sz w:val="20"/>
                <w:szCs w:val="20"/>
              </w:rPr>
              <w:t>Submit draft expenditure report for the EEP items for results</w:t>
            </w:r>
            <w:r w:rsidR="0010035B">
              <w:rPr>
                <w:rFonts w:cs="Times New Roman"/>
                <w:sz w:val="20"/>
                <w:szCs w:val="20"/>
              </w:rPr>
              <w:t>-</w:t>
            </w:r>
            <w:r w:rsidRPr="003C75C2">
              <w:rPr>
                <w:rFonts w:cs="Times New Roman"/>
                <w:sz w:val="20"/>
                <w:szCs w:val="20"/>
              </w:rPr>
              <w:t>based component in AF</w:t>
            </w:r>
          </w:p>
          <w:p w14:paraId="24E5F77E" w14:textId="77777777" w:rsidR="0010035B" w:rsidRDefault="0010035B" w:rsidP="003C75C2">
            <w:pPr>
              <w:pStyle w:val="ListParagraph"/>
              <w:autoSpaceDE w:val="0"/>
              <w:autoSpaceDN w:val="0"/>
              <w:adjustRightInd w:val="0"/>
              <w:ind w:left="0"/>
              <w:jc w:val="both"/>
              <w:rPr>
                <w:rFonts w:cs="Times New Roman"/>
                <w:sz w:val="20"/>
                <w:szCs w:val="20"/>
              </w:rPr>
            </w:pPr>
          </w:p>
          <w:p w14:paraId="2AC252A5" w14:textId="77777777" w:rsidR="0010035B" w:rsidRDefault="0010035B" w:rsidP="003C75C2">
            <w:pPr>
              <w:pStyle w:val="ListParagraph"/>
              <w:autoSpaceDE w:val="0"/>
              <w:autoSpaceDN w:val="0"/>
              <w:adjustRightInd w:val="0"/>
              <w:ind w:left="0"/>
              <w:jc w:val="both"/>
              <w:rPr>
                <w:rFonts w:cs="Times New Roman"/>
                <w:sz w:val="20"/>
                <w:szCs w:val="20"/>
              </w:rPr>
            </w:pPr>
            <w:r w:rsidRPr="0010035B">
              <w:rPr>
                <w:rFonts w:cs="Times New Roman"/>
                <w:sz w:val="20"/>
                <w:szCs w:val="20"/>
              </w:rPr>
              <w:t>Submit IUFR for quarter ending 31st December 2019</w:t>
            </w:r>
          </w:p>
          <w:p w14:paraId="40838D10" w14:textId="77777777" w:rsidR="0010035B" w:rsidRDefault="0010035B" w:rsidP="003C75C2">
            <w:pPr>
              <w:pStyle w:val="ListParagraph"/>
              <w:autoSpaceDE w:val="0"/>
              <w:autoSpaceDN w:val="0"/>
              <w:adjustRightInd w:val="0"/>
              <w:ind w:left="0"/>
              <w:jc w:val="both"/>
              <w:rPr>
                <w:rFonts w:cs="Times New Roman"/>
                <w:sz w:val="20"/>
                <w:szCs w:val="20"/>
              </w:rPr>
            </w:pPr>
          </w:p>
          <w:p w14:paraId="40B81FB2" w14:textId="77777777" w:rsidR="0010035B" w:rsidRDefault="0010035B" w:rsidP="003C75C2">
            <w:pPr>
              <w:pStyle w:val="ListParagraph"/>
              <w:autoSpaceDE w:val="0"/>
              <w:autoSpaceDN w:val="0"/>
              <w:adjustRightInd w:val="0"/>
              <w:ind w:left="0"/>
              <w:jc w:val="both"/>
              <w:rPr>
                <w:rFonts w:cs="Times New Roman"/>
                <w:sz w:val="20"/>
                <w:szCs w:val="20"/>
              </w:rPr>
            </w:pPr>
            <w:r w:rsidRPr="0010035B">
              <w:rPr>
                <w:rFonts w:cs="Times New Roman"/>
                <w:sz w:val="20"/>
                <w:szCs w:val="20"/>
              </w:rPr>
              <w:t>Submit finalized project financial statements to AG for FY 19</w:t>
            </w:r>
          </w:p>
          <w:p w14:paraId="38CA34E7" w14:textId="77777777" w:rsidR="0010035B" w:rsidRDefault="0010035B" w:rsidP="003C75C2">
            <w:pPr>
              <w:pStyle w:val="ListParagraph"/>
              <w:autoSpaceDE w:val="0"/>
              <w:autoSpaceDN w:val="0"/>
              <w:adjustRightInd w:val="0"/>
              <w:ind w:left="0"/>
              <w:jc w:val="both"/>
              <w:rPr>
                <w:rFonts w:cs="Times New Roman"/>
                <w:sz w:val="20"/>
                <w:szCs w:val="20"/>
              </w:rPr>
            </w:pPr>
          </w:p>
          <w:p w14:paraId="2E804D8B" w14:textId="20AC98FF" w:rsidR="0010035B" w:rsidRPr="00E9431E" w:rsidRDefault="0010035B" w:rsidP="003C75C2">
            <w:pPr>
              <w:pStyle w:val="ListParagraph"/>
              <w:autoSpaceDE w:val="0"/>
              <w:autoSpaceDN w:val="0"/>
              <w:adjustRightInd w:val="0"/>
              <w:ind w:left="0"/>
              <w:jc w:val="both"/>
              <w:rPr>
                <w:rFonts w:cs="Times New Roman"/>
                <w:sz w:val="20"/>
                <w:szCs w:val="20"/>
              </w:rPr>
            </w:pPr>
            <w:r w:rsidRPr="0010035B">
              <w:rPr>
                <w:rFonts w:cs="Times New Roman"/>
                <w:sz w:val="20"/>
                <w:szCs w:val="20"/>
              </w:rPr>
              <w:t>Submit audit report for FY 19 to WB</w:t>
            </w:r>
          </w:p>
        </w:tc>
        <w:tc>
          <w:tcPr>
            <w:tcW w:w="716" w:type="pct"/>
          </w:tcPr>
          <w:p w14:paraId="0B2B9881" w14:textId="22750348" w:rsidR="003C75C2" w:rsidRPr="00E9431E" w:rsidRDefault="003C75C2" w:rsidP="003C75C2">
            <w:pPr>
              <w:pStyle w:val="ListParagraph"/>
              <w:autoSpaceDE w:val="0"/>
              <w:autoSpaceDN w:val="0"/>
              <w:adjustRightInd w:val="0"/>
              <w:ind w:left="0"/>
              <w:jc w:val="both"/>
              <w:rPr>
                <w:rFonts w:cs="Times New Roman"/>
                <w:b/>
                <w:sz w:val="20"/>
                <w:szCs w:val="20"/>
              </w:rPr>
            </w:pPr>
            <w:r>
              <w:rPr>
                <w:rFonts w:cs="Times New Roman"/>
                <w:b/>
                <w:sz w:val="20"/>
                <w:szCs w:val="20"/>
              </w:rPr>
              <w:t>PMU</w:t>
            </w:r>
          </w:p>
        </w:tc>
        <w:tc>
          <w:tcPr>
            <w:tcW w:w="567" w:type="pct"/>
          </w:tcPr>
          <w:p w14:paraId="4ED68865" w14:textId="6C9F4935" w:rsidR="003C75C2" w:rsidRPr="0016743D" w:rsidRDefault="003C75C2" w:rsidP="003C75C2">
            <w:pPr>
              <w:pStyle w:val="ListParagraph"/>
              <w:autoSpaceDE w:val="0"/>
              <w:autoSpaceDN w:val="0"/>
              <w:adjustRightInd w:val="0"/>
              <w:ind w:left="0"/>
              <w:jc w:val="both"/>
              <w:rPr>
                <w:rFonts w:cs="Times New Roman"/>
                <w:sz w:val="20"/>
                <w:szCs w:val="20"/>
              </w:rPr>
            </w:pPr>
            <w:r w:rsidRPr="0016743D">
              <w:rPr>
                <w:rFonts w:cs="Times New Roman"/>
                <w:sz w:val="20"/>
                <w:szCs w:val="20"/>
              </w:rPr>
              <w:t>November</w:t>
            </w:r>
            <w:r w:rsidR="0010035B" w:rsidRPr="0016743D">
              <w:rPr>
                <w:rFonts w:cs="Times New Roman"/>
                <w:sz w:val="20"/>
                <w:szCs w:val="20"/>
              </w:rPr>
              <w:t xml:space="preserve"> 20,</w:t>
            </w:r>
            <w:r w:rsidRPr="0016743D">
              <w:rPr>
                <w:rFonts w:cs="Times New Roman"/>
                <w:sz w:val="20"/>
                <w:szCs w:val="20"/>
              </w:rPr>
              <w:t xml:space="preserve"> 2019</w:t>
            </w:r>
          </w:p>
          <w:p w14:paraId="1BCD81C6" w14:textId="35F841BA" w:rsidR="0010035B" w:rsidRPr="0016743D" w:rsidRDefault="0010035B" w:rsidP="003C75C2">
            <w:pPr>
              <w:pStyle w:val="ListParagraph"/>
              <w:autoSpaceDE w:val="0"/>
              <w:autoSpaceDN w:val="0"/>
              <w:adjustRightInd w:val="0"/>
              <w:ind w:left="0"/>
              <w:jc w:val="both"/>
              <w:rPr>
                <w:rFonts w:cs="Times New Roman"/>
                <w:sz w:val="20"/>
                <w:szCs w:val="20"/>
              </w:rPr>
            </w:pPr>
          </w:p>
          <w:p w14:paraId="0FFE4A46" w14:textId="297420C5" w:rsidR="0010035B" w:rsidRPr="0016743D" w:rsidRDefault="0010035B" w:rsidP="003C75C2">
            <w:pPr>
              <w:pStyle w:val="ListParagraph"/>
              <w:autoSpaceDE w:val="0"/>
              <w:autoSpaceDN w:val="0"/>
              <w:adjustRightInd w:val="0"/>
              <w:ind w:left="0"/>
              <w:jc w:val="both"/>
              <w:rPr>
                <w:rFonts w:cs="Times New Roman"/>
                <w:sz w:val="20"/>
                <w:szCs w:val="20"/>
              </w:rPr>
            </w:pPr>
          </w:p>
          <w:p w14:paraId="6719E807" w14:textId="67E732CD" w:rsidR="0010035B" w:rsidRPr="0016743D" w:rsidRDefault="0010035B" w:rsidP="003C75C2">
            <w:pPr>
              <w:pStyle w:val="ListParagraph"/>
              <w:autoSpaceDE w:val="0"/>
              <w:autoSpaceDN w:val="0"/>
              <w:adjustRightInd w:val="0"/>
              <w:ind w:left="0"/>
              <w:jc w:val="both"/>
              <w:rPr>
                <w:rFonts w:cs="Times New Roman"/>
                <w:sz w:val="20"/>
                <w:szCs w:val="20"/>
              </w:rPr>
            </w:pPr>
            <w:r w:rsidRPr="0016743D">
              <w:rPr>
                <w:rFonts w:cs="Times New Roman"/>
                <w:sz w:val="20"/>
                <w:szCs w:val="20"/>
              </w:rPr>
              <w:t>November 20, 2019</w:t>
            </w:r>
          </w:p>
          <w:p w14:paraId="5ADA7A9B" w14:textId="77777777" w:rsidR="0010035B" w:rsidRPr="0016743D" w:rsidRDefault="0010035B" w:rsidP="003C75C2">
            <w:pPr>
              <w:pStyle w:val="ListParagraph"/>
              <w:autoSpaceDE w:val="0"/>
              <w:autoSpaceDN w:val="0"/>
              <w:adjustRightInd w:val="0"/>
              <w:ind w:left="0"/>
              <w:jc w:val="both"/>
              <w:rPr>
                <w:rFonts w:cs="Times New Roman"/>
                <w:sz w:val="20"/>
                <w:szCs w:val="20"/>
              </w:rPr>
            </w:pPr>
          </w:p>
          <w:p w14:paraId="0893AFF4" w14:textId="77777777" w:rsidR="0010035B" w:rsidRPr="0016743D" w:rsidRDefault="0010035B" w:rsidP="003C75C2">
            <w:pPr>
              <w:pStyle w:val="ListParagraph"/>
              <w:autoSpaceDE w:val="0"/>
              <w:autoSpaceDN w:val="0"/>
              <w:adjustRightInd w:val="0"/>
              <w:ind w:left="0"/>
              <w:jc w:val="both"/>
              <w:rPr>
                <w:rFonts w:cs="Times New Roman"/>
                <w:sz w:val="20"/>
                <w:szCs w:val="20"/>
              </w:rPr>
            </w:pPr>
          </w:p>
          <w:p w14:paraId="228C7C2F" w14:textId="77777777" w:rsidR="0010035B" w:rsidRPr="0016743D" w:rsidRDefault="0010035B" w:rsidP="003C75C2">
            <w:pPr>
              <w:pStyle w:val="ListParagraph"/>
              <w:autoSpaceDE w:val="0"/>
              <w:autoSpaceDN w:val="0"/>
              <w:adjustRightInd w:val="0"/>
              <w:ind w:left="0"/>
              <w:jc w:val="both"/>
              <w:rPr>
                <w:rFonts w:cs="Times New Roman"/>
                <w:sz w:val="20"/>
                <w:szCs w:val="20"/>
              </w:rPr>
            </w:pPr>
          </w:p>
          <w:p w14:paraId="3C892751" w14:textId="77777777" w:rsidR="0010035B" w:rsidRPr="0016743D" w:rsidRDefault="0010035B" w:rsidP="003C75C2">
            <w:pPr>
              <w:pStyle w:val="ListParagraph"/>
              <w:autoSpaceDE w:val="0"/>
              <w:autoSpaceDN w:val="0"/>
              <w:adjustRightInd w:val="0"/>
              <w:ind w:left="0"/>
              <w:jc w:val="both"/>
              <w:rPr>
                <w:rFonts w:cs="Times New Roman"/>
                <w:sz w:val="20"/>
                <w:szCs w:val="20"/>
              </w:rPr>
            </w:pPr>
          </w:p>
          <w:p w14:paraId="17F216B5" w14:textId="3A75587C" w:rsidR="0010035B" w:rsidRPr="0016743D" w:rsidRDefault="0010035B" w:rsidP="003C75C2">
            <w:pPr>
              <w:pStyle w:val="ListParagraph"/>
              <w:autoSpaceDE w:val="0"/>
              <w:autoSpaceDN w:val="0"/>
              <w:adjustRightInd w:val="0"/>
              <w:ind w:left="0"/>
              <w:jc w:val="both"/>
              <w:rPr>
                <w:rFonts w:cs="Times New Roman"/>
                <w:sz w:val="20"/>
                <w:szCs w:val="20"/>
              </w:rPr>
            </w:pPr>
            <w:r w:rsidRPr="0016743D">
              <w:rPr>
                <w:rFonts w:cs="Times New Roman"/>
                <w:sz w:val="20"/>
                <w:szCs w:val="20"/>
              </w:rPr>
              <w:t xml:space="preserve">February </w:t>
            </w:r>
            <w:r w:rsidR="0016743D" w:rsidRPr="0016743D">
              <w:rPr>
                <w:rFonts w:cs="Times New Roman"/>
                <w:sz w:val="20"/>
                <w:szCs w:val="20"/>
              </w:rPr>
              <w:t>15, 2020</w:t>
            </w:r>
          </w:p>
          <w:p w14:paraId="57A5C2C3" w14:textId="77777777" w:rsidR="0010035B" w:rsidRPr="0016743D" w:rsidRDefault="0010035B" w:rsidP="003C75C2">
            <w:pPr>
              <w:pStyle w:val="ListParagraph"/>
              <w:autoSpaceDE w:val="0"/>
              <w:autoSpaceDN w:val="0"/>
              <w:adjustRightInd w:val="0"/>
              <w:ind w:left="0"/>
              <w:jc w:val="both"/>
              <w:rPr>
                <w:rFonts w:cs="Times New Roman"/>
                <w:sz w:val="20"/>
                <w:szCs w:val="20"/>
              </w:rPr>
            </w:pPr>
          </w:p>
          <w:p w14:paraId="4089D8B6" w14:textId="4139FFE8" w:rsidR="0010035B" w:rsidRPr="0016743D" w:rsidRDefault="0010035B" w:rsidP="003C75C2">
            <w:pPr>
              <w:pStyle w:val="ListParagraph"/>
              <w:autoSpaceDE w:val="0"/>
              <w:autoSpaceDN w:val="0"/>
              <w:adjustRightInd w:val="0"/>
              <w:ind w:left="0"/>
              <w:jc w:val="both"/>
              <w:rPr>
                <w:rFonts w:cs="Times New Roman"/>
                <w:sz w:val="20"/>
                <w:szCs w:val="20"/>
              </w:rPr>
            </w:pPr>
            <w:r w:rsidRPr="0016743D">
              <w:rPr>
                <w:rFonts w:cs="Times New Roman"/>
                <w:sz w:val="20"/>
                <w:szCs w:val="20"/>
              </w:rPr>
              <w:t>March 31, 2020</w:t>
            </w:r>
          </w:p>
          <w:p w14:paraId="05426CFE" w14:textId="77777777" w:rsidR="0010035B" w:rsidRPr="0016743D" w:rsidRDefault="0010035B" w:rsidP="003C75C2">
            <w:pPr>
              <w:pStyle w:val="ListParagraph"/>
              <w:autoSpaceDE w:val="0"/>
              <w:autoSpaceDN w:val="0"/>
              <w:adjustRightInd w:val="0"/>
              <w:ind w:left="0"/>
              <w:jc w:val="both"/>
              <w:rPr>
                <w:rFonts w:cs="Times New Roman"/>
                <w:sz w:val="20"/>
                <w:szCs w:val="20"/>
              </w:rPr>
            </w:pPr>
          </w:p>
          <w:p w14:paraId="22863986" w14:textId="3E2E8A5B" w:rsidR="0010035B" w:rsidRPr="00E9431E" w:rsidRDefault="0010035B" w:rsidP="003C75C2">
            <w:pPr>
              <w:pStyle w:val="ListParagraph"/>
              <w:autoSpaceDE w:val="0"/>
              <w:autoSpaceDN w:val="0"/>
              <w:adjustRightInd w:val="0"/>
              <w:ind w:left="0"/>
              <w:jc w:val="both"/>
              <w:rPr>
                <w:rFonts w:cs="Times New Roman"/>
                <w:b/>
                <w:sz w:val="20"/>
                <w:szCs w:val="20"/>
              </w:rPr>
            </w:pPr>
            <w:r w:rsidRPr="0016743D">
              <w:rPr>
                <w:rFonts w:cs="Times New Roman"/>
                <w:sz w:val="20"/>
                <w:szCs w:val="20"/>
              </w:rPr>
              <w:t xml:space="preserve">June </w:t>
            </w:r>
            <w:r w:rsidR="0016743D" w:rsidRPr="0016743D">
              <w:rPr>
                <w:rFonts w:cs="Times New Roman"/>
                <w:sz w:val="20"/>
                <w:szCs w:val="20"/>
              </w:rPr>
              <w:t>30, 2020</w:t>
            </w:r>
          </w:p>
        </w:tc>
      </w:tr>
      <w:tr w:rsidR="00766981" w:rsidRPr="00E9431E" w14:paraId="2F0A1788" w14:textId="77777777" w:rsidTr="00766981">
        <w:tc>
          <w:tcPr>
            <w:tcW w:w="1011" w:type="pct"/>
            <w:vAlign w:val="center"/>
          </w:tcPr>
          <w:p w14:paraId="5247F59C" w14:textId="6946D46A" w:rsidR="00766981" w:rsidRPr="00E9431E" w:rsidRDefault="00766981" w:rsidP="00766981">
            <w:pPr>
              <w:pStyle w:val="ListParagraph"/>
              <w:autoSpaceDE w:val="0"/>
              <w:autoSpaceDN w:val="0"/>
              <w:adjustRightInd w:val="0"/>
              <w:ind w:left="0"/>
              <w:rPr>
                <w:rFonts w:cs="Times New Roman"/>
                <w:b/>
                <w:bCs/>
                <w:iCs/>
                <w:sz w:val="20"/>
                <w:szCs w:val="20"/>
              </w:rPr>
            </w:pPr>
            <w:r w:rsidRPr="00E9431E">
              <w:rPr>
                <w:rFonts w:cs="Times New Roman"/>
                <w:b/>
                <w:bCs/>
                <w:iCs/>
                <w:sz w:val="20"/>
                <w:szCs w:val="20"/>
              </w:rPr>
              <w:t>Monitoring and Evaluation</w:t>
            </w:r>
          </w:p>
        </w:tc>
        <w:tc>
          <w:tcPr>
            <w:tcW w:w="1341" w:type="pct"/>
          </w:tcPr>
          <w:p w14:paraId="2DA639DD" w14:textId="606EC37B" w:rsidR="00766981" w:rsidRPr="00766981" w:rsidRDefault="00766981" w:rsidP="00766981">
            <w:pPr>
              <w:pStyle w:val="ListParagraph"/>
              <w:autoSpaceDE w:val="0"/>
              <w:autoSpaceDN w:val="0"/>
              <w:adjustRightInd w:val="0"/>
              <w:ind w:left="0"/>
              <w:jc w:val="both"/>
              <w:rPr>
                <w:rFonts w:cs="Times New Roman"/>
                <w:sz w:val="20"/>
                <w:szCs w:val="20"/>
              </w:rPr>
            </w:pPr>
            <w:r>
              <w:rPr>
                <w:rFonts w:cs="Times New Roman"/>
                <w:sz w:val="20"/>
                <w:szCs w:val="20"/>
              </w:rPr>
              <w:t>PMU has been submitting quarterly progress reports on time.</w:t>
            </w:r>
          </w:p>
        </w:tc>
        <w:tc>
          <w:tcPr>
            <w:tcW w:w="1365" w:type="pct"/>
          </w:tcPr>
          <w:p w14:paraId="5D06A51B" w14:textId="13D53542" w:rsidR="00766981" w:rsidRPr="00E9431E" w:rsidRDefault="00766981" w:rsidP="00766981">
            <w:pPr>
              <w:pStyle w:val="ListParagraph"/>
              <w:autoSpaceDE w:val="0"/>
              <w:autoSpaceDN w:val="0"/>
              <w:adjustRightInd w:val="0"/>
              <w:ind w:left="0"/>
              <w:jc w:val="both"/>
              <w:rPr>
                <w:rFonts w:cs="Times New Roman"/>
                <w:b/>
                <w:sz w:val="20"/>
                <w:szCs w:val="20"/>
              </w:rPr>
            </w:pPr>
            <w:r w:rsidRPr="00E9431E">
              <w:rPr>
                <w:rFonts w:cs="Times New Roman"/>
                <w:bCs/>
                <w:sz w:val="22"/>
              </w:rPr>
              <w:t>The mission reiterated the need for more frequent steering committee meetings, at least every quarter to provide strategic guidance to the project and monitor implementation progress based on a traffic light system.</w:t>
            </w:r>
          </w:p>
        </w:tc>
        <w:tc>
          <w:tcPr>
            <w:tcW w:w="716" w:type="pct"/>
          </w:tcPr>
          <w:p w14:paraId="62F8E422" w14:textId="5C868FF8" w:rsidR="00766981" w:rsidRPr="00766981" w:rsidRDefault="00766981" w:rsidP="00766981">
            <w:pPr>
              <w:pStyle w:val="ListParagraph"/>
              <w:autoSpaceDE w:val="0"/>
              <w:autoSpaceDN w:val="0"/>
              <w:adjustRightInd w:val="0"/>
              <w:ind w:left="0"/>
              <w:jc w:val="both"/>
              <w:rPr>
                <w:rFonts w:cs="Times New Roman"/>
                <w:sz w:val="20"/>
                <w:szCs w:val="20"/>
              </w:rPr>
            </w:pPr>
            <w:r w:rsidRPr="00766981">
              <w:rPr>
                <w:rFonts w:cs="Times New Roman"/>
                <w:sz w:val="20"/>
                <w:szCs w:val="20"/>
              </w:rPr>
              <w:t>PMU</w:t>
            </w:r>
          </w:p>
        </w:tc>
        <w:tc>
          <w:tcPr>
            <w:tcW w:w="567" w:type="pct"/>
          </w:tcPr>
          <w:p w14:paraId="0154D8B4" w14:textId="57EBFF4D" w:rsidR="00766981" w:rsidRPr="00766981" w:rsidRDefault="00766981" w:rsidP="00766981">
            <w:pPr>
              <w:pStyle w:val="ListParagraph"/>
              <w:autoSpaceDE w:val="0"/>
              <w:autoSpaceDN w:val="0"/>
              <w:adjustRightInd w:val="0"/>
              <w:ind w:left="0"/>
              <w:jc w:val="both"/>
              <w:rPr>
                <w:rFonts w:cs="Times New Roman"/>
                <w:sz w:val="20"/>
                <w:szCs w:val="20"/>
              </w:rPr>
            </w:pPr>
            <w:r w:rsidRPr="00766981">
              <w:rPr>
                <w:rFonts w:cs="Times New Roman"/>
                <w:sz w:val="20"/>
                <w:szCs w:val="20"/>
              </w:rPr>
              <w:t>December 31, 2019</w:t>
            </w:r>
          </w:p>
        </w:tc>
      </w:tr>
    </w:tbl>
    <w:p w14:paraId="20B42E4A" w14:textId="7BF7BFFD" w:rsidR="0077054C" w:rsidRPr="00C01218" w:rsidRDefault="0077054C" w:rsidP="0077054C">
      <w:pPr>
        <w:widowControl w:val="0"/>
        <w:autoSpaceDE w:val="0"/>
        <w:autoSpaceDN w:val="0"/>
        <w:adjustRightInd w:val="0"/>
        <w:spacing w:line="240" w:lineRule="atLeast"/>
        <w:rPr>
          <w:b/>
          <w:sz w:val="22"/>
        </w:rPr>
      </w:pPr>
    </w:p>
    <w:p w14:paraId="4A97F5A9" w14:textId="26736A66" w:rsidR="0044195C" w:rsidRPr="002D2C9A" w:rsidRDefault="0044195C" w:rsidP="0044195C">
      <w:pPr>
        <w:spacing w:after="0"/>
        <w:jc w:val="both"/>
        <w:rPr>
          <w:rFonts w:cs="Times New Roman"/>
          <w:b/>
          <w:bCs/>
          <w:sz w:val="22"/>
        </w:rPr>
      </w:pPr>
      <w:r w:rsidRPr="002D2C9A">
        <w:rPr>
          <w:rFonts w:cs="Times New Roman"/>
          <w:b/>
          <w:bCs/>
          <w:sz w:val="22"/>
        </w:rPr>
        <w:t>Table 1: New Agreed Actions</w:t>
      </w:r>
    </w:p>
    <w:tbl>
      <w:tblPr>
        <w:tblStyle w:val="TableGrid"/>
        <w:tblW w:w="9581" w:type="dxa"/>
        <w:tblLook w:val="04A0" w:firstRow="1" w:lastRow="0" w:firstColumn="1" w:lastColumn="0" w:noHBand="0" w:noVBand="1"/>
      </w:tblPr>
      <w:tblGrid>
        <w:gridCol w:w="5902"/>
        <w:gridCol w:w="1670"/>
        <w:gridCol w:w="2009"/>
      </w:tblGrid>
      <w:tr w:rsidR="0044195C" w:rsidRPr="00E9431E" w14:paraId="45016745" w14:textId="77777777" w:rsidTr="00E47AD4">
        <w:tc>
          <w:tcPr>
            <w:tcW w:w="5902" w:type="dxa"/>
          </w:tcPr>
          <w:p w14:paraId="42B83BB9" w14:textId="77777777" w:rsidR="0044195C" w:rsidRPr="00E9431E" w:rsidRDefault="0044195C" w:rsidP="00E47AD4">
            <w:pPr>
              <w:pStyle w:val="Default"/>
              <w:jc w:val="both"/>
              <w:rPr>
                <w:b/>
                <w:sz w:val="20"/>
                <w:szCs w:val="20"/>
              </w:rPr>
            </w:pPr>
            <w:bookmarkStart w:id="3" w:name="_Hlk24987288"/>
            <w:r w:rsidRPr="00E9431E">
              <w:rPr>
                <w:b/>
                <w:sz w:val="20"/>
                <w:szCs w:val="20"/>
              </w:rPr>
              <w:t>Action</w:t>
            </w:r>
          </w:p>
        </w:tc>
        <w:tc>
          <w:tcPr>
            <w:tcW w:w="1670" w:type="dxa"/>
          </w:tcPr>
          <w:p w14:paraId="30D7EE31" w14:textId="77777777" w:rsidR="0044195C" w:rsidRPr="00E9431E" w:rsidRDefault="0044195C" w:rsidP="00E47AD4">
            <w:pPr>
              <w:pStyle w:val="Default"/>
              <w:jc w:val="both"/>
              <w:rPr>
                <w:b/>
                <w:sz w:val="20"/>
                <w:szCs w:val="20"/>
              </w:rPr>
            </w:pPr>
            <w:r w:rsidRPr="00E9431E">
              <w:rPr>
                <w:b/>
                <w:sz w:val="20"/>
                <w:szCs w:val="20"/>
              </w:rPr>
              <w:t xml:space="preserve">Responsibility </w:t>
            </w:r>
          </w:p>
        </w:tc>
        <w:tc>
          <w:tcPr>
            <w:tcW w:w="2009" w:type="dxa"/>
          </w:tcPr>
          <w:p w14:paraId="66D99A4D" w14:textId="77777777" w:rsidR="0044195C" w:rsidRPr="00E9431E" w:rsidRDefault="0044195C" w:rsidP="00E47AD4">
            <w:pPr>
              <w:pStyle w:val="Default"/>
              <w:jc w:val="both"/>
              <w:rPr>
                <w:b/>
                <w:sz w:val="20"/>
                <w:szCs w:val="20"/>
              </w:rPr>
            </w:pPr>
            <w:r w:rsidRPr="00E9431E">
              <w:rPr>
                <w:b/>
                <w:sz w:val="20"/>
                <w:szCs w:val="20"/>
              </w:rPr>
              <w:t>Timeline</w:t>
            </w:r>
          </w:p>
        </w:tc>
      </w:tr>
      <w:tr w:rsidR="0044195C" w:rsidRPr="00E9431E" w14:paraId="2CC73A80" w14:textId="77777777" w:rsidTr="00E47AD4">
        <w:tc>
          <w:tcPr>
            <w:tcW w:w="5902" w:type="dxa"/>
          </w:tcPr>
          <w:p w14:paraId="4312EBA3" w14:textId="77777777" w:rsidR="0044195C" w:rsidRPr="00E9431E" w:rsidDel="009F59BF" w:rsidRDefault="0044195C" w:rsidP="00E47AD4">
            <w:pPr>
              <w:pStyle w:val="Default"/>
              <w:jc w:val="both"/>
              <w:rPr>
                <w:sz w:val="20"/>
                <w:szCs w:val="20"/>
              </w:rPr>
            </w:pPr>
            <w:r w:rsidRPr="00E9431E">
              <w:rPr>
                <w:sz w:val="20"/>
                <w:szCs w:val="20"/>
              </w:rPr>
              <w:t>Recruitment of the SOE expert</w:t>
            </w:r>
          </w:p>
        </w:tc>
        <w:tc>
          <w:tcPr>
            <w:tcW w:w="1670" w:type="dxa"/>
          </w:tcPr>
          <w:p w14:paraId="47E6B770" w14:textId="77777777" w:rsidR="0044195C" w:rsidRPr="00E9431E" w:rsidDel="009F59BF" w:rsidRDefault="0044195C" w:rsidP="00E47AD4">
            <w:pPr>
              <w:pStyle w:val="Default"/>
              <w:jc w:val="both"/>
              <w:rPr>
                <w:sz w:val="20"/>
                <w:szCs w:val="20"/>
              </w:rPr>
            </w:pPr>
            <w:r w:rsidRPr="00E9431E">
              <w:rPr>
                <w:sz w:val="20"/>
                <w:szCs w:val="20"/>
              </w:rPr>
              <w:t>MOFT/ PCB</w:t>
            </w:r>
          </w:p>
        </w:tc>
        <w:tc>
          <w:tcPr>
            <w:tcW w:w="2009" w:type="dxa"/>
          </w:tcPr>
          <w:p w14:paraId="79181AC0" w14:textId="77777777" w:rsidR="0044195C" w:rsidRPr="00E9431E" w:rsidDel="009F59BF" w:rsidRDefault="0044195C" w:rsidP="00E47AD4">
            <w:pPr>
              <w:pStyle w:val="Default"/>
              <w:jc w:val="both"/>
              <w:rPr>
                <w:sz w:val="20"/>
                <w:szCs w:val="20"/>
              </w:rPr>
            </w:pPr>
            <w:r w:rsidRPr="00E9431E">
              <w:rPr>
                <w:sz w:val="20"/>
                <w:szCs w:val="20"/>
              </w:rPr>
              <w:t>December 2019</w:t>
            </w:r>
          </w:p>
        </w:tc>
      </w:tr>
      <w:tr w:rsidR="0044195C" w:rsidRPr="00E9431E" w14:paraId="09BDA906" w14:textId="77777777" w:rsidTr="00E47AD4">
        <w:tc>
          <w:tcPr>
            <w:tcW w:w="5902" w:type="dxa"/>
          </w:tcPr>
          <w:p w14:paraId="03D3F46A" w14:textId="77777777" w:rsidR="0044195C" w:rsidRPr="00E9431E" w:rsidRDefault="0044195C" w:rsidP="00E47AD4">
            <w:pPr>
              <w:pStyle w:val="Default"/>
              <w:jc w:val="both"/>
              <w:rPr>
                <w:sz w:val="20"/>
                <w:szCs w:val="20"/>
              </w:rPr>
            </w:pPr>
            <w:r w:rsidRPr="00E9431E">
              <w:rPr>
                <w:sz w:val="20"/>
                <w:szCs w:val="20"/>
              </w:rPr>
              <w:t>Share the notification on establishing a civil service registry</w:t>
            </w:r>
          </w:p>
        </w:tc>
        <w:tc>
          <w:tcPr>
            <w:tcW w:w="1670" w:type="dxa"/>
          </w:tcPr>
          <w:p w14:paraId="75544153" w14:textId="77777777" w:rsidR="0044195C" w:rsidRPr="00E9431E" w:rsidRDefault="0044195C" w:rsidP="00E47AD4">
            <w:pPr>
              <w:pStyle w:val="Default"/>
              <w:jc w:val="both"/>
              <w:rPr>
                <w:sz w:val="20"/>
                <w:szCs w:val="20"/>
              </w:rPr>
            </w:pPr>
            <w:r w:rsidRPr="00E9431E">
              <w:rPr>
                <w:sz w:val="20"/>
                <w:szCs w:val="20"/>
              </w:rPr>
              <w:t>NPC and PIU</w:t>
            </w:r>
          </w:p>
        </w:tc>
        <w:tc>
          <w:tcPr>
            <w:tcW w:w="2009" w:type="dxa"/>
          </w:tcPr>
          <w:p w14:paraId="3C5AFD8C" w14:textId="77777777" w:rsidR="0044195C" w:rsidRPr="00E9431E" w:rsidRDefault="0044195C" w:rsidP="00E47AD4">
            <w:pPr>
              <w:pStyle w:val="Default"/>
              <w:jc w:val="both"/>
              <w:rPr>
                <w:sz w:val="20"/>
                <w:szCs w:val="20"/>
              </w:rPr>
            </w:pPr>
            <w:r w:rsidRPr="00E9431E">
              <w:rPr>
                <w:sz w:val="20"/>
                <w:szCs w:val="20"/>
              </w:rPr>
              <w:t>November 24, 2019</w:t>
            </w:r>
          </w:p>
        </w:tc>
      </w:tr>
      <w:tr w:rsidR="0044195C" w:rsidRPr="00E9431E" w14:paraId="1E0700FE" w14:textId="77777777" w:rsidTr="00E47AD4">
        <w:tc>
          <w:tcPr>
            <w:tcW w:w="5902" w:type="dxa"/>
          </w:tcPr>
          <w:p w14:paraId="4C09F165" w14:textId="77777777" w:rsidR="0044195C" w:rsidRPr="00E9431E" w:rsidRDefault="0044195C" w:rsidP="00E47AD4">
            <w:pPr>
              <w:pStyle w:val="Default"/>
              <w:jc w:val="both"/>
              <w:rPr>
                <w:sz w:val="20"/>
                <w:szCs w:val="20"/>
              </w:rPr>
            </w:pPr>
            <w:r w:rsidRPr="00E9431E">
              <w:rPr>
                <w:sz w:val="20"/>
                <w:szCs w:val="20"/>
              </w:rPr>
              <w:t>Convene a meeting with the PAC Chair to explore avenues of training the PAC Secretariat.</w:t>
            </w:r>
          </w:p>
        </w:tc>
        <w:tc>
          <w:tcPr>
            <w:tcW w:w="1670" w:type="dxa"/>
          </w:tcPr>
          <w:p w14:paraId="347E7B98" w14:textId="77777777" w:rsidR="0044195C" w:rsidRPr="00E9431E" w:rsidRDefault="0044195C" w:rsidP="00E47AD4">
            <w:pPr>
              <w:pStyle w:val="Default"/>
              <w:jc w:val="both"/>
              <w:rPr>
                <w:sz w:val="20"/>
                <w:szCs w:val="20"/>
              </w:rPr>
            </w:pPr>
            <w:r w:rsidRPr="00E9431E">
              <w:rPr>
                <w:sz w:val="20"/>
                <w:szCs w:val="20"/>
              </w:rPr>
              <w:t>AGO and PIU</w:t>
            </w:r>
          </w:p>
        </w:tc>
        <w:tc>
          <w:tcPr>
            <w:tcW w:w="2009" w:type="dxa"/>
          </w:tcPr>
          <w:p w14:paraId="73585021" w14:textId="77777777" w:rsidR="0044195C" w:rsidRPr="00E9431E" w:rsidRDefault="0044195C" w:rsidP="00E47AD4">
            <w:pPr>
              <w:pStyle w:val="Default"/>
              <w:jc w:val="both"/>
              <w:rPr>
                <w:sz w:val="20"/>
                <w:szCs w:val="20"/>
              </w:rPr>
            </w:pPr>
            <w:r w:rsidRPr="00E9431E">
              <w:rPr>
                <w:sz w:val="20"/>
                <w:szCs w:val="20"/>
              </w:rPr>
              <w:t>December 31, 2019</w:t>
            </w:r>
          </w:p>
        </w:tc>
      </w:tr>
      <w:tr w:rsidR="0044195C" w:rsidRPr="00E9431E" w14:paraId="05CDAA01" w14:textId="77777777" w:rsidTr="00E47AD4">
        <w:tc>
          <w:tcPr>
            <w:tcW w:w="5902" w:type="dxa"/>
          </w:tcPr>
          <w:p w14:paraId="0DBDE59F" w14:textId="77777777" w:rsidR="0044195C" w:rsidRPr="00E9431E" w:rsidRDefault="0044195C" w:rsidP="00E47AD4">
            <w:pPr>
              <w:pStyle w:val="Default"/>
              <w:jc w:val="both"/>
              <w:rPr>
                <w:sz w:val="20"/>
                <w:szCs w:val="20"/>
              </w:rPr>
            </w:pPr>
            <w:r w:rsidRPr="00E9431E">
              <w:rPr>
                <w:sz w:val="20"/>
                <w:szCs w:val="20"/>
              </w:rPr>
              <w:t>Provide a list of IPSAS cash-basis non- compliance issues</w:t>
            </w:r>
          </w:p>
        </w:tc>
        <w:tc>
          <w:tcPr>
            <w:tcW w:w="1670" w:type="dxa"/>
          </w:tcPr>
          <w:p w14:paraId="491EB3F7" w14:textId="77777777" w:rsidR="0044195C" w:rsidRPr="00E9431E" w:rsidRDefault="0044195C" w:rsidP="00E47AD4">
            <w:pPr>
              <w:pStyle w:val="Default"/>
              <w:jc w:val="both"/>
              <w:rPr>
                <w:sz w:val="20"/>
                <w:szCs w:val="20"/>
              </w:rPr>
            </w:pPr>
            <w:r w:rsidRPr="00E9431E">
              <w:rPr>
                <w:sz w:val="20"/>
                <w:szCs w:val="20"/>
              </w:rPr>
              <w:t>FC and PIU</w:t>
            </w:r>
          </w:p>
        </w:tc>
        <w:tc>
          <w:tcPr>
            <w:tcW w:w="2009" w:type="dxa"/>
          </w:tcPr>
          <w:p w14:paraId="39EAF534" w14:textId="77777777" w:rsidR="0044195C" w:rsidRPr="00E9431E" w:rsidRDefault="0044195C" w:rsidP="00E47AD4">
            <w:pPr>
              <w:pStyle w:val="Default"/>
              <w:jc w:val="both"/>
              <w:rPr>
                <w:sz w:val="20"/>
                <w:szCs w:val="20"/>
              </w:rPr>
            </w:pPr>
            <w:r w:rsidRPr="00E9431E">
              <w:rPr>
                <w:sz w:val="20"/>
                <w:szCs w:val="20"/>
              </w:rPr>
              <w:t>December 31, 2019</w:t>
            </w:r>
          </w:p>
        </w:tc>
      </w:tr>
      <w:tr w:rsidR="0044195C" w:rsidRPr="00E9431E" w14:paraId="3196CD66" w14:textId="77777777" w:rsidTr="00E47AD4">
        <w:tc>
          <w:tcPr>
            <w:tcW w:w="5902" w:type="dxa"/>
          </w:tcPr>
          <w:p w14:paraId="3DFFA13C" w14:textId="77777777" w:rsidR="0044195C" w:rsidRPr="00E9431E" w:rsidRDefault="0044195C" w:rsidP="00E47AD4">
            <w:pPr>
              <w:pStyle w:val="Default"/>
              <w:jc w:val="both"/>
              <w:rPr>
                <w:sz w:val="20"/>
                <w:szCs w:val="20"/>
              </w:rPr>
            </w:pPr>
            <w:r w:rsidRPr="00E9431E">
              <w:rPr>
                <w:sz w:val="20"/>
                <w:szCs w:val="20"/>
              </w:rPr>
              <w:t>The PCB will share a joint circular with MoF on performance evaluation</w:t>
            </w:r>
          </w:p>
        </w:tc>
        <w:tc>
          <w:tcPr>
            <w:tcW w:w="1670" w:type="dxa"/>
          </w:tcPr>
          <w:p w14:paraId="12D94F78" w14:textId="77777777" w:rsidR="0044195C" w:rsidRPr="00E9431E" w:rsidRDefault="0044195C" w:rsidP="00E47AD4">
            <w:pPr>
              <w:pStyle w:val="Default"/>
              <w:jc w:val="both"/>
              <w:rPr>
                <w:sz w:val="20"/>
                <w:szCs w:val="20"/>
              </w:rPr>
            </w:pPr>
            <w:r w:rsidRPr="00E9431E">
              <w:rPr>
                <w:sz w:val="20"/>
                <w:szCs w:val="20"/>
              </w:rPr>
              <w:t>PCB and PIU</w:t>
            </w:r>
          </w:p>
        </w:tc>
        <w:tc>
          <w:tcPr>
            <w:tcW w:w="2009" w:type="dxa"/>
          </w:tcPr>
          <w:p w14:paraId="35CA6BD0" w14:textId="77777777" w:rsidR="0044195C" w:rsidRPr="00E9431E" w:rsidRDefault="0044195C" w:rsidP="00E47AD4">
            <w:pPr>
              <w:pStyle w:val="Default"/>
              <w:jc w:val="both"/>
              <w:rPr>
                <w:sz w:val="20"/>
                <w:szCs w:val="20"/>
              </w:rPr>
            </w:pPr>
            <w:r w:rsidRPr="00E9431E">
              <w:rPr>
                <w:sz w:val="20"/>
                <w:szCs w:val="20"/>
              </w:rPr>
              <w:t>November 24, 2019</w:t>
            </w:r>
          </w:p>
        </w:tc>
      </w:tr>
      <w:tr w:rsidR="0044195C" w:rsidRPr="00E9431E" w14:paraId="47E7FCF8" w14:textId="77777777" w:rsidTr="00E47AD4">
        <w:tc>
          <w:tcPr>
            <w:tcW w:w="5902" w:type="dxa"/>
          </w:tcPr>
          <w:p w14:paraId="01529CCC" w14:textId="77777777" w:rsidR="0044195C" w:rsidRPr="00E9431E" w:rsidRDefault="0044195C" w:rsidP="00E47AD4">
            <w:pPr>
              <w:pStyle w:val="Default"/>
              <w:jc w:val="both"/>
              <w:rPr>
                <w:sz w:val="20"/>
                <w:szCs w:val="20"/>
              </w:rPr>
            </w:pPr>
            <w:r w:rsidRPr="00E9431E">
              <w:rPr>
                <w:sz w:val="20"/>
                <w:szCs w:val="20"/>
              </w:rPr>
              <w:t>Recruit an expert on Citizen Participatory Audit</w:t>
            </w:r>
          </w:p>
        </w:tc>
        <w:tc>
          <w:tcPr>
            <w:tcW w:w="1670" w:type="dxa"/>
          </w:tcPr>
          <w:p w14:paraId="5955F04F" w14:textId="77777777" w:rsidR="0044195C" w:rsidRPr="00E9431E" w:rsidRDefault="0044195C" w:rsidP="00E47AD4">
            <w:pPr>
              <w:pStyle w:val="Default"/>
              <w:jc w:val="both"/>
              <w:rPr>
                <w:sz w:val="20"/>
                <w:szCs w:val="20"/>
              </w:rPr>
            </w:pPr>
            <w:r w:rsidRPr="00E9431E">
              <w:rPr>
                <w:sz w:val="20"/>
                <w:szCs w:val="20"/>
              </w:rPr>
              <w:t>AGO</w:t>
            </w:r>
          </w:p>
        </w:tc>
        <w:tc>
          <w:tcPr>
            <w:tcW w:w="2009" w:type="dxa"/>
          </w:tcPr>
          <w:p w14:paraId="50F0FB5D" w14:textId="228407B0" w:rsidR="0044195C" w:rsidRPr="00E9431E" w:rsidRDefault="00766981" w:rsidP="00E47AD4">
            <w:pPr>
              <w:pStyle w:val="Default"/>
              <w:jc w:val="both"/>
              <w:rPr>
                <w:sz w:val="20"/>
                <w:szCs w:val="20"/>
              </w:rPr>
            </w:pPr>
            <w:r w:rsidRPr="00E9431E">
              <w:rPr>
                <w:sz w:val="20"/>
                <w:szCs w:val="20"/>
              </w:rPr>
              <w:t>January 30</w:t>
            </w:r>
            <w:r w:rsidR="0044195C" w:rsidRPr="00E9431E">
              <w:rPr>
                <w:sz w:val="20"/>
                <w:szCs w:val="20"/>
              </w:rPr>
              <w:t>, 2019</w:t>
            </w:r>
          </w:p>
        </w:tc>
      </w:tr>
      <w:tr w:rsidR="007605A3" w:rsidRPr="00E9431E" w14:paraId="03E7CDEA" w14:textId="77777777" w:rsidTr="00E47AD4">
        <w:tc>
          <w:tcPr>
            <w:tcW w:w="5902" w:type="dxa"/>
          </w:tcPr>
          <w:p w14:paraId="43CC4C92" w14:textId="067A0EB9" w:rsidR="007605A3" w:rsidRPr="00E9431E" w:rsidRDefault="007605A3" w:rsidP="007605A3">
            <w:pPr>
              <w:pStyle w:val="Default"/>
              <w:jc w:val="both"/>
              <w:rPr>
                <w:sz w:val="20"/>
                <w:szCs w:val="20"/>
              </w:rPr>
            </w:pPr>
            <w:r w:rsidRPr="00E9431E">
              <w:rPr>
                <w:sz w:val="20"/>
                <w:szCs w:val="20"/>
              </w:rPr>
              <w:t>Share the composition of the new Steering Committee along with its notification and minutes of meeting</w:t>
            </w:r>
          </w:p>
        </w:tc>
        <w:tc>
          <w:tcPr>
            <w:tcW w:w="1670" w:type="dxa"/>
          </w:tcPr>
          <w:p w14:paraId="0FA258AE" w14:textId="6CAB8865" w:rsidR="007605A3" w:rsidRPr="00E9431E" w:rsidRDefault="007605A3" w:rsidP="007605A3">
            <w:pPr>
              <w:pStyle w:val="Default"/>
              <w:jc w:val="both"/>
              <w:rPr>
                <w:sz w:val="20"/>
                <w:szCs w:val="20"/>
              </w:rPr>
            </w:pPr>
            <w:r w:rsidRPr="00E9431E">
              <w:rPr>
                <w:sz w:val="20"/>
                <w:szCs w:val="20"/>
              </w:rPr>
              <w:t>PIU</w:t>
            </w:r>
          </w:p>
        </w:tc>
        <w:tc>
          <w:tcPr>
            <w:tcW w:w="2009" w:type="dxa"/>
          </w:tcPr>
          <w:p w14:paraId="6230C44E" w14:textId="0B9C7C83" w:rsidR="007605A3" w:rsidRPr="00E9431E" w:rsidRDefault="007605A3" w:rsidP="007605A3">
            <w:pPr>
              <w:pStyle w:val="Default"/>
              <w:jc w:val="both"/>
              <w:rPr>
                <w:sz w:val="20"/>
                <w:szCs w:val="20"/>
              </w:rPr>
            </w:pPr>
            <w:r w:rsidRPr="00E9431E">
              <w:rPr>
                <w:sz w:val="20"/>
                <w:szCs w:val="20"/>
              </w:rPr>
              <w:t>November 30, 2019</w:t>
            </w:r>
          </w:p>
        </w:tc>
      </w:tr>
      <w:tr w:rsidR="007605A3" w:rsidRPr="00E9431E" w14:paraId="121E37CD" w14:textId="77777777" w:rsidTr="00E47AD4">
        <w:tc>
          <w:tcPr>
            <w:tcW w:w="5902" w:type="dxa"/>
          </w:tcPr>
          <w:p w14:paraId="6ED33ADC" w14:textId="3328CEDB" w:rsidR="007605A3" w:rsidRPr="00E9431E" w:rsidRDefault="007605A3" w:rsidP="007605A3">
            <w:pPr>
              <w:pStyle w:val="Default"/>
              <w:jc w:val="both"/>
              <w:rPr>
                <w:sz w:val="20"/>
                <w:szCs w:val="20"/>
              </w:rPr>
            </w:pPr>
            <w:r w:rsidRPr="00E9431E">
              <w:rPr>
                <w:sz w:val="20"/>
                <w:szCs w:val="20"/>
              </w:rPr>
              <w:t xml:space="preserve">Establish inter-departmental working groups for key cross cutting reforms, such as PIM/ Asset management, accounts and financial reporting, SOEs and contingent liabilities.  </w:t>
            </w:r>
          </w:p>
        </w:tc>
        <w:tc>
          <w:tcPr>
            <w:tcW w:w="1670" w:type="dxa"/>
          </w:tcPr>
          <w:p w14:paraId="3885F43F" w14:textId="3F946BF8" w:rsidR="007605A3" w:rsidRPr="00E9431E" w:rsidRDefault="007605A3" w:rsidP="007605A3">
            <w:pPr>
              <w:pStyle w:val="Default"/>
              <w:jc w:val="both"/>
              <w:rPr>
                <w:sz w:val="20"/>
                <w:szCs w:val="20"/>
              </w:rPr>
            </w:pPr>
            <w:proofErr w:type="spellStart"/>
            <w:r w:rsidRPr="00E9431E">
              <w:rPr>
                <w:sz w:val="20"/>
                <w:szCs w:val="20"/>
              </w:rPr>
              <w:t>MoFT</w:t>
            </w:r>
            <w:proofErr w:type="spellEnd"/>
          </w:p>
        </w:tc>
        <w:tc>
          <w:tcPr>
            <w:tcW w:w="2009" w:type="dxa"/>
          </w:tcPr>
          <w:p w14:paraId="05F7E524" w14:textId="3BFEDCB7" w:rsidR="007605A3" w:rsidRPr="00E9431E" w:rsidRDefault="007605A3" w:rsidP="007605A3">
            <w:pPr>
              <w:pStyle w:val="Default"/>
              <w:jc w:val="both"/>
              <w:rPr>
                <w:sz w:val="20"/>
                <w:szCs w:val="20"/>
              </w:rPr>
            </w:pPr>
            <w:r w:rsidRPr="00E9431E">
              <w:rPr>
                <w:sz w:val="20"/>
                <w:szCs w:val="20"/>
              </w:rPr>
              <w:t>November 2019</w:t>
            </w:r>
          </w:p>
        </w:tc>
      </w:tr>
      <w:tr w:rsidR="007605A3" w:rsidRPr="00E9431E" w14:paraId="407F1B40" w14:textId="77777777" w:rsidTr="00E47AD4">
        <w:tc>
          <w:tcPr>
            <w:tcW w:w="5902" w:type="dxa"/>
          </w:tcPr>
          <w:p w14:paraId="2C4F5CE9" w14:textId="3B66273B" w:rsidR="007605A3" w:rsidRPr="00E9431E" w:rsidRDefault="007605A3" w:rsidP="007605A3">
            <w:pPr>
              <w:pStyle w:val="Default"/>
              <w:jc w:val="both"/>
              <w:rPr>
                <w:sz w:val="20"/>
                <w:szCs w:val="20"/>
              </w:rPr>
            </w:pPr>
            <w:r w:rsidRPr="00E9431E">
              <w:rPr>
                <w:sz w:val="20"/>
                <w:szCs w:val="20"/>
              </w:rPr>
              <w:t xml:space="preserve">Develop an Information System Master Plan/Blueprint based on functional requirements and consolidate gains made with the various stand-alone portals </w:t>
            </w:r>
          </w:p>
        </w:tc>
        <w:tc>
          <w:tcPr>
            <w:tcW w:w="1670" w:type="dxa"/>
          </w:tcPr>
          <w:p w14:paraId="7BAC1B47" w14:textId="58FBD89A" w:rsidR="007605A3" w:rsidRPr="00E9431E" w:rsidRDefault="007605A3" w:rsidP="007605A3">
            <w:pPr>
              <w:pStyle w:val="Default"/>
              <w:jc w:val="both"/>
              <w:rPr>
                <w:sz w:val="20"/>
                <w:szCs w:val="20"/>
              </w:rPr>
            </w:pPr>
            <w:r w:rsidRPr="00E9431E">
              <w:rPr>
                <w:sz w:val="20"/>
                <w:szCs w:val="20"/>
              </w:rPr>
              <w:t>NPD</w:t>
            </w:r>
          </w:p>
        </w:tc>
        <w:tc>
          <w:tcPr>
            <w:tcW w:w="2009" w:type="dxa"/>
          </w:tcPr>
          <w:p w14:paraId="149F5B52" w14:textId="50B16170" w:rsidR="007605A3" w:rsidRPr="00E9431E" w:rsidRDefault="007605A3" w:rsidP="007605A3">
            <w:pPr>
              <w:pStyle w:val="Default"/>
              <w:jc w:val="both"/>
              <w:rPr>
                <w:sz w:val="20"/>
                <w:szCs w:val="20"/>
              </w:rPr>
            </w:pPr>
            <w:r w:rsidRPr="00E9431E">
              <w:rPr>
                <w:sz w:val="20"/>
                <w:szCs w:val="20"/>
              </w:rPr>
              <w:t>March 2020</w:t>
            </w:r>
          </w:p>
        </w:tc>
      </w:tr>
      <w:tr w:rsidR="007605A3" w:rsidRPr="00E9431E" w14:paraId="1E24F004" w14:textId="77777777" w:rsidTr="00E47AD4">
        <w:tc>
          <w:tcPr>
            <w:tcW w:w="5902" w:type="dxa"/>
          </w:tcPr>
          <w:p w14:paraId="67454482" w14:textId="3FF3E931" w:rsidR="007605A3" w:rsidRPr="00E9431E" w:rsidRDefault="007605A3" w:rsidP="007605A3">
            <w:pPr>
              <w:pStyle w:val="Default"/>
              <w:jc w:val="both"/>
              <w:rPr>
                <w:sz w:val="20"/>
                <w:szCs w:val="20"/>
              </w:rPr>
            </w:pPr>
            <w:r w:rsidRPr="00E9431E">
              <w:rPr>
                <w:sz w:val="20"/>
                <w:szCs w:val="20"/>
              </w:rPr>
              <w:t>Incorporate virement rules in SAP</w:t>
            </w:r>
          </w:p>
        </w:tc>
        <w:tc>
          <w:tcPr>
            <w:tcW w:w="1670" w:type="dxa"/>
          </w:tcPr>
          <w:p w14:paraId="67621C65" w14:textId="0B45DF09" w:rsidR="007605A3" w:rsidRPr="00E9431E" w:rsidRDefault="007605A3" w:rsidP="007605A3">
            <w:pPr>
              <w:pStyle w:val="Default"/>
              <w:jc w:val="both"/>
              <w:rPr>
                <w:sz w:val="20"/>
                <w:szCs w:val="20"/>
              </w:rPr>
            </w:pPr>
            <w:r w:rsidRPr="00E9431E">
              <w:rPr>
                <w:sz w:val="20"/>
                <w:szCs w:val="20"/>
              </w:rPr>
              <w:t>FAD/CG</w:t>
            </w:r>
          </w:p>
        </w:tc>
        <w:tc>
          <w:tcPr>
            <w:tcW w:w="2009" w:type="dxa"/>
          </w:tcPr>
          <w:p w14:paraId="39E8417B" w14:textId="128A14C5" w:rsidR="007605A3" w:rsidRPr="00E9431E" w:rsidRDefault="007605A3" w:rsidP="007605A3">
            <w:pPr>
              <w:pStyle w:val="Default"/>
              <w:jc w:val="both"/>
              <w:rPr>
                <w:sz w:val="20"/>
                <w:szCs w:val="20"/>
              </w:rPr>
            </w:pPr>
            <w:r w:rsidRPr="00E9431E">
              <w:rPr>
                <w:sz w:val="20"/>
                <w:szCs w:val="20"/>
              </w:rPr>
              <w:t>December 30, 2019</w:t>
            </w:r>
          </w:p>
        </w:tc>
      </w:tr>
      <w:tr w:rsidR="007605A3" w:rsidRPr="00E9431E" w14:paraId="388262C2" w14:textId="77777777" w:rsidTr="00E47AD4">
        <w:tc>
          <w:tcPr>
            <w:tcW w:w="5902" w:type="dxa"/>
          </w:tcPr>
          <w:p w14:paraId="0A188540" w14:textId="564B7B65" w:rsidR="007605A3" w:rsidRPr="00E9431E" w:rsidRDefault="007605A3" w:rsidP="007605A3">
            <w:pPr>
              <w:pStyle w:val="Default"/>
              <w:jc w:val="both"/>
              <w:rPr>
                <w:sz w:val="20"/>
                <w:szCs w:val="20"/>
              </w:rPr>
            </w:pPr>
            <w:r w:rsidRPr="00E9431E">
              <w:rPr>
                <w:sz w:val="20"/>
                <w:szCs w:val="20"/>
              </w:rPr>
              <w:t>Publish open budget portal, including data on public service delivery units (health and education)</w:t>
            </w:r>
          </w:p>
        </w:tc>
        <w:tc>
          <w:tcPr>
            <w:tcW w:w="1670" w:type="dxa"/>
          </w:tcPr>
          <w:p w14:paraId="69BC99C6" w14:textId="77777777" w:rsidR="007605A3" w:rsidRPr="00E9431E" w:rsidRDefault="007605A3" w:rsidP="007605A3">
            <w:pPr>
              <w:pStyle w:val="Default"/>
              <w:jc w:val="both"/>
              <w:rPr>
                <w:sz w:val="20"/>
                <w:szCs w:val="20"/>
              </w:rPr>
            </w:pPr>
          </w:p>
        </w:tc>
        <w:tc>
          <w:tcPr>
            <w:tcW w:w="2009" w:type="dxa"/>
          </w:tcPr>
          <w:p w14:paraId="0364439C" w14:textId="77777777" w:rsidR="007605A3" w:rsidRPr="00E9431E" w:rsidRDefault="007605A3" w:rsidP="007605A3">
            <w:pPr>
              <w:pStyle w:val="Default"/>
              <w:jc w:val="both"/>
              <w:rPr>
                <w:sz w:val="20"/>
                <w:szCs w:val="20"/>
              </w:rPr>
            </w:pPr>
          </w:p>
        </w:tc>
      </w:tr>
      <w:tr w:rsidR="007605A3" w:rsidRPr="00E9431E" w14:paraId="0E2F74BA" w14:textId="77777777" w:rsidTr="00E47AD4">
        <w:tc>
          <w:tcPr>
            <w:tcW w:w="5902" w:type="dxa"/>
          </w:tcPr>
          <w:p w14:paraId="29E09C4C" w14:textId="652DA5E8" w:rsidR="007605A3" w:rsidRPr="00E9431E" w:rsidDel="00DD110A" w:rsidRDefault="007605A3" w:rsidP="007605A3">
            <w:pPr>
              <w:pStyle w:val="Default"/>
              <w:jc w:val="both"/>
              <w:rPr>
                <w:sz w:val="20"/>
                <w:szCs w:val="20"/>
              </w:rPr>
            </w:pPr>
            <w:r w:rsidRPr="00E9431E">
              <w:rPr>
                <w:sz w:val="20"/>
                <w:szCs w:val="20"/>
              </w:rPr>
              <w:t>Development of a mat</w:t>
            </w:r>
            <w:r w:rsidR="000D5467">
              <w:rPr>
                <w:sz w:val="20"/>
                <w:szCs w:val="20"/>
              </w:rPr>
              <w:t>r</w:t>
            </w:r>
            <w:r w:rsidRPr="00E9431E">
              <w:rPr>
                <w:sz w:val="20"/>
                <w:szCs w:val="20"/>
              </w:rPr>
              <w:t>ix on donor engagement in PFM to avoid overlap</w:t>
            </w:r>
          </w:p>
        </w:tc>
        <w:tc>
          <w:tcPr>
            <w:tcW w:w="1670" w:type="dxa"/>
          </w:tcPr>
          <w:p w14:paraId="28D8E029" w14:textId="77777777" w:rsidR="007605A3" w:rsidRPr="00E9431E" w:rsidRDefault="007605A3" w:rsidP="007605A3">
            <w:pPr>
              <w:pStyle w:val="Default"/>
              <w:jc w:val="both"/>
              <w:rPr>
                <w:sz w:val="20"/>
                <w:szCs w:val="20"/>
              </w:rPr>
            </w:pPr>
            <w:r w:rsidRPr="00E9431E">
              <w:rPr>
                <w:sz w:val="20"/>
                <w:szCs w:val="20"/>
              </w:rPr>
              <w:t>PMU/ MOFT</w:t>
            </w:r>
          </w:p>
        </w:tc>
        <w:tc>
          <w:tcPr>
            <w:tcW w:w="2009" w:type="dxa"/>
          </w:tcPr>
          <w:p w14:paraId="231C427D" w14:textId="77777777" w:rsidR="007605A3" w:rsidRPr="00E9431E" w:rsidRDefault="007605A3" w:rsidP="007605A3">
            <w:pPr>
              <w:pStyle w:val="Default"/>
              <w:jc w:val="both"/>
              <w:rPr>
                <w:sz w:val="20"/>
                <w:szCs w:val="20"/>
              </w:rPr>
            </w:pPr>
            <w:r w:rsidRPr="00E9431E">
              <w:rPr>
                <w:sz w:val="20"/>
                <w:szCs w:val="20"/>
              </w:rPr>
              <w:t>December 2019</w:t>
            </w:r>
          </w:p>
        </w:tc>
      </w:tr>
      <w:tr w:rsidR="007605A3" w:rsidRPr="00E9431E" w14:paraId="35613153" w14:textId="77777777" w:rsidTr="00E47AD4">
        <w:tc>
          <w:tcPr>
            <w:tcW w:w="5902" w:type="dxa"/>
          </w:tcPr>
          <w:p w14:paraId="4D9DC9B4" w14:textId="77777777" w:rsidR="007605A3" w:rsidRPr="00E9431E" w:rsidRDefault="007605A3" w:rsidP="007605A3">
            <w:pPr>
              <w:pStyle w:val="Default"/>
              <w:jc w:val="both"/>
              <w:rPr>
                <w:sz w:val="20"/>
                <w:szCs w:val="20"/>
              </w:rPr>
            </w:pPr>
            <w:proofErr w:type="spellStart"/>
            <w:r w:rsidRPr="00E9431E">
              <w:rPr>
                <w:sz w:val="20"/>
                <w:szCs w:val="20"/>
              </w:rPr>
              <w:t>ToRs</w:t>
            </w:r>
            <w:proofErr w:type="spellEnd"/>
            <w:r w:rsidRPr="00E9431E">
              <w:rPr>
                <w:sz w:val="20"/>
                <w:szCs w:val="20"/>
              </w:rPr>
              <w:t xml:space="preserve"> for completion of </w:t>
            </w:r>
            <w:proofErr w:type="spellStart"/>
            <w:r w:rsidRPr="00E9431E">
              <w:rPr>
                <w:sz w:val="20"/>
                <w:szCs w:val="20"/>
              </w:rPr>
              <w:t>eGP</w:t>
            </w:r>
            <w:proofErr w:type="spellEnd"/>
            <w:r w:rsidRPr="00E9431E">
              <w:rPr>
                <w:sz w:val="20"/>
                <w:szCs w:val="20"/>
              </w:rPr>
              <w:t xml:space="preserve"> Readiness Assessment</w:t>
            </w:r>
          </w:p>
        </w:tc>
        <w:tc>
          <w:tcPr>
            <w:tcW w:w="1670" w:type="dxa"/>
          </w:tcPr>
          <w:p w14:paraId="394FD8D4" w14:textId="77777777" w:rsidR="007605A3" w:rsidRPr="00E9431E" w:rsidRDefault="007605A3" w:rsidP="007605A3">
            <w:pPr>
              <w:pStyle w:val="Default"/>
              <w:jc w:val="both"/>
              <w:rPr>
                <w:sz w:val="20"/>
                <w:szCs w:val="20"/>
              </w:rPr>
            </w:pPr>
            <w:r w:rsidRPr="00E9431E">
              <w:rPr>
                <w:sz w:val="20"/>
                <w:szCs w:val="20"/>
              </w:rPr>
              <w:t>Tender Board</w:t>
            </w:r>
          </w:p>
        </w:tc>
        <w:tc>
          <w:tcPr>
            <w:tcW w:w="2009" w:type="dxa"/>
          </w:tcPr>
          <w:p w14:paraId="473E2012" w14:textId="77777777" w:rsidR="007605A3" w:rsidRPr="00E9431E" w:rsidRDefault="007605A3" w:rsidP="007605A3">
            <w:pPr>
              <w:pStyle w:val="Default"/>
              <w:jc w:val="both"/>
              <w:rPr>
                <w:sz w:val="20"/>
                <w:szCs w:val="20"/>
              </w:rPr>
            </w:pPr>
            <w:r w:rsidRPr="00E9431E">
              <w:rPr>
                <w:sz w:val="20"/>
                <w:szCs w:val="20"/>
              </w:rPr>
              <w:t>November 30, 2019</w:t>
            </w:r>
          </w:p>
        </w:tc>
      </w:tr>
      <w:tr w:rsidR="007605A3" w:rsidRPr="00E9431E" w14:paraId="414CDE5C" w14:textId="77777777" w:rsidTr="00E47AD4">
        <w:tc>
          <w:tcPr>
            <w:tcW w:w="5902" w:type="dxa"/>
          </w:tcPr>
          <w:p w14:paraId="087DD065" w14:textId="77777777" w:rsidR="007605A3" w:rsidRPr="00E9431E" w:rsidRDefault="007605A3" w:rsidP="007605A3">
            <w:pPr>
              <w:pStyle w:val="Default"/>
              <w:jc w:val="both"/>
              <w:rPr>
                <w:sz w:val="20"/>
                <w:szCs w:val="20"/>
              </w:rPr>
            </w:pPr>
            <w:proofErr w:type="spellStart"/>
            <w:r w:rsidRPr="00E9431E">
              <w:rPr>
                <w:sz w:val="20"/>
                <w:szCs w:val="20"/>
              </w:rPr>
              <w:t>ToRs</w:t>
            </w:r>
            <w:proofErr w:type="spellEnd"/>
            <w:r w:rsidRPr="00E9431E">
              <w:rPr>
                <w:sz w:val="20"/>
                <w:szCs w:val="20"/>
              </w:rPr>
              <w:t xml:space="preserve"> for consultant to develop Standard Bidding Documents</w:t>
            </w:r>
          </w:p>
        </w:tc>
        <w:tc>
          <w:tcPr>
            <w:tcW w:w="1670" w:type="dxa"/>
          </w:tcPr>
          <w:p w14:paraId="5DB07201" w14:textId="77777777" w:rsidR="007605A3" w:rsidRPr="00E9431E" w:rsidRDefault="007605A3" w:rsidP="007605A3">
            <w:pPr>
              <w:pStyle w:val="Default"/>
              <w:jc w:val="both"/>
              <w:rPr>
                <w:sz w:val="20"/>
                <w:szCs w:val="20"/>
              </w:rPr>
            </w:pPr>
            <w:r w:rsidRPr="00E9431E">
              <w:rPr>
                <w:sz w:val="20"/>
                <w:szCs w:val="20"/>
              </w:rPr>
              <w:t>Tender Board</w:t>
            </w:r>
          </w:p>
        </w:tc>
        <w:tc>
          <w:tcPr>
            <w:tcW w:w="2009" w:type="dxa"/>
          </w:tcPr>
          <w:p w14:paraId="55127CDC" w14:textId="77777777" w:rsidR="007605A3" w:rsidRPr="00E9431E" w:rsidRDefault="007605A3" w:rsidP="007605A3">
            <w:pPr>
              <w:pStyle w:val="Default"/>
              <w:jc w:val="both"/>
              <w:rPr>
                <w:sz w:val="20"/>
                <w:szCs w:val="20"/>
              </w:rPr>
            </w:pPr>
            <w:r w:rsidRPr="00E9431E">
              <w:rPr>
                <w:sz w:val="20"/>
                <w:szCs w:val="20"/>
              </w:rPr>
              <w:t>November 30, 2019</w:t>
            </w:r>
          </w:p>
        </w:tc>
      </w:tr>
      <w:tr w:rsidR="007605A3" w:rsidRPr="00E9431E" w14:paraId="74358AD9" w14:textId="77777777" w:rsidTr="00E47AD4">
        <w:tc>
          <w:tcPr>
            <w:tcW w:w="5902" w:type="dxa"/>
          </w:tcPr>
          <w:p w14:paraId="3CFB527A" w14:textId="77777777" w:rsidR="007605A3" w:rsidRPr="00E9431E" w:rsidRDefault="007605A3" w:rsidP="007605A3">
            <w:pPr>
              <w:pStyle w:val="Default"/>
              <w:jc w:val="both"/>
              <w:rPr>
                <w:sz w:val="20"/>
                <w:szCs w:val="20"/>
              </w:rPr>
            </w:pPr>
            <w:proofErr w:type="spellStart"/>
            <w:r w:rsidRPr="00E9431E">
              <w:rPr>
                <w:sz w:val="20"/>
                <w:szCs w:val="20"/>
              </w:rPr>
              <w:t>ToRs</w:t>
            </w:r>
            <w:proofErr w:type="spellEnd"/>
            <w:r w:rsidRPr="00E9431E">
              <w:rPr>
                <w:sz w:val="20"/>
                <w:szCs w:val="20"/>
              </w:rPr>
              <w:t xml:space="preserve"> for consultant to conduct Gap Analysis/Training Needs Assessment for procurement capacity building</w:t>
            </w:r>
          </w:p>
        </w:tc>
        <w:tc>
          <w:tcPr>
            <w:tcW w:w="1670" w:type="dxa"/>
          </w:tcPr>
          <w:p w14:paraId="1097F11C" w14:textId="77777777" w:rsidR="007605A3" w:rsidRPr="00E9431E" w:rsidRDefault="007605A3" w:rsidP="007605A3">
            <w:pPr>
              <w:pStyle w:val="Default"/>
              <w:jc w:val="both"/>
              <w:rPr>
                <w:sz w:val="20"/>
                <w:szCs w:val="20"/>
              </w:rPr>
            </w:pPr>
            <w:r w:rsidRPr="00E9431E">
              <w:rPr>
                <w:sz w:val="20"/>
                <w:szCs w:val="20"/>
              </w:rPr>
              <w:t>Tender Board</w:t>
            </w:r>
          </w:p>
        </w:tc>
        <w:tc>
          <w:tcPr>
            <w:tcW w:w="2009" w:type="dxa"/>
          </w:tcPr>
          <w:p w14:paraId="30096A08" w14:textId="77777777" w:rsidR="007605A3" w:rsidRPr="00E9431E" w:rsidRDefault="007605A3" w:rsidP="007605A3">
            <w:pPr>
              <w:pStyle w:val="Default"/>
              <w:jc w:val="both"/>
              <w:rPr>
                <w:sz w:val="20"/>
                <w:szCs w:val="20"/>
              </w:rPr>
            </w:pPr>
            <w:r w:rsidRPr="00E9431E">
              <w:rPr>
                <w:sz w:val="20"/>
                <w:szCs w:val="20"/>
              </w:rPr>
              <w:t>November 30, 2019</w:t>
            </w:r>
          </w:p>
        </w:tc>
      </w:tr>
      <w:tr w:rsidR="007605A3" w:rsidRPr="00E9431E" w14:paraId="2FBDC660" w14:textId="77777777" w:rsidTr="00E47AD4">
        <w:tc>
          <w:tcPr>
            <w:tcW w:w="5902" w:type="dxa"/>
          </w:tcPr>
          <w:p w14:paraId="451C8DC9" w14:textId="77777777" w:rsidR="007605A3" w:rsidRPr="00E9431E" w:rsidRDefault="007605A3" w:rsidP="007605A3">
            <w:pPr>
              <w:pStyle w:val="Default"/>
              <w:jc w:val="both"/>
              <w:rPr>
                <w:sz w:val="20"/>
                <w:szCs w:val="20"/>
              </w:rPr>
            </w:pPr>
            <w:proofErr w:type="spellStart"/>
            <w:r w:rsidRPr="00E9431E">
              <w:rPr>
                <w:sz w:val="20"/>
                <w:szCs w:val="20"/>
              </w:rPr>
              <w:t>ToRs</w:t>
            </w:r>
            <w:proofErr w:type="spellEnd"/>
            <w:r w:rsidRPr="00E9431E">
              <w:rPr>
                <w:sz w:val="20"/>
                <w:szCs w:val="20"/>
              </w:rPr>
              <w:t xml:space="preserve"> for study to pursue Framework Contracts</w:t>
            </w:r>
          </w:p>
        </w:tc>
        <w:tc>
          <w:tcPr>
            <w:tcW w:w="1670" w:type="dxa"/>
          </w:tcPr>
          <w:p w14:paraId="737821AC" w14:textId="77777777" w:rsidR="007605A3" w:rsidRPr="00E9431E" w:rsidRDefault="007605A3" w:rsidP="007605A3">
            <w:pPr>
              <w:pStyle w:val="Default"/>
              <w:jc w:val="both"/>
              <w:rPr>
                <w:sz w:val="20"/>
                <w:szCs w:val="20"/>
              </w:rPr>
            </w:pPr>
            <w:r w:rsidRPr="00E9431E">
              <w:rPr>
                <w:sz w:val="20"/>
                <w:szCs w:val="20"/>
              </w:rPr>
              <w:t>Tender Board</w:t>
            </w:r>
          </w:p>
        </w:tc>
        <w:tc>
          <w:tcPr>
            <w:tcW w:w="2009" w:type="dxa"/>
          </w:tcPr>
          <w:p w14:paraId="62B0B287" w14:textId="77777777" w:rsidR="007605A3" w:rsidRPr="00E9431E" w:rsidRDefault="007605A3" w:rsidP="007605A3">
            <w:pPr>
              <w:pStyle w:val="Default"/>
              <w:jc w:val="both"/>
              <w:rPr>
                <w:sz w:val="20"/>
                <w:szCs w:val="20"/>
              </w:rPr>
            </w:pPr>
            <w:r w:rsidRPr="00E9431E">
              <w:rPr>
                <w:sz w:val="20"/>
                <w:szCs w:val="20"/>
              </w:rPr>
              <w:t>December 8, 2019</w:t>
            </w:r>
          </w:p>
        </w:tc>
      </w:tr>
      <w:bookmarkEnd w:id="3"/>
    </w:tbl>
    <w:p w14:paraId="1E7028D8" w14:textId="77777777" w:rsidR="0044195C" w:rsidRPr="002D2C9A" w:rsidRDefault="0044195C" w:rsidP="0044195C">
      <w:pPr>
        <w:pStyle w:val="Default"/>
        <w:jc w:val="both"/>
        <w:rPr>
          <w:sz w:val="22"/>
          <w:szCs w:val="22"/>
        </w:rPr>
      </w:pPr>
    </w:p>
    <w:p w14:paraId="4FDBA363" w14:textId="77777777" w:rsidR="0044195C" w:rsidRPr="00766981" w:rsidRDefault="0044195C" w:rsidP="00766981">
      <w:pPr>
        <w:spacing w:after="0"/>
        <w:jc w:val="both"/>
        <w:rPr>
          <w:rFonts w:cs="Times New Roman"/>
          <w:b/>
          <w:sz w:val="22"/>
        </w:rPr>
      </w:pPr>
      <w:r w:rsidRPr="00766981">
        <w:rPr>
          <w:rFonts w:cs="Times New Roman"/>
          <w:b/>
          <w:sz w:val="22"/>
        </w:rPr>
        <w:t>Table 2: Previous Agreed Actions</w:t>
      </w:r>
    </w:p>
    <w:tbl>
      <w:tblPr>
        <w:tblW w:w="973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3"/>
        <w:gridCol w:w="1531"/>
        <w:gridCol w:w="1799"/>
        <w:gridCol w:w="2790"/>
      </w:tblGrid>
      <w:tr w:rsidR="0044195C" w:rsidRPr="00E9431E" w14:paraId="47882041" w14:textId="77777777" w:rsidTr="00E47AD4">
        <w:trPr>
          <w:trHeight w:val="132"/>
        </w:trPr>
        <w:tc>
          <w:tcPr>
            <w:tcW w:w="3613" w:type="dxa"/>
          </w:tcPr>
          <w:p w14:paraId="3817DA4B"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b/>
                <w:bCs/>
                <w:color w:val="000000"/>
                <w:sz w:val="20"/>
                <w:szCs w:val="20"/>
              </w:rPr>
              <w:t xml:space="preserve">Agreed Actions </w:t>
            </w:r>
          </w:p>
        </w:tc>
        <w:tc>
          <w:tcPr>
            <w:tcW w:w="1531" w:type="dxa"/>
          </w:tcPr>
          <w:p w14:paraId="061E341C"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b/>
                <w:bCs/>
                <w:color w:val="000000"/>
                <w:sz w:val="20"/>
                <w:szCs w:val="20"/>
              </w:rPr>
              <w:t xml:space="preserve">Responsible </w:t>
            </w:r>
          </w:p>
        </w:tc>
        <w:tc>
          <w:tcPr>
            <w:tcW w:w="1799" w:type="dxa"/>
          </w:tcPr>
          <w:p w14:paraId="4FC1C6E0"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b/>
                <w:bCs/>
                <w:color w:val="000000"/>
                <w:sz w:val="20"/>
                <w:szCs w:val="20"/>
              </w:rPr>
              <w:t xml:space="preserve">Due Date </w:t>
            </w:r>
          </w:p>
        </w:tc>
        <w:tc>
          <w:tcPr>
            <w:tcW w:w="2790" w:type="dxa"/>
          </w:tcPr>
          <w:p w14:paraId="57F75BC3" w14:textId="77777777" w:rsidR="0044195C" w:rsidRPr="00E9431E" w:rsidRDefault="0044195C" w:rsidP="00E47AD4">
            <w:pPr>
              <w:autoSpaceDE w:val="0"/>
              <w:autoSpaceDN w:val="0"/>
              <w:adjustRightInd w:val="0"/>
              <w:spacing w:after="0" w:line="240" w:lineRule="auto"/>
              <w:jc w:val="both"/>
              <w:rPr>
                <w:rFonts w:cs="Times New Roman"/>
                <w:b/>
                <w:bCs/>
                <w:color w:val="000000"/>
                <w:sz w:val="20"/>
                <w:szCs w:val="20"/>
              </w:rPr>
            </w:pPr>
            <w:r w:rsidRPr="00E9431E">
              <w:rPr>
                <w:rFonts w:cs="Times New Roman"/>
                <w:b/>
                <w:bCs/>
                <w:color w:val="000000"/>
                <w:sz w:val="20"/>
                <w:szCs w:val="20"/>
              </w:rPr>
              <w:t>Status</w:t>
            </w:r>
          </w:p>
        </w:tc>
      </w:tr>
      <w:tr w:rsidR="0044195C" w:rsidRPr="00E9431E" w14:paraId="48576F4E" w14:textId="77777777" w:rsidTr="00E47AD4">
        <w:trPr>
          <w:trHeight w:val="264"/>
        </w:trPr>
        <w:tc>
          <w:tcPr>
            <w:tcW w:w="3613" w:type="dxa"/>
          </w:tcPr>
          <w:p w14:paraId="4C4A445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Appoint focal point from Planning ministry and develop </w:t>
            </w:r>
            <w:proofErr w:type="spellStart"/>
            <w:r w:rsidRPr="00E9431E">
              <w:rPr>
                <w:rFonts w:cs="Times New Roman"/>
                <w:color w:val="000000"/>
                <w:sz w:val="20"/>
                <w:szCs w:val="20"/>
              </w:rPr>
              <w:t>ToRs</w:t>
            </w:r>
            <w:proofErr w:type="spellEnd"/>
            <w:r w:rsidRPr="00E9431E">
              <w:rPr>
                <w:rFonts w:cs="Times New Roman"/>
                <w:color w:val="000000"/>
                <w:sz w:val="20"/>
                <w:szCs w:val="20"/>
              </w:rPr>
              <w:t xml:space="preserve"> for priority activities. </w:t>
            </w:r>
          </w:p>
        </w:tc>
        <w:tc>
          <w:tcPr>
            <w:tcW w:w="1531" w:type="dxa"/>
          </w:tcPr>
          <w:p w14:paraId="582C989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Min. Planning / PMU </w:t>
            </w:r>
          </w:p>
        </w:tc>
        <w:tc>
          <w:tcPr>
            <w:tcW w:w="1799" w:type="dxa"/>
          </w:tcPr>
          <w:p w14:paraId="41E5E02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October 31, 2019 </w:t>
            </w:r>
          </w:p>
        </w:tc>
        <w:tc>
          <w:tcPr>
            <w:tcW w:w="2790" w:type="dxa"/>
          </w:tcPr>
          <w:p w14:paraId="2AD4D3B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Possible duplication of resources with USAID assistance. </w:t>
            </w:r>
          </w:p>
          <w:p w14:paraId="41CBF3D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An unofficial focal point is coordinating on this. Received a draft </w:t>
            </w:r>
            <w:proofErr w:type="spellStart"/>
            <w:r w:rsidRPr="00E9431E">
              <w:rPr>
                <w:rFonts w:cs="Times New Roman"/>
                <w:color w:val="000000"/>
                <w:sz w:val="20"/>
                <w:szCs w:val="20"/>
              </w:rPr>
              <w:t>ToRs</w:t>
            </w:r>
            <w:proofErr w:type="spellEnd"/>
            <w:r w:rsidRPr="00E9431E">
              <w:rPr>
                <w:rFonts w:cs="Times New Roman"/>
                <w:color w:val="000000"/>
                <w:sz w:val="20"/>
                <w:szCs w:val="20"/>
              </w:rPr>
              <w:t xml:space="preserve">. Waiting for USAID to see that there are no overlaps.  </w:t>
            </w:r>
          </w:p>
        </w:tc>
      </w:tr>
      <w:tr w:rsidR="0044195C" w:rsidRPr="00E9431E" w14:paraId="1060D5B1" w14:textId="77777777" w:rsidTr="00E47AD4">
        <w:trPr>
          <w:trHeight w:val="239"/>
        </w:trPr>
        <w:tc>
          <w:tcPr>
            <w:tcW w:w="3613" w:type="dxa"/>
          </w:tcPr>
          <w:p w14:paraId="5D55CD24"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Recruit consultants to conduct a gap analysis, develop asset management policy and conduct valuation of assets </w:t>
            </w:r>
          </w:p>
        </w:tc>
        <w:tc>
          <w:tcPr>
            <w:tcW w:w="1531" w:type="dxa"/>
          </w:tcPr>
          <w:p w14:paraId="3FABB4B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Finance Controller/PMU </w:t>
            </w:r>
          </w:p>
        </w:tc>
        <w:tc>
          <w:tcPr>
            <w:tcW w:w="1799" w:type="dxa"/>
          </w:tcPr>
          <w:p w14:paraId="393FE99B"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March 15, 2019 </w:t>
            </w:r>
          </w:p>
        </w:tc>
        <w:tc>
          <w:tcPr>
            <w:tcW w:w="2790" w:type="dxa"/>
          </w:tcPr>
          <w:p w14:paraId="63F1AA1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Hiring firm for asset management commenced on 09/01/</w:t>
            </w:r>
            <w:proofErr w:type="gramStart"/>
            <w:r w:rsidRPr="00E9431E">
              <w:rPr>
                <w:rFonts w:cs="Times New Roman"/>
                <w:color w:val="000000"/>
                <w:sz w:val="20"/>
                <w:szCs w:val="20"/>
              </w:rPr>
              <w:t>2019 ;</w:t>
            </w:r>
            <w:proofErr w:type="gramEnd"/>
            <w:r w:rsidRPr="00E9431E">
              <w:rPr>
                <w:rFonts w:cs="Times New Roman"/>
                <w:color w:val="000000"/>
                <w:sz w:val="20"/>
                <w:szCs w:val="20"/>
              </w:rPr>
              <w:t xml:space="preserve"> Tender published. </w:t>
            </w:r>
          </w:p>
          <w:p w14:paraId="4916F27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Finalizing shortlisting then will form a committee. By </w:t>
            </w:r>
            <w:proofErr w:type="gramStart"/>
            <w:r w:rsidRPr="00E9431E">
              <w:rPr>
                <w:rFonts w:cs="Times New Roman"/>
                <w:color w:val="000000"/>
                <w:sz w:val="20"/>
                <w:szCs w:val="20"/>
              </w:rPr>
              <w:t>October,</w:t>
            </w:r>
            <w:proofErr w:type="gramEnd"/>
            <w:r w:rsidRPr="00E9431E">
              <w:rPr>
                <w:rFonts w:cs="Times New Roman"/>
                <w:color w:val="000000"/>
                <w:sz w:val="20"/>
                <w:szCs w:val="20"/>
              </w:rPr>
              <w:t xml:space="preserve"> 2019. </w:t>
            </w:r>
          </w:p>
        </w:tc>
      </w:tr>
      <w:tr w:rsidR="0044195C" w:rsidRPr="00E9431E" w14:paraId="7DA1C908" w14:textId="77777777" w:rsidTr="00E47AD4">
        <w:trPr>
          <w:trHeight w:val="240"/>
        </w:trPr>
        <w:tc>
          <w:tcPr>
            <w:tcW w:w="3613" w:type="dxa"/>
          </w:tcPr>
          <w:p w14:paraId="6DF2909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Recruit a consultant for Pay structure review and options analysis. </w:t>
            </w:r>
          </w:p>
          <w:p w14:paraId="0DA1A78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Finalize the integrated Civil service registry (DLR2.1) </w:t>
            </w:r>
          </w:p>
        </w:tc>
        <w:tc>
          <w:tcPr>
            <w:tcW w:w="1531" w:type="dxa"/>
          </w:tcPr>
          <w:p w14:paraId="0DA5BD2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National Pay Commission/PMU </w:t>
            </w:r>
          </w:p>
        </w:tc>
        <w:tc>
          <w:tcPr>
            <w:tcW w:w="1799" w:type="dxa"/>
          </w:tcPr>
          <w:p w14:paraId="2A55DDA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January 15, 2019 </w:t>
            </w:r>
          </w:p>
          <w:p w14:paraId="3B2525C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February 27, 2019 </w:t>
            </w:r>
          </w:p>
        </w:tc>
        <w:tc>
          <w:tcPr>
            <w:tcW w:w="2790" w:type="dxa"/>
          </w:tcPr>
          <w:p w14:paraId="1B26785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Delayed.  </w:t>
            </w:r>
          </w:p>
          <w:p w14:paraId="2DE46F6A"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TOR prepared and finalized: 04/03/2019 </w:t>
            </w:r>
          </w:p>
          <w:p w14:paraId="2F92F10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Bid Evaluation on-going for recruitment of a consultant.</w:t>
            </w:r>
          </w:p>
          <w:p w14:paraId="33346F6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Review &amp; evaluate pay classification expected to start </w:t>
            </w:r>
            <w:proofErr w:type="gramStart"/>
            <w:r w:rsidRPr="00E9431E">
              <w:rPr>
                <w:rFonts w:cs="Times New Roman"/>
                <w:color w:val="000000"/>
                <w:sz w:val="20"/>
                <w:szCs w:val="20"/>
              </w:rPr>
              <w:t>on :</w:t>
            </w:r>
            <w:proofErr w:type="gramEnd"/>
            <w:r w:rsidRPr="00E9431E">
              <w:rPr>
                <w:rFonts w:cs="Times New Roman"/>
                <w:color w:val="000000"/>
                <w:sz w:val="20"/>
                <w:szCs w:val="20"/>
              </w:rPr>
              <w:t xml:space="preserve"> 16/09/2019</w:t>
            </w:r>
          </w:p>
        </w:tc>
      </w:tr>
      <w:tr w:rsidR="0044195C" w:rsidRPr="00E9431E" w14:paraId="2A370202" w14:textId="77777777" w:rsidTr="00E47AD4">
        <w:trPr>
          <w:trHeight w:val="351"/>
        </w:trPr>
        <w:tc>
          <w:tcPr>
            <w:tcW w:w="3613" w:type="dxa"/>
          </w:tcPr>
          <w:p w14:paraId="42AA2E38"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Ministry to appoint an internal auditor and adopt the internal audit charter. </w:t>
            </w:r>
          </w:p>
          <w:p w14:paraId="15BBECF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Carry out the project’s internal audit for 2018. </w:t>
            </w:r>
          </w:p>
        </w:tc>
        <w:tc>
          <w:tcPr>
            <w:tcW w:w="1531" w:type="dxa"/>
          </w:tcPr>
          <w:p w14:paraId="657F8D2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MoF </w:t>
            </w:r>
          </w:p>
          <w:p w14:paraId="6957434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IA unit </w:t>
            </w:r>
          </w:p>
        </w:tc>
        <w:tc>
          <w:tcPr>
            <w:tcW w:w="1799" w:type="dxa"/>
          </w:tcPr>
          <w:p w14:paraId="53BCA50D"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January 15, 2019 </w:t>
            </w:r>
          </w:p>
          <w:p w14:paraId="0714CEA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March 1st</w:t>
            </w:r>
            <w:proofErr w:type="gramStart"/>
            <w:r w:rsidRPr="00E9431E">
              <w:rPr>
                <w:rFonts w:cs="Times New Roman"/>
                <w:color w:val="000000"/>
                <w:sz w:val="20"/>
                <w:szCs w:val="20"/>
              </w:rPr>
              <w:t xml:space="preserve"> 2019</w:t>
            </w:r>
            <w:proofErr w:type="gramEnd"/>
            <w:r w:rsidRPr="00E9431E">
              <w:rPr>
                <w:rFonts w:cs="Times New Roman"/>
                <w:color w:val="000000"/>
                <w:sz w:val="20"/>
                <w:szCs w:val="20"/>
              </w:rPr>
              <w:t xml:space="preserve"> </w:t>
            </w:r>
          </w:p>
        </w:tc>
        <w:tc>
          <w:tcPr>
            <w:tcW w:w="2790" w:type="dxa"/>
          </w:tcPr>
          <w:p w14:paraId="44487180"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Internal audit charter prepared. Internal audit committee charter is already adopted. MoF to update the status. </w:t>
            </w:r>
          </w:p>
        </w:tc>
      </w:tr>
      <w:tr w:rsidR="0044195C" w:rsidRPr="00E9431E" w14:paraId="07192CB1" w14:textId="77777777" w:rsidTr="00E47AD4">
        <w:trPr>
          <w:trHeight w:val="240"/>
        </w:trPr>
        <w:tc>
          <w:tcPr>
            <w:tcW w:w="3613" w:type="dxa"/>
          </w:tcPr>
          <w:p w14:paraId="1B54DDA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Prepare a TOR to hire an expert to prepare IFRS compliant Financial Statements </w:t>
            </w:r>
          </w:p>
        </w:tc>
        <w:tc>
          <w:tcPr>
            <w:tcW w:w="1531" w:type="dxa"/>
          </w:tcPr>
          <w:p w14:paraId="21C7D16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Auditor General’s Office/PMU </w:t>
            </w:r>
          </w:p>
        </w:tc>
        <w:tc>
          <w:tcPr>
            <w:tcW w:w="1799" w:type="dxa"/>
          </w:tcPr>
          <w:p w14:paraId="09B8C9FD"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January 31, 2019 </w:t>
            </w:r>
          </w:p>
        </w:tc>
        <w:tc>
          <w:tcPr>
            <w:tcW w:w="2790" w:type="dxa"/>
          </w:tcPr>
          <w:p w14:paraId="1129AE8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Delayed. Finalize </w:t>
            </w:r>
            <w:proofErr w:type="spellStart"/>
            <w:r w:rsidRPr="00E9431E">
              <w:rPr>
                <w:rFonts w:cs="Times New Roman"/>
                <w:color w:val="000000"/>
                <w:sz w:val="20"/>
                <w:szCs w:val="20"/>
              </w:rPr>
              <w:t>ToRs</w:t>
            </w:r>
            <w:proofErr w:type="spellEnd"/>
            <w:r w:rsidRPr="00E9431E">
              <w:rPr>
                <w:rFonts w:cs="Times New Roman"/>
                <w:color w:val="000000"/>
                <w:sz w:val="20"/>
                <w:szCs w:val="20"/>
              </w:rPr>
              <w:t xml:space="preserve"> in September. </w:t>
            </w:r>
          </w:p>
        </w:tc>
      </w:tr>
      <w:tr w:rsidR="0044195C" w:rsidRPr="00E9431E" w14:paraId="2DF1C0B8" w14:textId="77777777" w:rsidTr="00E47AD4">
        <w:trPr>
          <w:trHeight w:val="350"/>
        </w:trPr>
        <w:tc>
          <w:tcPr>
            <w:tcW w:w="3613" w:type="dxa"/>
          </w:tcPr>
          <w:p w14:paraId="6BD425E4"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AG: Prepare a TOR for the SAI Performance review (PMF) and </w:t>
            </w:r>
            <w:proofErr w:type="spellStart"/>
            <w:r w:rsidRPr="00E9431E">
              <w:rPr>
                <w:rFonts w:cs="Times New Roman"/>
                <w:color w:val="000000"/>
                <w:sz w:val="20"/>
                <w:szCs w:val="20"/>
              </w:rPr>
              <w:t>ToRs</w:t>
            </w:r>
            <w:proofErr w:type="spellEnd"/>
            <w:r w:rsidRPr="00E9431E">
              <w:rPr>
                <w:rFonts w:cs="Times New Roman"/>
                <w:color w:val="000000"/>
                <w:sz w:val="20"/>
                <w:szCs w:val="20"/>
              </w:rPr>
              <w:t xml:space="preserve"> for an expert on Citizen Participatory Audit (WB to provide examples) </w:t>
            </w:r>
          </w:p>
        </w:tc>
        <w:tc>
          <w:tcPr>
            <w:tcW w:w="1531" w:type="dxa"/>
          </w:tcPr>
          <w:p w14:paraId="44BE806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Auditor General’s Office/PMU </w:t>
            </w:r>
          </w:p>
        </w:tc>
        <w:tc>
          <w:tcPr>
            <w:tcW w:w="1799" w:type="dxa"/>
          </w:tcPr>
          <w:p w14:paraId="5B50007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p>
        </w:tc>
        <w:tc>
          <w:tcPr>
            <w:tcW w:w="2790" w:type="dxa"/>
          </w:tcPr>
          <w:p w14:paraId="272E153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Mid-September. </w:t>
            </w:r>
          </w:p>
        </w:tc>
      </w:tr>
      <w:tr w:rsidR="0044195C" w:rsidRPr="00E9431E" w14:paraId="2C91C3E8" w14:textId="77777777" w:rsidTr="00E47AD4">
        <w:trPr>
          <w:trHeight w:val="505"/>
        </w:trPr>
        <w:tc>
          <w:tcPr>
            <w:tcW w:w="3613" w:type="dxa"/>
          </w:tcPr>
          <w:p w14:paraId="2E7B1A7A" w14:textId="77777777" w:rsidR="0044195C" w:rsidRPr="00E9431E" w:rsidRDefault="0044195C" w:rsidP="00E47AD4">
            <w:pPr>
              <w:jc w:val="both"/>
              <w:rPr>
                <w:rFonts w:cs="Times New Roman"/>
                <w:sz w:val="20"/>
                <w:szCs w:val="20"/>
              </w:rPr>
            </w:pPr>
            <w:r w:rsidRPr="00E9431E">
              <w:rPr>
                <w:rFonts w:cs="Times New Roman"/>
                <w:sz w:val="20"/>
                <w:szCs w:val="20"/>
              </w:rPr>
              <w:t xml:space="preserve">Work with Auditor General’s Office to Develop a phased multi-year action plan towards accrual accounting </w:t>
            </w:r>
          </w:p>
        </w:tc>
        <w:tc>
          <w:tcPr>
            <w:tcW w:w="1531" w:type="dxa"/>
          </w:tcPr>
          <w:p w14:paraId="43B386AC" w14:textId="77777777" w:rsidR="0044195C" w:rsidRPr="00E9431E" w:rsidRDefault="0044195C" w:rsidP="00E47AD4">
            <w:pPr>
              <w:jc w:val="both"/>
              <w:rPr>
                <w:rFonts w:cs="Times New Roman"/>
                <w:sz w:val="20"/>
                <w:szCs w:val="20"/>
              </w:rPr>
            </w:pPr>
            <w:r w:rsidRPr="00E9431E">
              <w:rPr>
                <w:rFonts w:cs="Times New Roman"/>
                <w:sz w:val="20"/>
                <w:szCs w:val="20"/>
              </w:rPr>
              <w:t xml:space="preserve">PMU/FC/ AG </w:t>
            </w:r>
          </w:p>
        </w:tc>
        <w:tc>
          <w:tcPr>
            <w:tcW w:w="1799" w:type="dxa"/>
          </w:tcPr>
          <w:p w14:paraId="594251D8" w14:textId="77777777" w:rsidR="0044195C" w:rsidRPr="00E9431E" w:rsidRDefault="0044195C" w:rsidP="00E47AD4">
            <w:pPr>
              <w:jc w:val="both"/>
              <w:rPr>
                <w:rFonts w:cs="Times New Roman"/>
                <w:sz w:val="20"/>
                <w:szCs w:val="20"/>
              </w:rPr>
            </w:pPr>
            <w:r w:rsidRPr="00E9431E">
              <w:rPr>
                <w:rFonts w:cs="Times New Roman"/>
                <w:sz w:val="20"/>
                <w:szCs w:val="20"/>
              </w:rPr>
              <w:t>October 2019</w:t>
            </w:r>
          </w:p>
        </w:tc>
        <w:tc>
          <w:tcPr>
            <w:tcW w:w="2790" w:type="dxa"/>
          </w:tcPr>
          <w:p w14:paraId="604AB1BF" w14:textId="77777777" w:rsidR="0044195C" w:rsidRPr="00E9431E" w:rsidRDefault="0044195C" w:rsidP="00E47AD4">
            <w:pPr>
              <w:jc w:val="both"/>
              <w:rPr>
                <w:rFonts w:cs="Times New Roman"/>
                <w:sz w:val="20"/>
                <w:szCs w:val="20"/>
              </w:rPr>
            </w:pPr>
            <w:proofErr w:type="spellStart"/>
            <w:r w:rsidRPr="00E9431E">
              <w:rPr>
                <w:rFonts w:cs="Times New Roman"/>
                <w:sz w:val="20"/>
                <w:szCs w:val="20"/>
              </w:rPr>
              <w:t>ToRs</w:t>
            </w:r>
            <w:proofErr w:type="spellEnd"/>
            <w:r w:rsidRPr="00E9431E">
              <w:rPr>
                <w:rFonts w:cs="Times New Roman"/>
                <w:sz w:val="20"/>
                <w:szCs w:val="20"/>
              </w:rPr>
              <w:t xml:space="preserve"> ready. Proposal for accrual accounting and awaiting comments. October </w:t>
            </w:r>
          </w:p>
        </w:tc>
      </w:tr>
      <w:tr w:rsidR="0044195C" w:rsidRPr="00E9431E" w14:paraId="3B79CA62" w14:textId="77777777" w:rsidTr="00E47AD4">
        <w:trPr>
          <w:trHeight w:val="311"/>
        </w:trPr>
        <w:tc>
          <w:tcPr>
            <w:tcW w:w="3613" w:type="dxa"/>
          </w:tcPr>
          <w:p w14:paraId="6F1554C0" w14:textId="77777777" w:rsidR="0044195C" w:rsidRPr="00E9431E" w:rsidRDefault="0044195C" w:rsidP="00E47AD4">
            <w:pPr>
              <w:jc w:val="both"/>
              <w:rPr>
                <w:rFonts w:cs="Times New Roman"/>
                <w:sz w:val="20"/>
                <w:szCs w:val="20"/>
              </w:rPr>
            </w:pPr>
            <w:r w:rsidRPr="00E9431E">
              <w:rPr>
                <w:rFonts w:cs="Times New Roman"/>
                <w:sz w:val="20"/>
                <w:szCs w:val="20"/>
              </w:rPr>
              <w:t xml:space="preserve">Share with Bank an English version (or abridged translation) of draft Accounting Cadre </w:t>
            </w:r>
          </w:p>
        </w:tc>
        <w:tc>
          <w:tcPr>
            <w:tcW w:w="1531" w:type="dxa"/>
          </w:tcPr>
          <w:p w14:paraId="20612FCE" w14:textId="77777777" w:rsidR="0044195C" w:rsidRPr="00E9431E" w:rsidRDefault="0044195C" w:rsidP="00E47AD4">
            <w:pPr>
              <w:jc w:val="both"/>
              <w:rPr>
                <w:rFonts w:cs="Times New Roman"/>
                <w:sz w:val="20"/>
                <w:szCs w:val="20"/>
              </w:rPr>
            </w:pPr>
            <w:r w:rsidRPr="00E9431E">
              <w:rPr>
                <w:rFonts w:cs="Times New Roman"/>
                <w:sz w:val="20"/>
                <w:szCs w:val="20"/>
              </w:rPr>
              <w:t xml:space="preserve">NPC </w:t>
            </w:r>
          </w:p>
        </w:tc>
        <w:tc>
          <w:tcPr>
            <w:tcW w:w="1799" w:type="dxa"/>
          </w:tcPr>
          <w:p w14:paraId="4B73B499" w14:textId="77777777" w:rsidR="0044195C" w:rsidRPr="00E9431E" w:rsidRDefault="0044195C" w:rsidP="00E47AD4">
            <w:pPr>
              <w:jc w:val="both"/>
              <w:rPr>
                <w:rFonts w:cs="Times New Roman"/>
                <w:sz w:val="20"/>
                <w:szCs w:val="20"/>
              </w:rPr>
            </w:pPr>
            <w:r w:rsidRPr="00E9431E">
              <w:rPr>
                <w:rFonts w:cs="Times New Roman"/>
                <w:sz w:val="20"/>
                <w:szCs w:val="20"/>
              </w:rPr>
              <w:t xml:space="preserve">April 2019 </w:t>
            </w:r>
          </w:p>
        </w:tc>
        <w:tc>
          <w:tcPr>
            <w:tcW w:w="2790" w:type="dxa"/>
          </w:tcPr>
          <w:p w14:paraId="30E4255A" w14:textId="77777777" w:rsidR="0044195C" w:rsidRPr="00E9431E" w:rsidRDefault="0044195C" w:rsidP="00E47AD4">
            <w:pPr>
              <w:jc w:val="both"/>
              <w:rPr>
                <w:rFonts w:cs="Times New Roman"/>
                <w:sz w:val="20"/>
                <w:szCs w:val="20"/>
              </w:rPr>
            </w:pPr>
            <w:r w:rsidRPr="00E9431E">
              <w:rPr>
                <w:rFonts w:cs="Times New Roman"/>
                <w:sz w:val="20"/>
                <w:szCs w:val="20"/>
              </w:rPr>
              <w:t xml:space="preserve">Linked to the broader civil service review. </w:t>
            </w:r>
          </w:p>
        </w:tc>
      </w:tr>
      <w:tr w:rsidR="0044195C" w:rsidRPr="00E9431E" w14:paraId="0CB67208" w14:textId="77777777" w:rsidTr="00E47AD4">
        <w:trPr>
          <w:trHeight w:val="354"/>
        </w:trPr>
        <w:tc>
          <w:tcPr>
            <w:tcW w:w="3613" w:type="dxa"/>
          </w:tcPr>
          <w:p w14:paraId="4A55DF8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Include large public investment projects into MTFF </w:t>
            </w:r>
          </w:p>
        </w:tc>
        <w:tc>
          <w:tcPr>
            <w:tcW w:w="1531" w:type="dxa"/>
          </w:tcPr>
          <w:p w14:paraId="5B6D144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MoF </w:t>
            </w:r>
          </w:p>
        </w:tc>
        <w:tc>
          <w:tcPr>
            <w:tcW w:w="1799" w:type="dxa"/>
          </w:tcPr>
          <w:p w14:paraId="02B010FC"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May 2019 </w:t>
            </w:r>
          </w:p>
        </w:tc>
        <w:tc>
          <w:tcPr>
            <w:tcW w:w="2790" w:type="dxa"/>
          </w:tcPr>
          <w:p w14:paraId="37884C9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Large public</w:t>
            </w:r>
          </w:p>
          <w:p w14:paraId="02EE394A"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investment projects are</w:t>
            </w:r>
          </w:p>
          <w:p w14:paraId="08187180"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not yet explicitly</w:t>
            </w:r>
          </w:p>
          <w:p w14:paraId="2CC6F60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incorporated into the</w:t>
            </w:r>
          </w:p>
          <w:p w14:paraId="67D90954"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MTEF. Draft </w:t>
            </w:r>
            <w:proofErr w:type="spellStart"/>
            <w:r w:rsidRPr="00E9431E">
              <w:rPr>
                <w:rFonts w:cs="Times New Roman"/>
                <w:color w:val="000000"/>
                <w:sz w:val="20"/>
                <w:szCs w:val="20"/>
              </w:rPr>
              <w:t>ToR</w:t>
            </w:r>
            <w:proofErr w:type="spellEnd"/>
            <w:r w:rsidRPr="00E9431E">
              <w:rPr>
                <w:rFonts w:cs="Times New Roman"/>
                <w:color w:val="000000"/>
                <w:sz w:val="20"/>
                <w:szCs w:val="20"/>
              </w:rPr>
              <w:t xml:space="preserve"> received on the PSIP consultant. However, changes</w:t>
            </w:r>
          </w:p>
          <w:p w14:paraId="0C47BF3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have been made to the</w:t>
            </w:r>
          </w:p>
          <w:p w14:paraId="377F34C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fiscal block to reflect the</w:t>
            </w:r>
          </w:p>
          <w:p w14:paraId="2617F4E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government’s medium</w:t>
            </w:r>
          </w:p>
          <w:p w14:paraId="001A45F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term direction on new</w:t>
            </w:r>
          </w:p>
          <w:p w14:paraId="0AFBC41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policy initiatives</w:t>
            </w:r>
          </w:p>
          <w:p w14:paraId="779F782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(including new PSIP</w:t>
            </w:r>
          </w:p>
          <w:p w14:paraId="3BD0924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projects). All identified</w:t>
            </w:r>
          </w:p>
          <w:p w14:paraId="4B88619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pipeline projects and</w:t>
            </w:r>
          </w:p>
          <w:p w14:paraId="4A13E538"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their financing </w:t>
            </w:r>
            <w:proofErr w:type="gramStart"/>
            <w:r w:rsidRPr="00E9431E">
              <w:rPr>
                <w:rFonts w:cs="Times New Roman"/>
                <w:color w:val="000000"/>
                <w:sz w:val="20"/>
                <w:szCs w:val="20"/>
              </w:rPr>
              <w:t>have</w:t>
            </w:r>
            <w:proofErr w:type="gramEnd"/>
            <w:r w:rsidRPr="00E9431E">
              <w:rPr>
                <w:rFonts w:cs="Times New Roman"/>
                <w:color w:val="000000"/>
                <w:sz w:val="20"/>
                <w:szCs w:val="20"/>
              </w:rPr>
              <w:t xml:space="preserve"> been</w:t>
            </w:r>
          </w:p>
          <w:p w14:paraId="784D849C"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reflected in the fiscal</w:t>
            </w:r>
          </w:p>
          <w:p w14:paraId="50E54AC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block, although the</w:t>
            </w:r>
          </w:p>
          <w:p w14:paraId="0771D88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linkages to other sectors</w:t>
            </w:r>
          </w:p>
          <w:p w14:paraId="358BB98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have not been explicitly</w:t>
            </w:r>
          </w:p>
          <w:p w14:paraId="4C58989A"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established within the</w:t>
            </w:r>
          </w:p>
          <w:p w14:paraId="7DE326C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FPP framework. The</w:t>
            </w:r>
          </w:p>
          <w:p w14:paraId="0E52C00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impact of some of the</w:t>
            </w:r>
          </w:p>
          <w:p w14:paraId="179CFD5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largest projects have</w:t>
            </w:r>
          </w:p>
          <w:p w14:paraId="7CAFF30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been modelled outside</w:t>
            </w:r>
          </w:p>
          <w:p w14:paraId="050B607D"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framework (example: the</w:t>
            </w:r>
          </w:p>
          <w:p w14:paraId="2081422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proofErr w:type="spellStart"/>
            <w:r w:rsidRPr="00E9431E">
              <w:rPr>
                <w:rFonts w:cs="Times New Roman"/>
                <w:color w:val="000000"/>
                <w:sz w:val="20"/>
                <w:szCs w:val="20"/>
              </w:rPr>
              <w:t>Velana</w:t>
            </w:r>
            <w:proofErr w:type="spellEnd"/>
            <w:r w:rsidRPr="00E9431E">
              <w:rPr>
                <w:rFonts w:cs="Times New Roman"/>
                <w:color w:val="000000"/>
                <w:sz w:val="20"/>
                <w:szCs w:val="20"/>
              </w:rPr>
              <w:t xml:space="preserve"> International</w:t>
            </w:r>
          </w:p>
          <w:p w14:paraId="19D38220"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Airport expansion project</w:t>
            </w:r>
          </w:p>
          <w:p w14:paraId="6233C2B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was factored into the</w:t>
            </w:r>
          </w:p>
          <w:p w14:paraId="76C0DB8F"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tourism and GDP</w:t>
            </w:r>
          </w:p>
          <w:p w14:paraId="5FB4064B"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projections, and then</w:t>
            </w:r>
          </w:p>
          <w:p w14:paraId="18624324"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brought into the FPP framework).  </w:t>
            </w:r>
          </w:p>
        </w:tc>
      </w:tr>
      <w:tr w:rsidR="0044195C" w:rsidRPr="00E9431E" w14:paraId="51E02361" w14:textId="77777777" w:rsidTr="00E47AD4">
        <w:trPr>
          <w:trHeight w:val="466"/>
        </w:trPr>
        <w:tc>
          <w:tcPr>
            <w:tcW w:w="3613" w:type="dxa"/>
          </w:tcPr>
          <w:p w14:paraId="4E4147FD"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Engage budget consultants to work on the business requirement of integration between Business Planning and Consolidation (BPC) and ERP Central Component (ECC) systems </w:t>
            </w:r>
          </w:p>
        </w:tc>
        <w:tc>
          <w:tcPr>
            <w:tcW w:w="1531" w:type="dxa"/>
          </w:tcPr>
          <w:p w14:paraId="39739FC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PMU </w:t>
            </w:r>
          </w:p>
        </w:tc>
        <w:tc>
          <w:tcPr>
            <w:tcW w:w="1799" w:type="dxa"/>
          </w:tcPr>
          <w:p w14:paraId="23C4B01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Dec. 18 </w:t>
            </w:r>
          </w:p>
        </w:tc>
        <w:tc>
          <w:tcPr>
            <w:tcW w:w="2790" w:type="dxa"/>
          </w:tcPr>
          <w:p w14:paraId="4BA346C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Done</w:t>
            </w:r>
          </w:p>
        </w:tc>
      </w:tr>
      <w:tr w:rsidR="0044195C" w:rsidRPr="00E9431E" w14:paraId="0B494F5C" w14:textId="77777777" w:rsidTr="00E47AD4">
        <w:trPr>
          <w:trHeight w:val="244"/>
        </w:trPr>
        <w:tc>
          <w:tcPr>
            <w:tcW w:w="3613" w:type="dxa"/>
          </w:tcPr>
          <w:p w14:paraId="1EBA1236"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Strengthen the link between budget, cash forecasting and debt management </w:t>
            </w:r>
          </w:p>
        </w:tc>
        <w:tc>
          <w:tcPr>
            <w:tcW w:w="1531" w:type="dxa"/>
          </w:tcPr>
          <w:p w14:paraId="63597084"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MoF </w:t>
            </w:r>
          </w:p>
        </w:tc>
        <w:tc>
          <w:tcPr>
            <w:tcW w:w="1799" w:type="dxa"/>
          </w:tcPr>
          <w:p w14:paraId="793E5C0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Sept 18 </w:t>
            </w:r>
          </w:p>
        </w:tc>
        <w:tc>
          <w:tcPr>
            <w:tcW w:w="2790" w:type="dxa"/>
          </w:tcPr>
          <w:p w14:paraId="685E78B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Ongoing. Weekly cash mgt meetings held. </w:t>
            </w:r>
          </w:p>
        </w:tc>
      </w:tr>
      <w:tr w:rsidR="0044195C" w:rsidRPr="00E9431E" w14:paraId="6394556E" w14:textId="77777777" w:rsidTr="00E47AD4">
        <w:trPr>
          <w:trHeight w:val="244"/>
        </w:trPr>
        <w:tc>
          <w:tcPr>
            <w:tcW w:w="3613" w:type="dxa"/>
          </w:tcPr>
          <w:p w14:paraId="16763838"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Incorporate changes in budget classification in the chart of accounts (SAP ECC) to harmonize the budget codes</w:t>
            </w:r>
          </w:p>
        </w:tc>
        <w:tc>
          <w:tcPr>
            <w:tcW w:w="1531" w:type="dxa"/>
          </w:tcPr>
          <w:p w14:paraId="50576DDF"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p>
        </w:tc>
        <w:tc>
          <w:tcPr>
            <w:tcW w:w="1799" w:type="dxa"/>
          </w:tcPr>
          <w:p w14:paraId="451EE05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Sept 30</w:t>
            </w:r>
          </w:p>
        </w:tc>
        <w:tc>
          <w:tcPr>
            <w:tcW w:w="2790" w:type="dxa"/>
          </w:tcPr>
          <w:p w14:paraId="4C90A19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Not required. No request received from FAD yet.</w:t>
            </w:r>
          </w:p>
        </w:tc>
      </w:tr>
      <w:tr w:rsidR="0044195C" w:rsidRPr="00E9431E" w14:paraId="0FF6D0B3" w14:textId="77777777" w:rsidTr="00E47AD4">
        <w:trPr>
          <w:trHeight w:val="244"/>
        </w:trPr>
        <w:tc>
          <w:tcPr>
            <w:tcW w:w="3613" w:type="dxa"/>
          </w:tcPr>
          <w:p w14:paraId="4C9E378C"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Web-publish audited financial statements </w:t>
            </w:r>
          </w:p>
        </w:tc>
        <w:tc>
          <w:tcPr>
            <w:tcW w:w="1531" w:type="dxa"/>
          </w:tcPr>
          <w:p w14:paraId="6CC5E6D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MOF/ AG </w:t>
            </w:r>
          </w:p>
        </w:tc>
        <w:tc>
          <w:tcPr>
            <w:tcW w:w="1799" w:type="dxa"/>
          </w:tcPr>
          <w:p w14:paraId="7F360FBC"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Sept 18 </w:t>
            </w:r>
          </w:p>
        </w:tc>
        <w:tc>
          <w:tcPr>
            <w:tcW w:w="2790" w:type="dxa"/>
          </w:tcPr>
          <w:p w14:paraId="580697B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This may take time.  </w:t>
            </w:r>
          </w:p>
        </w:tc>
      </w:tr>
      <w:tr w:rsidR="0044195C" w:rsidRPr="00E9431E" w14:paraId="4B88CE97" w14:textId="77777777" w:rsidTr="00E47AD4">
        <w:trPr>
          <w:trHeight w:val="355"/>
        </w:trPr>
        <w:tc>
          <w:tcPr>
            <w:tcW w:w="3613" w:type="dxa"/>
          </w:tcPr>
          <w:p w14:paraId="0AB1239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Carry out an audit to reconcile establishment register in Civil Service Commission (CSC) with the SAP HR payroll on a monthly basis </w:t>
            </w:r>
          </w:p>
        </w:tc>
        <w:tc>
          <w:tcPr>
            <w:tcW w:w="1531" w:type="dxa"/>
          </w:tcPr>
          <w:p w14:paraId="48B02DE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p>
        </w:tc>
        <w:tc>
          <w:tcPr>
            <w:tcW w:w="1799" w:type="dxa"/>
          </w:tcPr>
          <w:p w14:paraId="29DDD807"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December 2019</w:t>
            </w:r>
          </w:p>
        </w:tc>
        <w:tc>
          <w:tcPr>
            <w:tcW w:w="2790" w:type="dxa"/>
          </w:tcPr>
          <w:p w14:paraId="3EB5479B"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BPC consultancy has closed. DLR 2.1 </w:t>
            </w:r>
          </w:p>
        </w:tc>
      </w:tr>
      <w:tr w:rsidR="0044195C" w:rsidRPr="00E9431E" w14:paraId="207EB0DD" w14:textId="77777777" w:rsidTr="00E47AD4">
        <w:trPr>
          <w:trHeight w:val="354"/>
        </w:trPr>
        <w:tc>
          <w:tcPr>
            <w:tcW w:w="3613" w:type="dxa"/>
          </w:tcPr>
          <w:p w14:paraId="5A6A430E"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Complete pilot internal audits </w:t>
            </w:r>
          </w:p>
        </w:tc>
        <w:tc>
          <w:tcPr>
            <w:tcW w:w="1531" w:type="dxa"/>
          </w:tcPr>
          <w:p w14:paraId="399B65E0"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MoF </w:t>
            </w:r>
          </w:p>
        </w:tc>
        <w:tc>
          <w:tcPr>
            <w:tcW w:w="1799" w:type="dxa"/>
          </w:tcPr>
          <w:p w14:paraId="19A00A89"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Nov 18 </w:t>
            </w:r>
          </w:p>
        </w:tc>
        <w:tc>
          <w:tcPr>
            <w:tcW w:w="2790" w:type="dxa"/>
          </w:tcPr>
          <w:p w14:paraId="2BC0DA2D"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Delayed. New Int auditor needs to be selected. Consultancy closed. Way forward has not been decided. MoF is engaging with Internal Audit staff to conduct trainings on SAP.  </w:t>
            </w:r>
          </w:p>
        </w:tc>
      </w:tr>
      <w:tr w:rsidR="0044195C" w:rsidRPr="00E9431E" w14:paraId="14D40D11" w14:textId="77777777" w:rsidTr="00E47AD4">
        <w:trPr>
          <w:trHeight w:val="355"/>
        </w:trPr>
        <w:tc>
          <w:tcPr>
            <w:tcW w:w="3613" w:type="dxa"/>
          </w:tcPr>
          <w:p w14:paraId="3753D0D3"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Publication of basic contract award data for contracts awarded above USD 100,000 in </w:t>
            </w:r>
            <w:proofErr w:type="spellStart"/>
            <w:r w:rsidRPr="00E9431E">
              <w:rPr>
                <w:rFonts w:cs="Times New Roman"/>
                <w:color w:val="000000"/>
                <w:sz w:val="20"/>
                <w:szCs w:val="20"/>
              </w:rPr>
              <w:t>MoFT</w:t>
            </w:r>
            <w:proofErr w:type="spellEnd"/>
            <w:r w:rsidRPr="00E9431E">
              <w:rPr>
                <w:rFonts w:cs="Times New Roman"/>
                <w:color w:val="000000"/>
                <w:sz w:val="20"/>
                <w:szCs w:val="20"/>
              </w:rPr>
              <w:t xml:space="preserve"> website </w:t>
            </w:r>
          </w:p>
        </w:tc>
        <w:tc>
          <w:tcPr>
            <w:tcW w:w="1531" w:type="dxa"/>
          </w:tcPr>
          <w:p w14:paraId="257EED8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National Tender Board </w:t>
            </w:r>
          </w:p>
        </w:tc>
        <w:tc>
          <w:tcPr>
            <w:tcW w:w="1799" w:type="dxa"/>
          </w:tcPr>
          <w:p w14:paraId="116ACA01"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Continuous </w:t>
            </w:r>
          </w:p>
        </w:tc>
        <w:tc>
          <w:tcPr>
            <w:tcW w:w="2790" w:type="dxa"/>
          </w:tcPr>
          <w:p w14:paraId="48D4552A"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Done</w:t>
            </w:r>
          </w:p>
        </w:tc>
      </w:tr>
      <w:tr w:rsidR="0044195C" w:rsidRPr="00E9431E" w14:paraId="25444473" w14:textId="77777777" w:rsidTr="00E47AD4">
        <w:trPr>
          <w:trHeight w:val="465"/>
        </w:trPr>
        <w:tc>
          <w:tcPr>
            <w:tcW w:w="3613" w:type="dxa"/>
          </w:tcPr>
          <w:p w14:paraId="260612BA"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Assign Internal Audit (IA) to carry out the project internal audit and agree on an audit plan </w:t>
            </w:r>
          </w:p>
        </w:tc>
        <w:tc>
          <w:tcPr>
            <w:tcW w:w="1531" w:type="dxa"/>
          </w:tcPr>
          <w:p w14:paraId="52094355"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IA unit </w:t>
            </w:r>
          </w:p>
        </w:tc>
        <w:tc>
          <w:tcPr>
            <w:tcW w:w="1799" w:type="dxa"/>
          </w:tcPr>
          <w:p w14:paraId="486904F2"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r w:rsidRPr="00E9431E">
              <w:rPr>
                <w:rFonts w:cs="Times New Roman"/>
                <w:color w:val="000000"/>
                <w:sz w:val="20"/>
                <w:szCs w:val="20"/>
              </w:rPr>
              <w:t xml:space="preserve">Dec 18 </w:t>
            </w:r>
          </w:p>
        </w:tc>
        <w:tc>
          <w:tcPr>
            <w:tcW w:w="2790" w:type="dxa"/>
          </w:tcPr>
          <w:p w14:paraId="7FEF956C" w14:textId="77777777" w:rsidR="0044195C" w:rsidRPr="00E9431E" w:rsidRDefault="0044195C" w:rsidP="00E47AD4">
            <w:pPr>
              <w:autoSpaceDE w:val="0"/>
              <w:autoSpaceDN w:val="0"/>
              <w:adjustRightInd w:val="0"/>
              <w:spacing w:after="0" w:line="240" w:lineRule="auto"/>
              <w:jc w:val="both"/>
              <w:rPr>
                <w:rFonts w:cs="Times New Roman"/>
                <w:color w:val="000000"/>
                <w:sz w:val="20"/>
                <w:szCs w:val="20"/>
              </w:rPr>
            </w:pPr>
          </w:p>
        </w:tc>
      </w:tr>
    </w:tbl>
    <w:p w14:paraId="2D32201F" w14:textId="77777777" w:rsidR="0077054C" w:rsidRPr="00C01218" w:rsidRDefault="0077054C" w:rsidP="0077054C">
      <w:pPr>
        <w:jc w:val="both"/>
        <w:rPr>
          <w:rFonts w:eastAsia="Calibri"/>
          <w:sz w:val="22"/>
        </w:rPr>
      </w:pPr>
    </w:p>
    <w:p w14:paraId="58C38798" w14:textId="77777777" w:rsidR="00CE3465" w:rsidRPr="00C01218" w:rsidRDefault="00CE3465" w:rsidP="00CE3465">
      <w:pPr>
        <w:pStyle w:val="ListParagraph"/>
        <w:numPr>
          <w:ilvl w:val="0"/>
          <w:numId w:val="3"/>
        </w:numPr>
        <w:rPr>
          <w:rFonts w:cs="Times New Roman"/>
          <w:b/>
          <w:sz w:val="22"/>
        </w:rPr>
      </w:pPr>
      <w:r w:rsidRPr="00C01218">
        <w:rPr>
          <w:rFonts w:cs="Times New Roman"/>
          <w:b/>
          <w:sz w:val="22"/>
        </w:rPr>
        <w:t>Next mission</w:t>
      </w:r>
    </w:p>
    <w:p w14:paraId="16D57CED" w14:textId="77777777" w:rsidR="007E6EE2" w:rsidRDefault="007E6EE2" w:rsidP="007E6EE2">
      <w:pPr>
        <w:pStyle w:val="ListParagraph"/>
        <w:ind w:left="360"/>
        <w:rPr>
          <w:rFonts w:cs="Times New Roman"/>
          <w:sz w:val="22"/>
        </w:rPr>
      </w:pPr>
    </w:p>
    <w:p w14:paraId="07F7B5E8" w14:textId="70876FB6" w:rsidR="007E6EE2" w:rsidRPr="007E6EE2" w:rsidRDefault="007E6EE2" w:rsidP="007E6EE2">
      <w:pPr>
        <w:pStyle w:val="ListParagraph"/>
        <w:ind w:left="360"/>
        <w:rPr>
          <w:rFonts w:cs="Times New Roman"/>
          <w:sz w:val="22"/>
        </w:rPr>
      </w:pPr>
      <w:r w:rsidRPr="007E6EE2">
        <w:rPr>
          <w:rFonts w:cs="Times New Roman"/>
          <w:sz w:val="22"/>
        </w:rPr>
        <w:t xml:space="preserve">A follow up implementation support mission is tentatively scheduled to take place around March 2020. </w:t>
      </w:r>
    </w:p>
    <w:p w14:paraId="2DB687F8" w14:textId="77777777" w:rsidR="003925CE" w:rsidRPr="009F0256" w:rsidRDefault="003925CE" w:rsidP="003925CE">
      <w:pPr>
        <w:rPr>
          <w:rFonts w:cs="Times New Roman"/>
          <w:b/>
          <w:szCs w:val="24"/>
        </w:rPr>
      </w:pPr>
    </w:p>
    <w:p w14:paraId="6D9854E5" w14:textId="619D6F73" w:rsidR="00272E08" w:rsidRPr="009F0256" w:rsidRDefault="00CE3465" w:rsidP="009F0256">
      <w:pPr>
        <w:spacing w:after="0"/>
        <w:jc w:val="center"/>
        <w:rPr>
          <w:rFonts w:cs="Times New Roman"/>
          <w:b/>
          <w:szCs w:val="24"/>
        </w:rPr>
      </w:pPr>
      <w:r w:rsidRPr="009F0256">
        <w:rPr>
          <w:rFonts w:cs="Times New Roman"/>
          <w:b/>
          <w:szCs w:val="24"/>
        </w:rPr>
        <w:t>Annex 1</w:t>
      </w:r>
      <w:r w:rsidR="00272E08" w:rsidRPr="009F0256">
        <w:rPr>
          <w:rFonts w:cs="Times New Roman"/>
          <w:b/>
          <w:szCs w:val="24"/>
        </w:rPr>
        <w:t>:  List of key counterparts met</w:t>
      </w:r>
    </w:p>
    <w:tbl>
      <w:tblPr>
        <w:tblStyle w:val="TableGrid"/>
        <w:tblW w:w="10748" w:type="dxa"/>
        <w:tblInd w:w="-113" w:type="dxa"/>
        <w:tblLook w:val="04A0" w:firstRow="1" w:lastRow="0" w:firstColumn="1" w:lastColumn="0" w:noHBand="0" w:noVBand="1"/>
      </w:tblPr>
      <w:tblGrid>
        <w:gridCol w:w="828"/>
        <w:gridCol w:w="1902"/>
        <w:gridCol w:w="1590"/>
        <w:gridCol w:w="2013"/>
        <w:gridCol w:w="4415"/>
      </w:tblGrid>
      <w:tr w:rsidR="00313327" w:rsidRPr="00E9431E" w14:paraId="162A00A3" w14:textId="77777777" w:rsidTr="009F0256">
        <w:trPr>
          <w:trHeight w:val="467"/>
        </w:trPr>
        <w:tc>
          <w:tcPr>
            <w:tcW w:w="828" w:type="dxa"/>
            <w:tcBorders>
              <w:top w:val="single" w:sz="4" w:space="0" w:color="auto"/>
              <w:left w:val="single" w:sz="4" w:space="0" w:color="auto"/>
              <w:bottom w:val="single" w:sz="4" w:space="0" w:color="auto"/>
              <w:right w:val="single" w:sz="4" w:space="0" w:color="auto"/>
            </w:tcBorders>
            <w:vAlign w:val="center"/>
            <w:hideMark/>
          </w:tcPr>
          <w:p w14:paraId="41A21201" w14:textId="77777777" w:rsidR="00313327" w:rsidRPr="00E9431E" w:rsidRDefault="00313327" w:rsidP="009F0256">
            <w:pPr>
              <w:rPr>
                <w:rFonts w:cs="Times New Roman"/>
                <w:b/>
                <w:bCs/>
                <w:sz w:val="20"/>
                <w:szCs w:val="20"/>
              </w:rPr>
            </w:pPr>
            <w:r w:rsidRPr="00E9431E">
              <w:rPr>
                <w:rFonts w:cs="Times New Roman"/>
                <w:b/>
                <w:bCs/>
                <w:sz w:val="20"/>
                <w:szCs w:val="20"/>
              </w:rPr>
              <w:t>#</w:t>
            </w:r>
          </w:p>
        </w:tc>
        <w:tc>
          <w:tcPr>
            <w:tcW w:w="1902" w:type="dxa"/>
            <w:tcBorders>
              <w:top w:val="single" w:sz="4" w:space="0" w:color="auto"/>
              <w:left w:val="single" w:sz="4" w:space="0" w:color="auto"/>
              <w:bottom w:val="single" w:sz="4" w:space="0" w:color="auto"/>
              <w:right w:val="single" w:sz="4" w:space="0" w:color="auto"/>
            </w:tcBorders>
            <w:vAlign w:val="center"/>
            <w:hideMark/>
          </w:tcPr>
          <w:p w14:paraId="019987A9" w14:textId="77777777" w:rsidR="00313327" w:rsidRPr="00E9431E" w:rsidRDefault="00313327" w:rsidP="00E47AD4">
            <w:pPr>
              <w:rPr>
                <w:rFonts w:cs="Times New Roman"/>
                <w:b/>
                <w:bCs/>
                <w:sz w:val="20"/>
                <w:szCs w:val="20"/>
              </w:rPr>
            </w:pPr>
            <w:r w:rsidRPr="00E9431E">
              <w:rPr>
                <w:rFonts w:cs="Times New Roman"/>
                <w:b/>
                <w:bCs/>
                <w:sz w:val="20"/>
                <w:szCs w:val="20"/>
              </w:rPr>
              <w:t>Name</w:t>
            </w:r>
          </w:p>
        </w:tc>
        <w:tc>
          <w:tcPr>
            <w:tcW w:w="1590" w:type="dxa"/>
            <w:tcBorders>
              <w:top w:val="single" w:sz="4" w:space="0" w:color="auto"/>
              <w:left w:val="single" w:sz="4" w:space="0" w:color="auto"/>
              <w:bottom w:val="single" w:sz="4" w:space="0" w:color="auto"/>
              <w:right w:val="single" w:sz="4" w:space="0" w:color="auto"/>
            </w:tcBorders>
            <w:vAlign w:val="center"/>
            <w:hideMark/>
          </w:tcPr>
          <w:p w14:paraId="79F602F5" w14:textId="77777777" w:rsidR="00313327" w:rsidRPr="00E9431E" w:rsidRDefault="00313327" w:rsidP="00E47AD4">
            <w:pPr>
              <w:rPr>
                <w:rFonts w:cs="Times New Roman"/>
                <w:b/>
                <w:bCs/>
                <w:sz w:val="20"/>
                <w:szCs w:val="20"/>
              </w:rPr>
            </w:pPr>
            <w:r w:rsidRPr="00E9431E">
              <w:rPr>
                <w:rFonts w:cs="Times New Roman"/>
                <w:b/>
                <w:bCs/>
                <w:sz w:val="20"/>
                <w:szCs w:val="20"/>
              </w:rPr>
              <w:t>Designation</w:t>
            </w:r>
          </w:p>
        </w:tc>
        <w:tc>
          <w:tcPr>
            <w:tcW w:w="2013" w:type="dxa"/>
            <w:tcBorders>
              <w:top w:val="single" w:sz="4" w:space="0" w:color="auto"/>
              <w:left w:val="single" w:sz="4" w:space="0" w:color="auto"/>
              <w:bottom w:val="single" w:sz="4" w:space="0" w:color="auto"/>
              <w:right w:val="single" w:sz="4" w:space="0" w:color="auto"/>
            </w:tcBorders>
            <w:vAlign w:val="center"/>
            <w:hideMark/>
          </w:tcPr>
          <w:p w14:paraId="6DDC636B" w14:textId="77777777" w:rsidR="00313327" w:rsidRPr="00E9431E" w:rsidRDefault="00313327" w:rsidP="00E47AD4">
            <w:pPr>
              <w:rPr>
                <w:rFonts w:cs="Times New Roman"/>
                <w:b/>
                <w:bCs/>
                <w:sz w:val="20"/>
                <w:szCs w:val="20"/>
              </w:rPr>
            </w:pPr>
            <w:r w:rsidRPr="00E9431E">
              <w:rPr>
                <w:rFonts w:cs="Times New Roman"/>
                <w:b/>
                <w:bCs/>
                <w:sz w:val="20"/>
                <w:szCs w:val="20"/>
              </w:rPr>
              <w:t>Division/Section</w:t>
            </w:r>
          </w:p>
        </w:tc>
        <w:tc>
          <w:tcPr>
            <w:tcW w:w="4415" w:type="dxa"/>
            <w:tcBorders>
              <w:top w:val="single" w:sz="4" w:space="0" w:color="auto"/>
              <w:left w:val="single" w:sz="4" w:space="0" w:color="auto"/>
              <w:bottom w:val="single" w:sz="4" w:space="0" w:color="auto"/>
              <w:right w:val="single" w:sz="4" w:space="0" w:color="auto"/>
            </w:tcBorders>
            <w:vAlign w:val="center"/>
          </w:tcPr>
          <w:p w14:paraId="3ADEF356" w14:textId="77777777" w:rsidR="00313327" w:rsidRPr="00E9431E" w:rsidRDefault="00313327" w:rsidP="00E47AD4">
            <w:pPr>
              <w:rPr>
                <w:rFonts w:cs="Times New Roman"/>
                <w:b/>
                <w:bCs/>
                <w:sz w:val="20"/>
                <w:szCs w:val="20"/>
              </w:rPr>
            </w:pPr>
            <w:r w:rsidRPr="00E9431E">
              <w:rPr>
                <w:rFonts w:cs="Times New Roman"/>
                <w:b/>
                <w:bCs/>
                <w:sz w:val="20"/>
                <w:szCs w:val="20"/>
              </w:rPr>
              <w:t>Email</w:t>
            </w:r>
          </w:p>
        </w:tc>
      </w:tr>
      <w:tr w:rsidR="00313327" w:rsidRPr="00E9431E" w14:paraId="366CF731" w14:textId="77777777" w:rsidTr="009F0256">
        <w:tc>
          <w:tcPr>
            <w:tcW w:w="828" w:type="dxa"/>
            <w:tcBorders>
              <w:top w:val="single" w:sz="4" w:space="0" w:color="auto"/>
              <w:left w:val="single" w:sz="4" w:space="0" w:color="auto"/>
              <w:bottom w:val="single" w:sz="4" w:space="0" w:color="auto"/>
              <w:right w:val="single" w:sz="4" w:space="0" w:color="auto"/>
            </w:tcBorders>
            <w:vAlign w:val="center"/>
            <w:hideMark/>
          </w:tcPr>
          <w:p w14:paraId="6467313F"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hideMark/>
          </w:tcPr>
          <w:p w14:paraId="65D93B64" w14:textId="77777777" w:rsidR="00313327" w:rsidRPr="00E9431E" w:rsidRDefault="00313327" w:rsidP="00E47AD4">
            <w:pPr>
              <w:rPr>
                <w:rFonts w:cs="Times New Roman"/>
                <w:sz w:val="20"/>
                <w:szCs w:val="20"/>
              </w:rPr>
            </w:pPr>
            <w:r w:rsidRPr="00E9431E">
              <w:rPr>
                <w:rFonts w:cs="Times New Roman"/>
                <w:sz w:val="20"/>
                <w:szCs w:val="20"/>
              </w:rPr>
              <w:t xml:space="preserve">Ismail Ali </w:t>
            </w:r>
            <w:proofErr w:type="spellStart"/>
            <w:r w:rsidRPr="00E9431E">
              <w:rPr>
                <w:rFonts w:cs="Times New Roman"/>
                <w:sz w:val="20"/>
                <w:szCs w:val="20"/>
              </w:rPr>
              <w:t>Manik</w:t>
            </w:r>
            <w:proofErr w:type="spellEnd"/>
          </w:p>
        </w:tc>
        <w:tc>
          <w:tcPr>
            <w:tcW w:w="1590" w:type="dxa"/>
            <w:tcBorders>
              <w:top w:val="single" w:sz="4" w:space="0" w:color="auto"/>
              <w:left w:val="single" w:sz="4" w:space="0" w:color="auto"/>
              <w:bottom w:val="single" w:sz="4" w:space="0" w:color="auto"/>
              <w:right w:val="single" w:sz="4" w:space="0" w:color="auto"/>
            </w:tcBorders>
            <w:vAlign w:val="center"/>
            <w:hideMark/>
          </w:tcPr>
          <w:p w14:paraId="59C84EAF" w14:textId="77777777" w:rsidR="00313327" w:rsidRPr="00E9431E" w:rsidRDefault="00313327" w:rsidP="00E47AD4">
            <w:pPr>
              <w:rPr>
                <w:rFonts w:cs="Times New Roman"/>
                <w:sz w:val="20"/>
                <w:szCs w:val="20"/>
              </w:rPr>
            </w:pPr>
            <w:r w:rsidRPr="00E9431E">
              <w:rPr>
                <w:rFonts w:cs="Times New Roman"/>
                <w:sz w:val="20"/>
                <w:szCs w:val="20"/>
              </w:rPr>
              <w:t>State Minister</w:t>
            </w:r>
          </w:p>
        </w:tc>
        <w:tc>
          <w:tcPr>
            <w:tcW w:w="2013" w:type="dxa"/>
            <w:tcBorders>
              <w:top w:val="single" w:sz="4" w:space="0" w:color="auto"/>
              <w:left w:val="single" w:sz="4" w:space="0" w:color="auto"/>
              <w:bottom w:val="single" w:sz="4" w:space="0" w:color="auto"/>
              <w:right w:val="single" w:sz="4" w:space="0" w:color="auto"/>
            </w:tcBorders>
            <w:vAlign w:val="center"/>
            <w:hideMark/>
          </w:tcPr>
          <w:p w14:paraId="747F63DE" w14:textId="77777777" w:rsidR="00313327" w:rsidRPr="00E9431E" w:rsidRDefault="00313327" w:rsidP="00E47AD4">
            <w:pPr>
              <w:rPr>
                <w:rFonts w:cs="Times New Roman"/>
                <w:sz w:val="20"/>
                <w:szCs w:val="20"/>
              </w:rPr>
            </w:pPr>
            <w:r w:rsidRPr="00E9431E">
              <w:rPr>
                <w:rFonts w:cs="Times New Roman"/>
                <w:sz w:val="20"/>
                <w:szCs w:val="20"/>
              </w:rPr>
              <w:t>-</w:t>
            </w:r>
          </w:p>
        </w:tc>
        <w:tc>
          <w:tcPr>
            <w:tcW w:w="4415" w:type="dxa"/>
            <w:tcBorders>
              <w:top w:val="single" w:sz="4" w:space="0" w:color="auto"/>
              <w:left w:val="single" w:sz="4" w:space="0" w:color="auto"/>
              <w:bottom w:val="single" w:sz="4" w:space="0" w:color="auto"/>
              <w:right w:val="single" w:sz="4" w:space="0" w:color="auto"/>
            </w:tcBorders>
          </w:tcPr>
          <w:p w14:paraId="562722C0" w14:textId="77777777" w:rsidR="00313327" w:rsidRPr="00E9431E" w:rsidRDefault="003033FA" w:rsidP="00E47AD4">
            <w:pPr>
              <w:rPr>
                <w:rFonts w:cs="Times New Roman"/>
                <w:sz w:val="20"/>
                <w:szCs w:val="20"/>
              </w:rPr>
            </w:pPr>
            <w:hyperlink r:id="rId11" w:history="1">
              <w:r w:rsidR="00313327" w:rsidRPr="00E9431E">
                <w:rPr>
                  <w:rStyle w:val="Hyperlink"/>
                  <w:rFonts w:cs="Times New Roman"/>
                  <w:sz w:val="20"/>
                  <w:szCs w:val="20"/>
                </w:rPr>
                <w:t>ismail.alimanik@finance.gov.mv</w:t>
              </w:r>
            </w:hyperlink>
          </w:p>
        </w:tc>
      </w:tr>
      <w:tr w:rsidR="00313327" w:rsidRPr="00E9431E" w14:paraId="241FF2EC"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0D53EBAB"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6784C2EE" w14:textId="77777777" w:rsidR="00313327" w:rsidRPr="00E9431E" w:rsidRDefault="00313327" w:rsidP="00E47AD4">
            <w:pPr>
              <w:rPr>
                <w:rFonts w:cs="Times New Roman"/>
                <w:sz w:val="20"/>
                <w:szCs w:val="20"/>
              </w:rPr>
            </w:pPr>
            <w:proofErr w:type="spellStart"/>
            <w:r w:rsidRPr="00E9431E">
              <w:rPr>
                <w:rFonts w:cs="Times New Roman"/>
                <w:sz w:val="20"/>
                <w:szCs w:val="20"/>
              </w:rPr>
              <w:t>Fathimath</w:t>
            </w:r>
            <w:proofErr w:type="spellEnd"/>
            <w:r w:rsidRPr="00E9431E">
              <w:rPr>
                <w:rFonts w:cs="Times New Roman"/>
                <w:sz w:val="20"/>
                <w:szCs w:val="20"/>
              </w:rPr>
              <w:t xml:space="preserve"> </w:t>
            </w:r>
            <w:proofErr w:type="spellStart"/>
            <w:r w:rsidRPr="00E9431E">
              <w:rPr>
                <w:rFonts w:cs="Times New Roman"/>
                <w:sz w:val="20"/>
                <w:szCs w:val="20"/>
              </w:rPr>
              <w:t>Razeena</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6B370D0F" w14:textId="77777777" w:rsidR="00313327" w:rsidRPr="00E9431E" w:rsidRDefault="00313327" w:rsidP="00E47AD4">
            <w:pPr>
              <w:rPr>
                <w:rFonts w:cs="Times New Roman"/>
                <w:sz w:val="20"/>
                <w:szCs w:val="20"/>
              </w:rPr>
            </w:pPr>
            <w:r w:rsidRPr="00E9431E">
              <w:rPr>
                <w:rFonts w:cs="Times New Roman"/>
                <w:sz w:val="20"/>
                <w:szCs w:val="20"/>
              </w:rPr>
              <w:t>Financial Controller</w:t>
            </w:r>
          </w:p>
        </w:tc>
        <w:tc>
          <w:tcPr>
            <w:tcW w:w="2013" w:type="dxa"/>
            <w:tcBorders>
              <w:top w:val="single" w:sz="4" w:space="0" w:color="auto"/>
              <w:left w:val="single" w:sz="4" w:space="0" w:color="auto"/>
              <w:bottom w:val="single" w:sz="4" w:space="0" w:color="auto"/>
              <w:right w:val="single" w:sz="4" w:space="0" w:color="auto"/>
            </w:tcBorders>
            <w:vAlign w:val="center"/>
          </w:tcPr>
          <w:p w14:paraId="39FCE82B" w14:textId="77777777" w:rsidR="00313327" w:rsidRPr="00E9431E" w:rsidRDefault="00313327" w:rsidP="00E47AD4">
            <w:pPr>
              <w:rPr>
                <w:rFonts w:cs="Times New Roman"/>
                <w:sz w:val="20"/>
                <w:szCs w:val="20"/>
              </w:rPr>
            </w:pPr>
            <w:r w:rsidRPr="00E9431E">
              <w:rPr>
                <w:rFonts w:cs="Times New Roman"/>
                <w:sz w:val="20"/>
                <w:szCs w:val="20"/>
              </w:rPr>
              <w:t>-</w:t>
            </w:r>
          </w:p>
        </w:tc>
        <w:tc>
          <w:tcPr>
            <w:tcW w:w="4415" w:type="dxa"/>
            <w:tcBorders>
              <w:top w:val="single" w:sz="4" w:space="0" w:color="auto"/>
              <w:left w:val="single" w:sz="4" w:space="0" w:color="auto"/>
              <w:bottom w:val="single" w:sz="4" w:space="0" w:color="auto"/>
              <w:right w:val="single" w:sz="4" w:space="0" w:color="auto"/>
            </w:tcBorders>
          </w:tcPr>
          <w:p w14:paraId="36638CDE" w14:textId="77777777" w:rsidR="00313327" w:rsidRPr="00E9431E" w:rsidRDefault="003033FA" w:rsidP="00E47AD4">
            <w:pPr>
              <w:rPr>
                <w:rFonts w:cs="Times New Roman"/>
                <w:sz w:val="20"/>
                <w:szCs w:val="20"/>
              </w:rPr>
            </w:pPr>
            <w:hyperlink r:id="rId12" w:history="1">
              <w:r w:rsidR="00313327" w:rsidRPr="00E9431E">
                <w:rPr>
                  <w:rStyle w:val="Hyperlink"/>
                  <w:rFonts w:cs="Times New Roman"/>
                  <w:sz w:val="20"/>
                  <w:szCs w:val="20"/>
                </w:rPr>
                <w:t>fathimath.razeena@finance.gov.mv</w:t>
              </w:r>
            </w:hyperlink>
          </w:p>
        </w:tc>
      </w:tr>
      <w:tr w:rsidR="00313327" w:rsidRPr="00E9431E" w14:paraId="5E393EDA"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78B70C24"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2159BB10" w14:textId="77777777" w:rsidR="00313327" w:rsidRPr="00E9431E" w:rsidRDefault="00313327" w:rsidP="00E47AD4">
            <w:pPr>
              <w:rPr>
                <w:rFonts w:cs="Times New Roman"/>
                <w:sz w:val="20"/>
                <w:szCs w:val="20"/>
              </w:rPr>
            </w:pPr>
            <w:r w:rsidRPr="00E9431E">
              <w:rPr>
                <w:rFonts w:cs="Times New Roman"/>
                <w:sz w:val="20"/>
                <w:szCs w:val="20"/>
              </w:rPr>
              <w:t xml:space="preserve">Ahamed Iman </w:t>
            </w:r>
            <w:proofErr w:type="spellStart"/>
            <w:r w:rsidRPr="00E9431E">
              <w:rPr>
                <w:rFonts w:cs="Times New Roman"/>
                <w:sz w:val="20"/>
                <w:szCs w:val="20"/>
              </w:rPr>
              <w:t>Moosa</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0A6A2391" w14:textId="77777777" w:rsidR="00313327" w:rsidRPr="00E9431E" w:rsidRDefault="00313327" w:rsidP="00E47AD4">
            <w:pPr>
              <w:rPr>
                <w:rFonts w:cs="Times New Roman"/>
                <w:sz w:val="20"/>
                <w:szCs w:val="20"/>
              </w:rPr>
            </w:pPr>
            <w:r w:rsidRPr="00E9431E">
              <w:rPr>
                <w:rFonts w:cs="Times New Roman"/>
                <w:sz w:val="20"/>
                <w:szCs w:val="20"/>
              </w:rPr>
              <w:t>Deputy Minister</w:t>
            </w:r>
          </w:p>
        </w:tc>
        <w:tc>
          <w:tcPr>
            <w:tcW w:w="2013" w:type="dxa"/>
            <w:tcBorders>
              <w:top w:val="single" w:sz="4" w:space="0" w:color="auto"/>
              <w:left w:val="single" w:sz="4" w:space="0" w:color="auto"/>
              <w:bottom w:val="single" w:sz="4" w:space="0" w:color="auto"/>
              <w:right w:val="single" w:sz="4" w:space="0" w:color="auto"/>
            </w:tcBorders>
            <w:vAlign w:val="center"/>
          </w:tcPr>
          <w:p w14:paraId="24E3217B" w14:textId="77777777" w:rsidR="00313327" w:rsidRPr="00E9431E" w:rsidRDefault="00313327" w:rsidP="00E47AD4">
            <w:pPr>
              <w:rPr>
                <w:rFonts w:cs="Times New Roman"/>
                <w:sz w:val="20"/>
                <w:szCs w:val="20"/>
              </w:rPr>
            </w:pPr>
            <w:r w:rsidRPr="00E9431E">
              <w:rPr>
                <w:rFonts w:cs="Times New Roman"/>
                <w:sz w:val="20"/>
                <w:szCs w:val="20"/>
              </w:rPr>
              <w:t>-</w:t>
            </w:r>
          </w:p>
        </w:tc>
        <w:tc>
          <w:tcPr>
            <w:tcW w:w="4415" w:type="dxa"/>
            <w:tcBorders>
              <w:top w:val="single" w:sz="4" w:space="0" w:color="auto"/>
              <w:left w:val="single" w:sz="4" w:space="0" w:color="auto"/>
              <w:bottom w:val="single" w:sz="4" w:space="0" w:color="auto"/>
              <w:right w:val="single" w:sz="4" w:space="0" w:color="auto"/>
            </w:tcBorders>
          </w:tcPr>
          <w:p w14:paraId="3888412D" w14:textId="77777777" w:rsidR="00313327" w:rsidRPr="00E9431E" w:rsidRDefault="003033FA" w:rsidP="00E47AD4">
            <w:pPr>
              <w:rPr>
                <w:rFonts w:cs="Times New Roman"/>
                <w:sz w:val="20"/>
                <w:szCs w:val="20"/>
              </w:rPr>
            </w:pPr>
            <w:hyperlink r:id="rId13" w:history="1">
              <w:r w:rsidR="00313327" w:rsidRPr="00E9431E">
                <w:rPr>
                  <w:rStyle w:val="Hyperlink"/>
                  <w:rFonts w:cs="Times New Roman"/>
                  <w:sz w:val="20"/>
                  <w:szCs w:val="20"/>
                </w:rPr>
                <w:t>ahamed.iman@finance.gov.mv</w:t>
              </w:r>
            </w:hyperlink>
          </w:p>
        </w:tc>
      </w:tr>
      <w:tr w:rsidR="00313327" w:rsidRPr="00E9431E" w14:paraId="42050DDC"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552D136D"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3D4F1B75" w14:textId="77777777" w:rsidR="00313327" w:rsidRPr="00E9431E" w:rsidRDefault="00313327" w:rsidP="00E47AD4">
            <w:pPr>
              <w:rPr>
                <w:rFonts w:cs="Times New Roman"/>
                <w:sz w:val="20"/>
                <w:szCs w:val="20"/>
              </w:rPr>
            </w:pPr>
            <w:r w:rsidRPr="00E9431E">
              <w:rPr>
                <w:rFonts w:cs="Times New Roman"/>
                <w:sz w:val="20"/>
                <w:szCs w:val="20"/>
              </w:rPr>
              <w:t xml:space="preserve">Mariyam </w:t>
            </w:r>
            <w:proofErr w:type="spellStart"/>
            <w:r w:rsidRPr="00E9431E">
              <w:rPr>
                <w:rFonts w:cs="Times New Roman"/>
                <w:sz w:val="20"/>
                <w:szCs w:val="20"/>
              </w:rPr>
              <w:t>Manarath</w:t>
            </w:r>
            <w:proofErr w:type="spellEnd"/>
            <w:r w:rsidRPr="00E9431E">
              <w:rPr>
                <w:rFonts w:cs="Times New Roman"/>
                <w:sz w:val="20"/>
                <w:szCs w:val="20"/>
              </w:rPr>
              <w:t xml:space="preserve"> Muneer</w:t>
            </w:r>
          </w:p>
        </w:tc>
        <w:tc>
          <w:tcPr>
            <w:tcW w:w="1590" w:type="dxa"/>
            <w:tcBorders>
              <w:top w:val="single" w:sz="4" w:space="0" w:color="auto"/>
              <w:left w:val="single" w:sz="4" w:space="0" w:color="auto"/>
              <w:bottom w:val="single" w:sz="4" w:space="0" w:color="auto"/>
              <w:right w:val="single" w:sz="4" w:space="0" w:color="auto"/>
            </w:tcBorders>
            <w:vAlign w:val="center"/>
          </w:tcPr>
          <w:p w14:paraId="1EDD2FB2" w14:textId="77777777" w:rsidR="00313327" w:rsidRPr="00E9431E" w:rsidRDefault="00313327" w:rsidP="00E47AD4">
            <w:pPr>
              <w:rPr>
                <w:rFonts w:cs="Times New Roman"/>
                <w:sz w:val="20"/>
                <w:szCs w:val="20"/>
              </w:rPr>
            </w:pPr>
            <w:r w:rsidRPr="00E9431E">
              <w:rPr>
                <w:rFonts w:cs="Times New Roman"/>
                <w:sz w:val="20"/>
                <w:szCs w:val="20"/>
              </w:rPr>
              <w:t>Senior Policy Director</w:t>
            </w:r>
          </w:p>
        </w:tc>
        <w:tc>
          <w:tcPr>
            <w:tcW w:w="2013" w:type="dxa"/>
            <w:tcBorders>
              <w:top w:val="single" w:sz="4" w:space="0" w:color="auto"/>
              <w:left w:val="single" w:sz="4" w:space="0" w:color="auto"/>
              <w:bottom w:val="single" w:sz="4" w:space="0" w:color="auto"/>
              <w:right w:val="single" w:sz="4" w:space="0" w:color="auto"/>
            </w:tcBorders>
            <w:vAlign w:val="center"/>
          </w:tcPr>
          <w:p w14:paraId="267B917D" w14:textId="77777777" w:rsidR="00313327" w:rsidRPr="00E9431E" w:rsidRDefault="00313327" w:rsidP="00E47AD4">
            <w:pPr>
              <w:rPr>
                <w:rFonts w:cs="Times New Roman"/>
                <w:sz w:val="20"/>
                <w:szCs w:val="20"/>
              </w:rPr>
            </w:pPr>
            <w:r w:rsidRPr="00E9431E">
              <w:rPr>
                <w:rFonts w:cs="Times New Roman"/>
                <w:sz w:val="20"/>
                <w:szCs w:val="20"/>
              </w:rPr>
              <w:t>-</w:t>
            </w:r>
          </w:p>
        </w:tc>
        <w:tc>
          <w:tcPr>
            <w:tcW w:w="4415" w:type="dxa"/>
            <w:tcBorders>
              <w:top w:val="single" w:sz="4" w:space="0" w:color="auto"/>
              <w:left w:val="single" w:sz="4" w:space="0" w:color="auto"/>
              <w:bottom w:val="single" w:sz="4" w:space="0" w:color="auto"/>
              <w:right w:val="single" w:sz="4" w:space="0" w:color="auto"/>
            </w:tcBorders>
          </w:tcPr>
          <w:p w14:paraId="6D89295F" w14:textId="77777777" w:rsidR="00313327" w:rsidRPr="00E9431E" w:rsidRDefault="00313327" w:rsidP="00E47AD4">
            <w:pPr>
              <w:rPr>
                <w:rFonts w:cs="Times New Roman"/>
                <w:sz w:val="20"/>
                <w:szCs w:val="20"/>
              </w:rPr>
            </w:pPr>
            <w:r w:rsidRPr="00E9431E">
              <w:rPr>
                <w:rFonts w:cs="Times New Roman"/>
                <w:sz w:val="20"/>
                <w:szCs w:val="20"/>
              </w:rPr>
              <w:t>mariyam.manarath@finance.gov.mv</w:t>
            </w:r>
          </w:p>
        </w:tc>
      </w:tr>
      <w:tr w:rsidR="00313327" w:rsidRPr="00E9431E" w14:paraId="4A1CA013" w14:textId="77777777" w:rsidTr="009F0256">
        <w:tc>
          <w:tcPr>
            <w:tcW w:w="828" w:type="dxa"/>
            <w:tcBorders>
              <w:top w:val="single" w:sz="4" w:space="0" w:color="auto"/>
              <w:left w:val="single" w:sz="4" w:space="0" w:color="auto"/>
              <w:bottom w:val="single" w:sz="4" w:space="0" w:color="auto"/>
              <w:right w:val="single" w:sz="4" w:space="0" w:color="auto"/>
            </w:tcBorders>
            <w:vAlign w:val="center"/>
            <w:hideMark/>
          </w:tcPr>
          <w:p w14:paraId="56F17D93"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096B4347" w14:textId="77777777" w:rsidR="00313327" w:rsidRPr="00E9431E" w:rsidRDefault="00313327" w:rsidP="00E47AD4">
            <w:pPr>
              <w:rPr>
                <w:rFonts w:cs="Times New Roman"/>
                <w:color w:val="000000"/>
                <w:sz w:val="20"/>
                <w:szCs w:val="20"/>
              </w:rPr>
            </w:pPr>
            <w:r w:rsidRPr="00E9431E">
              <w:rPr>
                <w:rFonts w:cs="Times New Roman"/>
                <w:color w:val="000000"/>
                <w:sz w:val="20"/>
                <w:szCs w:val="20"/>
              </w:rPr>
              <w:t>Abdulla Hassan</w:t>
            </w:r>
          </w:p>
        </w:tc>
        <w:tc>
          <w:tcPr>
            <w:tcW w:w="1590" w:type="dxa"/>
            <w:tcBorders>
              <w:top w:val="single" w:sz="4" w:space="0" w:color="auto"/>
              <w:left w:val="single" w:sz="4" w:space="0" w:color="auto"/>
              <w:bottom w:val="single" w:sz="4" w:space="0" w:color="auto"/>
              <w:right w:val="single" w:sz="4" w:space="0" w:color="auto"/>
            </w:tcBorders>
            <w:vAlign w:val="center"/>
          </w:tcPr>
          <w:p w14:paraId="7300AA38" w14:textId="77777777" w:rsidR="00313327" w:rsidRPr="00E9431E" w:rsidRDefault="00313327" w:rsidP="00E47AD4">
            <w:pPr>
              <w:rPr>
                <w:rFonts w:cs="Times New Roman"/>
                <w:sz w:val="20"/>
                <w:szCs w:val="20"/>
              </w:rPr>
            </w:pPr>
            <w:r w:rsidRPr="00E9431E">
              <w:rPr>
                <w:rFonts w:cs="Times New Roman"/>
                <w:sz w:val="20"/>
                <w:szCs w:val="20"/>
              </w:rPr>
              <w:t>Project Director</w:t>
            </w:r>
          </w:p>
        </w:tc>
        <w:tc>
          <w:tcPr>
            <w:tcW w:w="2013" w:type="dxa"/>
            <w:tcBorders>
              <w:top w:val="single" w:sz="4" w:space="0" w:color="auto"/>
              <w:left w:val="single" w:sz="4" w:space="0" w:color="auto"/>
              <w:bottom w:val="single" w:sz="4" w:space="0" w:color="auto"/>
              <w:right w:val="single" w:sz="4" w:space="0" w:color="auto"/>
            </w:tcBorders>
            <w:vAlign w:val="center"/>
          </w:tcPr>
          <w:p w14:paraId="7B8F25B8" w14:textId="77777777" w:rsidR="00313327" w:rsidRPr="00E9431E" w:rsidRDefault="00313327" w:rsidP="00E47AD4">
            <w:pPr>
              <w:rPr>
                <w:rFonts w:cs="Times New Roman"/>
                <w:sz w:val="20"/>
                <w:szCs w:val="20"/>
              </w:rPr>
            </w:pPr>
            <w:r w:rsidRPr="00E9431E">
              <w:rPr>
                <w:rFonts w:cs="Times New Roman"/>
                <w:sz w:val="20"/>
                <w:szCs w:val="20"/>
              </w:rPr>
              <w:t>Public Finance Modernization Section</w:t>
            </w:r>
          </w:p>
        </w:tc>
        <w:tc>
          <w:tcPr>
            <w:tcW w:w="4415" w:type="dxa"/>
            <w:tcBorders>
              <w:top w:val="single" w:sz="4" w:space="0" w:color="auto"/>
              <w:left w:val="single" w:sz="4" w:space="0" w:color="auto"/>
              <w:bottom w:val="single" w:sz="4" w:space="0" w:color="auto"/>
              <w:right w:val="single" w:sz="4" w:space="0" w:color="auto"/>
            </w:tcBorders>
          </w:tcPr>
          <w:p w14:paraId="3DA6FBF4" w14:textId="77777777" w:rsidR="00313327" w:rsidRPr="00E9431E" w:rsidRDefault="003033FA" w:rsidP="00E47AD4">
            <w:pPr>
              <w:rPr>
                <w:rFonts w:cs="Times New Roman"/>
                <w:sz w:val="20"/>
                <w:szCs w:val="20"/>
              </w:rPr>
            </w:pPr>
            <w:hyperlink r:id="rId14" w:history="1">
              <w:r w:rsidR="00313327" w:rsidRPr="00E9431E">
                <w:rPr>
                  <w:rStyle w:val="Hyperlink"/>
                  <w:rFonts w:cs="Times New Roman"/>
                  <w:sz w:val="20"/>
                  <w:szCs w:val="20"/>
                </w:rPr>
                <w:t>abdulla.hassan@finance.gov.mv</w:t>
              </w:r>
            </w:hyperlink>
          </w:p>
        </w:tc>
      </w:tr>
      <w:tr w:rsidR="00313327" w:rsidRPr="00E9431E" w14:paraId="355B02DA" w14:textId="77777777" w:rsidTr="009F0256">
        <w:trPr>
          <w:trHeight w:val="728"/>
        </w:trPr>
        <w:tc>
          <w:tcPr>
            <w:tcW w:w="828" w:type="dxa"/>
            <w:tcBorders>
              <w:top w:val="single" w:sz="4" w:space="0" w:color="auto"/>
              <w:left w:val="single" w:sz="4" w:space="0" w:color="auto"/>
              <w:bottom w:val="single" w:sz="4" w:space="0" w:color="auto"/>
              <w:right w:val="single" w:sz="4" w:space="0" w:color="auto"/>
            </w:tcBorders>
            <w:vAlign w:val="center"/>
            <w:hideMark/>
          </w:tcPr>
          <w:p w14:paraId="4735C9FA"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759243D3"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Hawwa</w:t>
            </w:r>
            <w:proofErr w:type="spellEnd"/>
            <w:r w:rsidRPr="00E9431E">
              <w:rPr>
                <w:rFonts w:cs="Times New Roman"/>
                <w:color w:val="000000"/>
                <w:sz w:val="20"/>
                <w:szCs w:val="20"/>
              </w:rPr>
              <w:t xml:space="preserve"> </w:t>
            </w:r>
            <w:proofErr w:type="spellStart"/>
            <w:r w:rsidRPr="00E9431E">
              <w:rPr>
                <w:rFonts w:cs="Times New Roman"/>
                <w:color w:val="000000"/>
                <w:sz w:val="20"/>
                <w:szCs w:val="20"/>
              </w:rPr>
              <w:t>Rishda</w:t>
            </w:r>
            <w:proofErr w:type="spellEnd"/>
            <w:r w:rsidRPr="00E9431E">
              <w:rPr>
                <w:rFonts w:cs="Times New Roman"/>
                <w:color w:val="000000"/>
                <w:sz w:val="20"/>
                <w:szCs w:val="20"/>
              </w:rPr>
              <w:t xml:space="preserve"> Mohamed</w:t>
            </w:r>
          </w:p>
        </w:tc>
        <w:tc>
          <w:tcPr>
            <w:tcW w:w="1590" w:type="dxa"/>
            <w:tcBorders>
              <w:top w:val="single" w:sz="4" w:space="0" w:color="auto"/>
              <w:left w:val="single" w:sz="4" w:space="0" w:color="auto"/>
              <w:bottom w:val="single" w:sz="4" w:space="0" w:color="auto"/>
              <w:right w:val="single" w:sz="4" w:space="0" w:color="auto"/>
            </w:tcBorders>
            <w:vAlign w:val="center"/>
          </w:tcPr>
          <w:p w14:paraId="0740E4DA" w14:textId="77777777" w:rsidR="00313327" w:rsidRPr="00E9431E" w:rsidRDefault="00313327" w:rsidP="00E47AD4">
            <w:pPr>
              <w:rPr>
                <w:rFonts w:cs="Times New Roman"/>
                <w:sz w:val="20"/>
                <w:szCs w:val="20"/>
              </w:rPr>
            </w:pPr>
            <w:r w:rsidRPr="00E9431E">
              <w:rPr>
                <w:rFonts w:cs="Times New Roman"/>
                <w:sz w:val="20"/>
                <w:szCs w:val="20"/>
              </w:rPr>
              <w:t>Project Coordinator</w:t>
            </w:r>
          </w:p>
        </w:tc>
        <w:tc>
          <w:tcPr>
            <w:tcW w:w="2013" w:type="dxa"/>
            <w:tcBorders>
              <w:top w:val="single" w:sz="4" w:space="0" w:color="auto"/>
              <w:left w:val="single" w:sz="4" w:space="0" w:color="auto"/>
              <w:bottom w:val="single" w:sz="4" w:space="0" w:color="auto"/>
              <w:right w:val="single" w:sz="4" w:space="0" w:color="auto"/>
            </w:tcBorders>
          </w:tcPr>
          <w:p w14:paraId="5F982196" w14:textId="77777777" w:rsidR="00313327" w:rsidRPr="00E9431E" w:rsidRDefault="00313327" w:rsidP="00E47AD4">
            <w:pPr>
              <w:rPr>
                <w:rFonts w:cs="Times New Roman"/>
                <w:sz w:val="20"/>
                <w:szCs w:val="20"/>
              </w:rPr>
            </w:pPr>
            <w:r w:rsidRPr="00E9431E">
              <w:rPr>
                <w:rFonts w:cs="Times New Roman"/>
                <w:sz w:val="20"/>
                <w:szCs w:val="20"/>
              </w:rPr>
              <w:t>Public Finance Modernization Section</w:t>
            </w:r>
          </w:p>
        </w:tc>
        <w:tc>
          <w:tcPr>
            <w:tcW w:w="4415" w:type="dxa"/>
            <w:tcBorders>
              <w:top w:val="single" w:sz="4" w:space="0" w:color="auto"/>
              <w:left w:val="single" w:sz="4" w:space="0" w:color="auto"/>
              <w:bottom w:val="single" w:sz="4" w:space="0" w:color="auto"/>
              <w:right w:val="single" w:sz="4" w:space="0" w:color="auto"/>
            </w:tcBorders>
          </w:tcPr>
          <w:p w14:paraId="6A4D5FA4" w14:textId="77777777" w:rsidR="00313327" w:rsidRPr="00E9431E" w:rsidRDefault="003033FA" w:rsidP="00E47AD4">
            <w:pPr>
              <w:rPr>
                <w:rFonts w:cs="Times New Roman"/>
                <w:sz w:val="20"/>
                <w:szCs w:val="20"/>
              </w:rPr>
            </w:pPr>
            <w:hyperlink r:id="rId15" w:history="1">
              <w:r w:rsidR="00313327" w:rsidRPr="00E9431E">
                <w:rPr>
                  <w:rFonts w:cs="Times New Roman"/>
                  <w:sz w:val="20"/>
                  <w:szCs w:val="20"/>
                </w:rPr>
                <w:t>hawwa.rishda@finance.gov.mv</w:t>
              </w:r>
            </w:hyperlink>
            <w:r w:rsidR="00313327" w:rsidRPr="00E9431E">
              <w:rPr>
                <w:rFonts w:cs="Times New Roman"/>
                <w:sz w:val="20"/>
                <w:szCs w:val="20"/>
              </w:rPr>
              <w:t xml:space="preserve"> </w:t>
            </w:r>
          </w:p>
        </w:tc>
      </w:tr>
      <w:tr w:rsidR="00313327" w:rsidRPr="00E9431E" w14:paraId="39DF68F8" w14:textId="77777777" w:rsidTr="009F0256">
        <w:tc>
          <w:tcPr>
            <w:tcW w:w="828" w:type="dxa"/>
            <w:tcBorders>
              <w:top w:val="single" w:sz="4" w:space="0" w:color="auto"/>
              <w:left w:val="single" w:sz="4" w:space="0" w:color="auto"/>
              <w:bottom w:val="single" w:sz="4" w:space="0" w:color="auto"/>
              <w:right w:val="single" w:sz="4" w:space="0" w:color="auto"/>
            </w:tcBorders>
            <w:vAlign w:val="center"/>
            <w:hideMark/>
          </w:tcPr>
          <w:p w14:paraId="7F892ABA"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4C3910FD"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Mohamed </w:t>
            </w:r>
            <w:proofErr w:type="spellStart"/>
            <w:r w:rsidRPr="00E9431E">
              <w:rPr>
                <w:rFonts w:cs="Times New Roman"/>
                <w:color w:val="000000"/>
                <w:sz w:val="20"/>
                <w:szCs w:val="20"/>
              </w:rPr>
              <w:t>Rishwan</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444D97A5" w14:textId="77777777" w:rsidR="00313327" w:rsidRPr="00E9431E" w:rsidRDefault="00313327" w:rsidP="00E47AD4">
            <w:pPr>
              <w:rPr>
                <w:rFonts w:cs="Times New Roman"/>
                <w:sz w:val="20"/>
                <w:szCs w:val="20"/>
              </w:rPr>
            </w:pPr>
            <w:r w:rsidRPr="00E9431E">
              <w:rPr>
                <w:rFonts w:cs="Times New Roman"/>
                <w:sz w:val="20"/>
                <w:szCs w:val="20"/>
              </w:rPr>
              <w:t>Project Officer</w:t>
            </w:r>
          </w:p>
        </w:tc>
        <w:tc>
          <w:tcPr>
            <w:tcW w:w="2013" w:type="dxa"/>
            <w:tcBorders>
              <w:top w:val="single" w:sz="4" w:space="0" w:color="auto"/>
              <w:left w:val="single" w:sz="4" w:space="0" w:color="auto"/>
              <w:bottom w:val="single" w:sz="4" w:space="0" w:color="auto"/>
              <w:right w:val="single" w:sz="4" w:space="0" w:color="auto"/>
            </w:tcBorders>
          </w:tcPr>
          <w:p w14:paraId="6FBF77B2" w14:textId="77777777" w:rsidR="00313327" w:rsidRPr="00E9431E" w:rsidRDefault="00313327" w:rsidP="00E47AD4">
            <w:pPr>
              <w:rPr>
                <w:rFonts w:cs="Times New Roman"/>
                <w:sz w:val="20"/>
                <w:szCs w:val="20"/>
              </w:rPr>
            </w:pPr>
            <w:r w:rsidRPr="00E9431E">
              <w:rPr>
                <w:rFonts w:cs="Times New Roman"/>
                <w:sz w:val="20"/>
                <w:szCs w:val="20"/>
              </w:rPr>
              <w:t>Public Finance Modernization Section</w:t>
            </w:r>
          </w:p>
        </w:tc>
        <w:tc>
          <w:tcPr>
            <w:tcW w:w="4415" w:type="dxa"/>
            <w:tcBorders>
              <w:top w:val="single" w:sz="4" w:space="0" w:color="auto"/>
              <w:left w:val="single" w:sz="4" w:space="0" w:color="auto"/>
              <w:bottom w:val="single" w:sz="4" w:space="0" w:color="auto"/>
              <w:right w:val="single" w:sz="4" w:space="0" w:color="auto"/>
            </w:tcBorders>
          </w:tcPr>
          <w:p w14:paraId="1F5FD0F1" w14:textId="77777777" w:rsidR="00313327" w:rsidRPr="00E9431E" w:rsidRDefault="003033FA" w:rsidP="00E47AD4">
            <w:pPr>
              <w:rPr>
                <w:rFonts w:cs="Times New Roman"/>
                <w:sz w:val="20"/>
                <w:szCs w:val="20"/>
              </w:rPr>
            </w:pPr>
            <w:hyperlink r:id="rId16" w:history="1">
              <w:r w:rsidR="00313327" w:rsidRPr="00E9431E">
                <w:rPr>
                  <w:rFonts w:cs="Times New Roman"/>
                  <w:sz w:val="20"/>
                  <w:szCs w:val="20"/>
                </w:rPr>
                <w:t>mohamed.rishwan@finance.gov.mv</w:t>
              </w:r>
            </w:hyperlink>
          </w:p>
        </w:tc>
      </w:tr>
      <w:tr w:rsidR="00313327" w:rsidRPr="00E9431E" w14:paraId="44B3C24D"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4ACACD82"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613ABEC7"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Ahmed </w:t>
            </w:r>
            <w:proofErr w:type="spellStart"/>
            <w:r w:rsidRPr="00E9431E">
              <w:rPr>
                <w:rFonts w:cs="Times New Roman"/>
                <w:color w:val="000000"/>
                <w:sz w:val="20"/>
                <w:szCs w:val="20"/>
              </w:rPr>
              <w:t>Saruvash</w:t>
            </w:r>
            <w:proofErr w:type="spellEnd"/>
            <w:r w:rsidRPr="00E9431E">
              <w:rPr>
                <w:rFonts w:cs="Times New Roman"/>
                <w:color w:val="000000"/>
                <w:sz w:val="20"/>
                <w:szCs w:val="20"/>
              </w:rPr>
              <w:t xml:space="preserve"> Adam</w:t>
            </w:r>
          </w:p>
        </w:tc>
        <w:tc>
          <w:tcPr>
            <w:tcW w:w="1590" w:type="dxa"/>
            <w:tcBorders>
              <w:top w:val="single" w:sz="4" w:space="0" w:color="auto"/>
              <w:left w:val="single" w:sz="4" w:space="0" w:color="auto"/>
              <w:bottom w:val="single" w:sz="4" w:space="0" w:color="auto"/>
              <w:right w:val="single" w:sz="4" w:space="0" w:color="auto"/>
            </w:tcBorders>
            <w:vAlign w:val="center"/>
          </w:tcPr>
          <w:p w14:paraId="25B5CE3B" w14:textId="77777777" w:rsidR="00313327" w:rsidRPr="00E9431E" w:rsidRDefault="00313327" w:rsidP="00E47AD4">
            <w:pPr>
              <w:rPr>
                <w:rFonts w:cs="Times New Roman"/>
                <w:sz w:val="20"/>
                <w:szCs w:val="20"/>
              </w:rPr>
            </w:pPr>
            <w:r w:rsidRPr="00E9431E">
              <w:rPr>
                <w:rFonts w:cs="Times New Roman"/>
                <w:sz w:val="20"/>
                <w:szCs w:val="20"/>
              </w:rPr>
              <w:t>Chief Financial Budget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4AB58387" w14:textId="77777777" w:rsidR="00313327" w:rsidRPr="00E9431E" w:rsidRDefault="00313327" w:rsidP="00E47AD4">
            <w:pPr>
              <w:rPr>
                <w:rFonts w:cs="Times New Roman"/>
                <w:sz w:val="20"/>
                <w:szCs w:val="20"/>
              </w:rPr>
            </w:pPr>
            <w:r w:rsidRPr="00E9431E">
              <w:rPr>
                <w:rFonts w:cs="Times New Roman"/>
                <w:sz w:val="20"/>
                <w:szCs w:val="20"/>
              </w:rPr>
              <w:t>Fiscal Affairs Department</w:t>
            </w:r>
          </w:p>
        </w:tc>
        <w:tc>
          <w:tcPr>
            <w:tcW w:w="4415" w:type="dxa"/>
            <w:tcBorders>
              <w:top w:val="single" w:sz="4" w:space="0" w:color="auto"/>
              <w:left w:val="single" w:sz="4" w:space="0" w:color="auto"/>
              <w:bottom w:val="single" w:sz="4" w:space="0" w:color="auto"/>
              <w:right w:val="single" w:sz="4" w:space="0" w:color="auto"/>
            </w:tcBorders>
          </w:tcPr>
          <w:p w14:paraId="3083A092" w14:textId="77777777" w:rsidR="00313327" w:rsidRPr="00E9431E" w:rsidRDefault="003033FA" w:rsidP="00E47AD4">
            <w:pPr>
              <w:rPr>
                <w:rFonts w:cs="Times New Roman"/>
                <w:sz w:val="20"/>
                <w:szCs w:val="20"/>
              </w:rPr>
            </w:pPr>
            <w:hyperlink r:id="rId17" w:history="1">
              <w:r w:rsidR="00313327" w:rsidRPr="00E9431E">
                <w:rPr>
                  <w:rStyle w:val="Hyperlink"/>
                  <w:rFonts w:cs="Times New Roman"/>
                  <w:sz w:val="20"/>
                  <w:szCs w:val="20"/>
                </w:rPr>
                <w:t>ahmed.saruvash@finance.gov.mv</w:t>
              </w:r>
            </w:hyperlink>
          </w:p>
        </w:tc>
      </w:tr>
      <w:tr w:rsidR="00313327" w:rsidRPr="00E9431E" w14:paraId="538905B5"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3F31E5D4"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784AD865"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Shifna</w:t>
            </w:r>
            <w:proofErr w:type="spellEnd"/>
            <w:r w:rsidRPr="00E9431E">
              <w:rPr>
                <w:rFonts w:cs="Times New Roman"/>
                <w:color w:val="000000"/>
                <w:sz w:val="20"/>
                <w:szCs w:val="20"/>
              </w:rPr>
              <w:t xml:space="preserve"> Ali</w:t>
            </w:r>
          </w:p>
        </w:tc>
        <w:tc>
          <w:tcPr>
            <w:tcW w:w="1590" w:type="dxa"/>
            <w:tcBorders>
              <w:top w:val="single" w:sz="4" w:space="0" w:color="auto"/>
              <w:left w:val="single" w:sz="4" w:space="0" w:color="auto"/>
              <w:bottom w:val="single" w:sz="4" w:space="0" w:color="auto"/>
              <w:right w:val="single" w:sz="4" w:space="0" w:color="auto"/>
            </w:tcBorders>
            <w:vAlign w:val="center"/>
          </w:tcPr>
          <w:p w14:paraId="6A5C877C" w14:textId="77777777" w:rsidR="00313327" w:rsidRPr="00E9431E" w:rsidRDefault="00313327" w:rsidP="00E47AD4">
            <w:pPr>
              <w:rPr>
                <w:rFonts w:cs="Times New Roman"/>
                <w:sz w:val="20"/>
                <w:szCs w:val="20"/>
              </w:rPr>
            </w:pPr>
            <w:r w:rsidRPr="00E9431E">
              <w:rPr>
                <w:rFonts w:cs="Times New Roman"/>
                <w:sz w:val="20"/>
                <w:szCs w:val="20"/>
              </w:rPr>
              <w:t>Assistant Project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7AC6965B" w14:textId="77777777" w:rsidR="00313327" w:rsidRPr="00E9431E" w:rsidRDefault="00313327" w:rsidP="00E47AD4">
            <w:pPr>
              <w:rPr>
                <w:rFonts w:cs="Times New Roman"/>
                <w:sz w:val="20"/>
                <w:szCs w:val="20"/>
              </w:rPr>
            </w:pPr>
            <w:r w:rsidRPr="00E9431E">
              <w:rPr>
                <w:rFonts w:cs="Times New Roman"/>
                <w:sz w:val="20"/>
                <w:szCs w:val="20"/>
              </w:rPr>
              <w:t>Fiscal Affairs Department</w:t>
            </w:r>
          </w:p>
        </w:tc>
        <w:tc>
          <w:tcPr>
            <w:tcW w:w="4415" w:type="dxa"/>
            <w:tcBorders>
              <w:top w:val="single" w:sz="4" w:space="0" w:color="auto"/>
              <w:left w:val="single" w:sz="4" w:space="0" w:color="auto"/>
              <w:bottom w:val="single" w:sz="4" w:space="0" w:color="auto"/>
              <w:right w:val="single" w:sz="4" w:space="0" w:color="auto"/>
            </w:tcBorders>
          </w:tcPr>
          <w:p w14:paraId="2F8319FF" w14:textId="77777777" w:rsidR="00313327" w:rsidRPr="00E9431E" w:rsidRDefault="003033FA" w:rsidP="00E47AD4">
            <w:pPr>
              <w:rPr>
                <w:rFonts w:cs="Times New Roman"/>
                <w:sz w:val="20"/>
                <w:szCs w:val="20"/>
              </w:rPr>
            </w:pPr>
            <w:hyperlink r:id="rId18" w:history="1">
              <w:r w:rsidR="00313327" w:rsidRPr="00E9431E">
                <w:rPr>
                  <w:rStyle w:val="Hyperlink"/>
                  <w:rFonts w:cs="Times New Roman"/>
                  <w:sz w:val="20"/>
                  <w:szCs w:val="20"/>
                </w:rPr>
                <w:t>shifna.ali@finance.gov.mv</w:t>
              </w:r>
            </w:hyperlink>
          </w:p>
        </w:tc>
      </w:tr>
      <w:tr w:rsidR="00313327" w:rsidRPr="00E9431E" w14:paraId="18AE8FAC"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4AACC1D3"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6094AA05"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Farhana Abdul </w:t>
            </w:r>
            <w:proofErr w:type="spellStart"/>
            <w:r w:rsidRPr="00E9431E">
              <w:rPr>
                <w:rFonts w:cs="Times New Roman"/>
                <w:color w:val="000000"/>
                <w:sz w:val="20"/>
                <w:szCs w:val="20"/>
              </w:rPr>
              <w:t>Gafoor</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424B7103" w14:textId="77777777" w:rsidR="00313327" w:rsidRPr="00E9431E" w:rsidRDefault="00313327" w:rsidP="00E47AD4">
            <w:pPr>
              <w:rPr>
                <w:rFonts w:cs="Times New Roman"/>
                <w:sz w:val="20"/>
                <w:szCs w:val="20"/>
              </w:rPr>
            </w:pPr>
            <w:r w:rsidRPr="00E9431E">
              <w:rPr>
                <w:rFonts w:cs="Times New Roman"/>
                <w:sz w:val="20"/>
                <w:szCs w:val="20"/>
              </w:rPr>
              <w:t>Expenditure Policy Consultant</w:t>
            </w:r>
          </w:p>
        </w:tc>
        <w:tc>
          <w:tcPr>
            <w:tcW w:w="2013" w:type="dxa"/>
            <w:tcBorders>
              <w:top w:val="single" w:sz="4" w:space="0" w:color="auto"/>
              <w:left w:val="single" w:sz="4" w:space="0" w:color="auto"/>
              <w:bottom w:val="single" w:sz="4" w:space="0" w:color="auto"/>
              <w:right w:val="single" w:sz="4" w:space="0" w:color="auto"/>
            </w:tcBorders>
            <w:vAlign w:val="center"/>
          </w:tcPr>
          <w:p w14:paraId="633B48D8" w14:textId="77777777" w:rsidR="00313327" w:rsidRPr="00E9431E" w:rsidRDefault="00313327" w:rsidP="00E47AD4">
            <w:pPr>
              <w:rPr>
                <w:rFonts w:cs="Times New Roman"/>
                <w:sz w:val="20"/>
                <w:szCs w:val="20"/>
              </w:rPr>
            </w:pPr>
            <w:r w:rsidRPr="00E9431E">
              <w:rPr>
                <w:rFonts w:cs="Times New Roman"/>
                <w:sz w:val="20"/>
                <w:szCs w:val="20"/>
              </w:rPr>
              <w:t>Fiscal Affairs Department</w:t>
            </w:r>
          </w:p>
        </w:tc>
        <w:tc>
          <w:tcPr>
            <w:tcW w:w="4415" w:type="dxa"/>
            <w:tcBorders>
              <w:top w:val="single" w:sz="4" w:space="0" w:color="auto"/>
              <w:left w:val="single" w:sz="4" w:space="0" w:color="auto"/>
              <w:bottom w:val="single" w:sz="4" w:space="0" w:color="auto"/>
              <w:right w:val="single" w:sz="4" w:space="0" w:color="auto"/>
            </w:tcBorders>
          </w:tcPr>
          <w:p w14:paraId="74666E9E" w14:textId="77777777" w:rsidR="00313327" w:rsidRPr="00E9431E" w:rsidRDefault="00313327" w:rsidP="00E47AD4">
            <w:pPr>
              <w:rPr>
                <w:rFonts w:cs="Times New Roman"/>
                <w:sz w:val="20"/>
                <w:szCs w:val="20"/>
              </w:rPr>
            </w:pPr>
            <w:r w:rsidRPr="00E9431E">
              <w:rPr>
                <w:rFonts w:cs="Times New Roman"/>
                <w:sz w:val="20"/>
                <w:szCs w:val="20"/>
              </w:rPr>
              <w:t>farhana.abdulgafoor@finance.gov.mv</w:t>
            </w:r>
          </w:p>
        </w:tc>
      </w:tr>
      <w:tr w:rsidR="00313327" w:rsidRPr="00E9431E" w14:paraId="15A6BC1C"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7BCA7F17"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227A8BBF"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Ahmed </w:t>
            </w:r>
            <w:proofErr w:type="spellStart"/>
            <w:r w:rsidRPr="00E9431E">
              <w:rPr>
                <w:rFonts w:cs="Times New Roman"/>
                <w:color w:val="000000"/>
                <w:sz w:val="20"/>
                <w:szCs w:val="20"/>
              </w:rPr>
              <w:t>Mujuthaba</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524FD190" w14:textId="77777777" w:rsidR="00313327" w:rsidRPr="00E9431E" w:rsidRDefault="00313327" w:rsidP="00E47AD4">
            <w:pPr>
              <w:rPr>
                <w:rFonts w:cs="Times New Roman"/>
                <w:sz w:val="20"/>
                <w:szCs w:val="20"/>
              </w:rPr>
            </w:pPr>
            <w:r w:rsidRPr="00E9431E">
              <w:rPr>
                <w:rFonts w:cs="Times New Roman"/>
                <w:sz w:val="20"/>
                <w:szCs w:val="20"/>
              </w:rPr>
              <w:t>Chief Procurement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5B275D79" w14:textId="77777777" w:rsidR="00313327" w:rsidRPr="00E9431E" w:rsidRDefault="00313327" w:rsidP="00E47AD4">
            <w:pPr>
              <w:rPr>
                <w:rFonts w:cs="Times New Roman"/>
                <w:sz w:val="20"/>
                <w:szCs w:val="20"/>
              </w:rPr>
            </w:pPr>
            <w:r w:rsidRPr="00E9431E">
              <w:rPr>
                <w:rFonts w:cs="Times New Roman"/>
                <w:sz w:val="20"/>
                <w:szCs w:val="20"/>
              </w:rPr>
              <w:t>National Tender</w:t>
            </w:r>
          </w:p>
        </w:tc>
        <w:tc>
          <w:tcPr>
            <w:tcW w:w="4415" w:type="dxa"/>
            <w:tcBorders>
              <w:top w:val="single" w:sz="4" w:space="0" w:color="auto"/>
              <w:left w:val="single" w:sz="4" w:space="0" w:color="auto"/>
              <w:bottom w:val="single" w:sz="4" w:space="0" w:color="auto"/>
              <w:right w:val="single" w:sz="4" w:space="0" w:color="auto"/>
            </w:tcBorders>
          </w:tcPr>
          <w:p w14:paraId="1039D4D5" w14:textId="77777777" w:rsidR="00313327" w:rsidRPr="00E9431E" w:rsidRDefault="003033FA" w:rsidP="00E47AD4">
            <w:pPr>
              <w:rPr>
                <w:rFonts w:cs="Times New Roman"/>
                <w:sz w:val="20"/>
                <w:szCs w:val="20"/>
              </w:rPr>
            </w:pPr>
            <w:hyperlink r:id="rId19" w:history="1">
              <w:r w:rsidR="00313327" w:rsidRPr="00E9431E">
                <w:rPr>
                  <w:rStyle w:val="Hyperlink"/>
                  <w:rFonts w:cs="Times New Roman"/>
                  <w:sz w:val="20"/>
                  <w:szCs w:val="20"/>
                </w:rPr>
                <w:t>ahmed.mujuthaba@finance.gov.mv</w:t>
              </w:r>
            </w:hyperlink>
          </w:p>
        </w:tc>
      </w:tr>
      <w:tr w:rsidR="00313327" w:rsidRPr="00E9431E" w14:paraId="5382D3AF" w14:textId="77777777" w:rsidTr="009F0256">
        <w:tc>
          <w:tcPr>
            <w:tcW w:w="828" w:type="dxa"/>
            <w:tcBorders>
              <w:top w:val="single" w:sz="4" w:space="0" w:color="auto"/>
              <w:left w:val="single" w:sz="4" w:space="0" w:color="auto"/>
              <w:bottom w:val="single" w:sz="4" w:space="0" w:color="auto"/>
              <w:right w:val="single" w:sz="4" w:space="0" w:color="auto"/>
            </w:tcBorders>
            <w:vAlign w:val="center"/>
            <w:hideMark/>
          </w:tcPr>
          <w:p w14:paraId="388B31A6"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4EFC7EFA"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Mohamed </w:t>
            </w:r>
            <w:proofErr w:type="spellStart"/>
            <w:r w:rsidRPr="00E9431E">
              <w:rPr>
                <w:rFonts w:cs="Times New Roman"/>
                <w:color w:val="000000"/>
                <w:sz w:val="20"/>
                <w:szCs w:val="20"/>
              </w:rPr>
              <w:t>Naiz</w:t>
            </w:r>
            <w:proofErr w:type="spellEnd"/>
            <w:r w:rsidRPr="00E9431E">
              <w:rPr>
                <w:rFonts w:cs="Times New Roman"/>
                <w:color w:val="000000"/>
                <w:sz w:val="20"/>
                <w:szCs w:val="20"/>
              </w:rPr>
              <w:t xml:space="preserve"> </w:t>
            </w:r>
          </w:p>
        </w:tc>
        <w:tc>
          <w:tcPr>
            <w:tcW w:w="1590" w:type="dxa"/>
            <w:tcBorders>
              <w:top w:val="single" w:sz="4" w:space="0" w:color="auto"/>
              <w:left w:val="single" w:sz="4" w:space="0" w:color="auto"/>
              <w:bottom w:val="single" w:sz="4" w:space="0" w:color="auto"/>
              <w:right w:val="single" w:sz="4" w:space="0" w:color="auto"/>
            </w:tcBorders>
            <w:vAlign w:val="center"/>
          </w:tcPr>
          <w:p w14:paraId="47A01636" w14:textId="77777777" w:rsidR="00313327" w:rsidRPr="00E9431E" w:rsidRDefault="00313327" w:rsidP="00E47AD4">
            <w:pPr>
              <w:rPr>
                <w:rFonts w:cs="Times New Roman"/>
                <w:sz w:val="20"/>
                <w:szCs w:val="20"/>
              </w:rPr>
            </w:pPr>
            <w:r w:rsidRPr="00E9431E">
              <w:rPr>
                <w:rFonts w:cs="Times New Roman"/>
                <w:sz w:val="20"/>
                <w:szCs w:val="20"/>
              </w:rPr>
              <w:t>Chief Information Officer</w:t>
            </w:r>
          </w:p>
        </w:tc>
        <w:tc>
          <w:tcPr>
            <w:tcW w:w="2013" w:type="dxa"/>
            <w:tcBorders>
              <w:top w:val="single" w:sz="4" w:space="0" w:color="auto"/>
              <w:left w:val="single" w:sz="4" w:space="0" w:color="auto"/>
              <w:bottom w:val="single" w:sz="4" w:space="0" w:color="auto"/>
              <w:right w:val="single" w:sz="4" w:space="0" w:color="auto"/>
            </w:tcBorders>
          </w:tcPr>
          <w:p w14:paraId="6380E3D7"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62B1A138" w14:textId="77777777" w:rsidR="00313327" w:rsidRPr="00E9431E" w:rsidRDefault="003033FA" w:rsidP="00E47AD4">
            <w:pPr>
              <w:rPr>
                <w:rFonts w:cs="Times New Roman"/>
                <w:sz w:val="20"/>
                <w:szCs w:val="20"/>
              </w:rPr>
            </w:pPr>
            <w:hyperlink r:id="rId20" w:history="1">
              <w:r w:rsidR="00313327" w:rsidRPr="00E9431E">
                <w:rPr>
                  <w:rStyle w:val="Hyperlink"/>
                  <w:rFonts w:cs="Times New Roman"/>
                  <w:sz w:val="20"/>
                  <w:szCs w:val="20"/>
                </w:rPr>
                <w:t>mohamed.naiz@finance.gov.mv</w:t>
              </w:r>
            </w:hyperlink>
          </w:p>
        </w:tc>
      </w:tr>
      <w:tr w:rsidR="00313327" w:rsidRPr="00E9431E" w14:paraId="7699F257"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5CFFC174"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AAD7A06" w14:textId="77777777" w:rsidR="00313327" w:rsidRPr="00E9431E" w:rsidRDefault="00313327" w:rsidP="00E47AD4">
            <w:pPr>
              <w:rPr>
                <w:rFonts w:cs="Times New Roman"/>
                <w:color w:val="000000"/>
                <w:sz w:val="20"/>
                <w:szCs w:val="20"/>
              </w:rPr>
            </w:pPr>
            <w:r w:rsidRPr="00E9431E">
              <w:rPr>
                <w:rFonts w:cs="Times New Roman"/>
                <w:color w:val="000000"/>
                <w:sz w:val="20"/>
                <w:szCs w:val="20"/>
              </w:rPr>
              <w:t>Mohamed Azad</w:t>
            </w:r>
          </w:p>
        </w:tc>
        <w:tc>
          <w:tcPr>
            <w:tcW w:w="1590" w:type="dxa"/>
            <w:tcBorders>
              <w:top w:val="single" w:sz="4" w:space="0" w:color="auto"/>
              <w:left w:val="single" w:sz="4" w:space="0" w:color="auto"/>
              <w:bottom w:val="single" w:sz="4" w:space="0" w:color="auto"/>
              <w:right w:val="single" w:sz="4" w:space="0" w:color="auto"/>
            </w:tcBorders>
            <w:vAlign w:val="center"/>
          </w:tcPr>
          <w:p w14:paraId="4C2F0DD3" w14:textId="77777777" w:rsidR="00313327" w:rsidRPr="00E9431E" w:rsidRDefault="00313327" w:rsidP="00E47AD4">
            <w:pPr>
              <w:rPr>
                <w:rFonts w:cs="Times New Roman"/>
                <w:sz w:val="20"/>
                <w:szCs w:val="20"/>
              </w:rPr>
            </w:pPr>
            <w:r w:rsidRPr="00E9431E">
              <w:rPr>
                <w:rFonts w:cs="Times New Roman"/>
                <w:sz w:val="20"/>
                <w:szCs w:val="20"/>
              </w:rPr>
              <w:t>SOEs’ Financial Consultant</w:t>
            </w:r>
          </w:p>
        </w:tc>
        <w:tc>
          <w:tcPr>
            <w:tcW w:w="2013" w:type="dxa"/>
            <w:tcBorders>
              <w:top w:val="single" w:sz="4" w:space="0" w:color="auto"/>
              <w:left w:val="single" w:sz="4" w:space="0" w:color="auto"/>
              <w:bottom w:val="single" w:sz="4" w:space="0" w:color="auto"/>
              <w:right w:val="single" w:sz="4" w:space="0" w:color="auto"/>
            </w:tcBorders>
            <w:vAlign w:val="center"/>
          </w:tcPr>
          <w:p w14:paraId="443222BB"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526B39EC" w14:textId="77777777" w:rsidR="00313327" w:rsidRPr="00E9431E" w:rsidRDefault="003033FA" w:rsidP="00E47AD4">
            <w:pPr>
              <w:rPr>
                <w:rFonts w:cs="Times New Roman"/>
                <w:sz w:val="20"/>
                <w:szCs w:val="20"/>
              </w:rPr>
            </w:pPr>
            <w:hyperlink r:id="rId21" w:history="1">
              <w:r w:rsidR="00313327" w:rsidRPr="00E9431E">
                <w:rPr>
                  <w:rStyle w:val="Hyperlink"/>
                  <w:rFonts w:cs="Times New Roman"/>
                  <w:sz w:val="20"/>
                  <w:szCs w:val="20"/>
                </w:rPr>
                <w:t>mohamed.azad@finance.gov.mv</w:t>
              </w:r>
            </w:hyperlink>
          </w:p>
        </w:tc>
      </w:tr>
      <w:tr w:rsidR="00313327" w:rsidRPr="00E9431E" w14:paraId="695035DC"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0AF2EB1F"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2432ACF3"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Ahmed </w:t>
            </w:r>
            <w:proofErr w:type="spellStart"/>
            <w:r w:rsidRPr="00E9431E">
              <w:rPr>
                <w:rFonts w:cs="Times New Roman"/>
                <w:color w:val="000000"/>
                <w:sz w:val="20"/>
                <w:szCs w:val="20"/>
              </w:rPr>
              <w:t>Zayan</w:t>
            </w:r>
            <w:proofErr w:type="spellEnd"/>
            <w:r w:rsidRPr="00E9431E">
              <w:rPr>
                <w:rFonts w:cs="Times New Roman"/>
                <w:color w:val="000000"/>
                <w:sz w:val="20"/>
                <w:szCs w:val="20"/>
              </w:rPr>
              <w:t xml:space="preserve"> Mohamed</w:t>
            </w:r>
          </w:p>
        </w:tc>
        <w:tc>
          <w:tcPr>
            <w:tcW w:w="1590" w:type="dxa"/>
            <w:tcBorders>
              <w:top w:val="single" w:sz="4" w:space="0" w:color="auto"/>
              <w:left w:val="single" w:sz="4" w:space="0" w:color="auto"/>
              <w:bottom w:val="single" w:sz="4" w:space="0" w:color="auto"/>
              <w:right w:val="single" w:sz="4" w:space="0" w:color="auto"/>
            </w:tcBorders>
            <w:vAlign w:val="center"/>
          </w:tcPr>
          <w:p w14:paraId="4721B1F4" w14:textId="77777777" w:rsidR="00313327" w:rsidRPr="00E9431E" w:rsidRDefault="00313327" w:rsidP="00E47AD4">
            <w:pPr>
              <w:rPr>
                <w:rFonts w:cs="Times New Roman"/>
                <w:sz w:val="20"/>
                <w:szCs w:val="20"/>
              </w:rPr>
            </w:pPr>
            <w:r w:rsidRPr="00E9431E">
              <w:rPr>
                <w:rFonts w:cs="Times New Roman"/>
                <w:sz w:val="20"/>
                <w:szCs w:val="20"/>
              </w:rPr>
              <w:t>Economic &amp; Fiscal Consultant</w:t>
            </w:r>
          </w:p>
        </w:tc>
        <w:tc>
          <w:tcPr>
            <w:tcW w:w="2013" w:type="dxa"/>
            <w:tcBorders>
              <w:top w:val="single" w:sz="4" w:space="0" w:color="auto"/>
              <w:left w:val="single" w:sz="4" w:space="0" w:color="auto"/>
              <w:bottom w:val="single" w:sz="4" w:space="0" w:color="auto"/>
              <w:right w:val="single" w:sz="4" w:space="0" w:color="auto"/>
            </w:tcBorders>
          </w:tcPr>
          <w:p w14:paraId="72B4C903"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1C905D18" w14:textId="77777777" w:rsidR="00313327" w:rsidRPr="00E9431E" w:rsidRDefault="003033FA" w:rsidP="00E47AD4">
            <w:pPr>
              <w:rPr>
                <w:rFonts w:cs="Times New Roman"/>
                <w:sz w:val="20"/>
                <w:szCs w:val="20"/>
              </w:rPr>
            </w:pPr>
            <w:hyperlink r:id="rId22" w:history="1">
              <w:r w:rsidR="00313327" w:rsidRPr="00E9431E">
                <w:rPr>
                  <w:rStyle w:val="Hyperlink"/>
                  <w:rFonts w:cs="Times New Roman"/>
                  <w:sz w:val="20"/>
                  <w:szCs w:val="20"/>
                </w:rPr>
                <w:t>ahmed.zayan@finance.gov.mv</w:t>
              </w:r>
            </w:hyperlink>
          </w:p>
        </w:tc>
      </w:tr>
      <w:tr w:rsidR="00313327" w:rsidRPr="00E9431E" w14:paraId="002EFD7A"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452F3873"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3F957376" w14:textId="77777777" w:rsidR="00313327" w:rsidRPr="00E9431E" w:rsidRDefault="00313327" w:rsidP="00E47AD4">
            <w:pPr>
              <w:rPr>
                <w:rFonts w:cs="Times New Roman"/>
                <w:color w:val="000000"/>
                <w:sz w:val="20"/>
                <w:szCs w:val="20"/>
              </w:rPr>
            </w:pPr>
            <w:r w:rsidRPr="00E9431E">
              <w:rPr>
                <w:rFonts w:cs="Times New Roman"/>
                <w:color w:val="000000"/>
                <w:sz w:val="20"/>
                <w:szCs w:val="20"/>
              </w:rPr>
              <w:t>Ismail Riza</w:t>
            </w:r>
          </w:p>
        </w:tc>
        <w:tc>
          <w:tcPr>
            <w:tcW w:w="1590" w:type="dxa"/>
            <w:tcBorders>
              <w:top w:val="single" w:sz="4" w:space="0" w:color="auto"/>
              <w:left w:val="single" w:sz="4" w:space="0" w:color="auto"/>
              <w:bottom w:val="single" w:sz="4" w:space="0" w:color="auto"/>
              <w:right w:val="single" w:sz="4" w:space="0" w:color="auto"/>
            </w:tcBorders>
            <w:vAlign w:val="center"/>
          </w:tcPr>
          <w:p w14:paraId="637B4DFB" w14:textId="77777777" w:rsidR="00313327" w:rsidRPr="00E9431E" w:rsidRDefault="00313327" w:rsidP="00E47AD4">
            <w:pPr>
              <w:rPr>
                <w:rFonts w:cs="Times New Roman"/>
                <w:sz w:val="20"/>
                <w:szCs w:val="20"/>
              </w:rPr>
            </w:pPr>
            <w:r w:rsidRPr="00E9431E">
              <w:rPr>
                <w:rFonts w:cs="Times New Roman"/>
                <w:sz w:val="20"/>
                <w:szCs w:val="20"/>
              </w:rPr>
              <w:t>ABAP Associate</w:t>
            </w:r>
          </w:p>
        </w:tc>
        <w:tc>
          <w:tcPr>
            <w:tcW w:w="2013" w:type="dxa"/>
            <w:tcBorders>
              <w:top w:val="single" w:sz="4" w:space="0" w:color="auto"/>
              <w:left w:val="single" w:sz="4" w:space="0" w:color="auto"/>
              <w:bottom w:val="single" w:sz="4" w:space="0" w:color="auto"/>
              <w:right w:val="single" w:sz="4" w:space="0" w:color="auto"/>
            </w:tcBorders>
            <w:vAlign w:val="center"/>
          </w:tcPr>
          <w:p w14:paraId="0C6B8767"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14363F81" w14:textId="77777777" w:rsidR="00313327" w:rsidRPr="00E9431E" w:rsidRDefault="003033FA" w:rsidP="00E47AD4">
            <w:pPr>
              <w:rPr>
                <w:rFonts w:cs="Times New Roman"/>
                <w:sz w:val="20"/>
                <w:szCs w:val="20"/>
              </w:rPr>
            </w:pPr>
            <w:hyperlink r:id="rId23" w:history="1">
              <w:r w:rsidR="00313327" w:rsidRPr="00E9431E">
                <w:rPr>
                  <w:rStyle w:val="Hyperlink"/>
                  <w:rFonts w:cs="Times New Roman"/>
                  <w:sz w:val="20"/>
                  <w:szCs w:val="20"/>
                </w:rPr>
                <w:t>ismail.riza@finance.gov.mv</w:t>
              </w:r>
            </w:hyperlink>
          </w:p>
        </w:tc>
      </w:tr>
      <w:tr w:rsidR="00313327" w:rsidRPr="00E9431E" w14:paraId="3AAB800D"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25BEDAFB"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25E3A8BA"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Mohamed </w:t>
            </w:r>
            <w:proofErr w:type="spellStart"/>
            <w:r w:rsidRPr="00E9431E">
              <w:rPr>
                <w:rFonts w:cs="Times New Roman"/>
                <w:color w:val="000000"/>
                <w:sz w:val="20"/>
                <w:szCs w:val="20"/>
              </w:rPr>
              <w:t>Areesh</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29CCABC2" w14:textId="77777777" w:rsidR="00313327" w:rsidRPr="00E9431E" w:rsidRDefault="00313327" w:rsidP="00E47AD4">
            <w:pPr>
              <w:rPr>
                <w:rFonts w:cs="Times New Roman"/>
                <w:sz w:val="20"/>
                <w:szCs w:val="20"/>
              </w:rPr>
            </w:pPr>
            <w:r w:rsidRPr="00E9431E">
              <w:rPr>
                <w:rFonts w:cs="Times New Roman"/>
                <w:sz w:val="20"/>
                <w:szCs w:val="20"/>
              </w:rPr>
              <w:t>HCM Associate</w:t>
            </w:r>
          </w:p>
        </w:tc>
        <w:tc>
          <w:tcPr>
            <w:tcW w:w="2013" w:type="dxa"/>
            <w:tcBorders>
              <w:top w:val="single" w:sz="4" w:space="0" w:color="auto"/>
              <w:left w:val="single" w:sz="4" w:space="0" w:color="auto"/>
              <w:bottom w:val="single" w:sz="4" w:space="0" w:color="auto"/>
              <w:right w:val="single" w:sz="4" w:space="0" w:color="auto"/>
            </w:tcBorders>
          </w:tcPr>
          <w:p w14:paraId="2BE5F031"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2F3C62EA" w14:textId="77777777" w:rsidR="00313327" w:rsidRPr="00E9431E" w:rsidRDefault="003033FA" w:rsidP="00E47AD4">
            <w:pPr>
              <w:rPr>
                <w:rFonts w:cs="Times New Roman"/>
                <w:sz w:val="20"/>
                <w:szCs w:val="20"/>
              </w:rPr>
            </w:pPr>
            <w:hyperlink r:id="rId24" w:history="1">
              <w:r w:rsidR="00313327" w:rsidRPr="00E9431E">
                <w:rPr>
                  <w:rStyle w:val="Hyperlink"/>
                  <w:rFonts w:cs="Times New Roman"/>
                  <w:sz w:val="20"/>
                  <w:szCs w:val="20"/>
                </w:rPr>
                <w:t>mohamed.areesh@finance.gov.mv</w:t>
              </w:r>
            </w:hyperlink>
          </w:p>
        </w:tc>
      </w:tr>
      <w:tr w:rsidR="00313327" w:rsidRPr="00E9431E" w14:paraId="6E10478D"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605C52C7"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0E09740"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Zumra</w:t>
            </w:r>
            <w:proofErr w:type="spellEnd"/>
            <w:r w:rsidRPr="00E9431E">
              <w:rPr>
                <w:rFonts w:cs="Times New Roman"/>
                <w:color w:val="000000"/>
                <w:sz w:val="20"/>
                <w:szCs w:val="20"/>
              </w:rPr>
              <w:t xml:space="preserve"> Ahmed </w:t>
            </w:r>
          </w:p>
        </w:tc>
        <w:tc>
          <w:tcPr>
            <w:tcW w:w="1590" w:type="dxa"/>
            <w:tcBorders>
              <w:top w:val="single" w:sz="4" w:space="0" w:color="auto"/>
              <w:left w:val="single" w:sz="4" w:space="0" w:color="auto"/>
              <w:bottom w:val="single" w:sz="4" w:space="0" w:color="auto"/>
              <w:right w:val="single" w:sz="4" w:space="0" w:color="auto"/>
            </w:tcBorders>
            <w:vAlign w:val="center"/>
          </w:tcPr>
          <w:p w14:paraId="53174EDC" w14:textId="77777777" w:rsidR="00313327" w:rsidRPr="00E9431E" w:rsidRDefault="00313327" w:rsidP="00E47AD4">
            <w:pPr>
              <w:rPr>
                <w:rFonts w:cs="Times New Roman"/>
                <w:sz w:val="20"/>
                <w:szCs w:val="20"/>
              </w:rPr>
            </w:pPr>
            <w:r w:rsidRPr="00E9431E">
              <w:rPr>
                <w:rFonts w:cs="Times New Roman"/>
                <w:sz w:val="20"/>
                <w:szCs w:val="20"/>
              </w:rPr>
              <w:t>FICO Associate</w:t>
            </w:r>
          </w:p>
        </w:tc>
        <w:tc>
          <w:tcPr>
            <w:tcW w:w="2013" w:type="dxa"/>
            <w:tcBorders>
              <w:top w:val="single" w:sz="4" w:space="0" w:color="auto"/>
              <w:left w:val="single" w:sz="4" w:space="0" w:color="auto"/>
              <w:bottom w:val="single" w:sz="4" w:space="0" w:color="auto"/>
              <w:right w:val="single" w:sz="4" w:space="0" w:color="auto"/>
            </w:tcBorders>
            <w:vAlign w:val="center"/>
          </w:tcPr>
          <w:p w14:paraId="40393B3E"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6EA293E2" w14:textId="77777777" w:rsidR="00313327" w:rsidRPr="00E9431E" w:rsidRDefault="003033FA" w:rsidP="00E47AD4">
            <w:pPr>
              <w:rPr>
                <w:rFonts w:cs="Times New Roman"/>
                <w:sz w:val="20"/>
                <w:szCs w:val="20"/>
              </w:rPr>
            </w:pPr>
            <w:hyperlink r:id="rId25" w:history="1">
              <w:r w:rsidR="00313327" w:rsidRPr="00E9431E">
                <w:rPr>
                  <w:rStyle w:val="Hyperlink"/>
                  <w:rFonts w:cs="Times New Roman"/>
                  <w:sz w:val="20"/>
                  <w:szCs w:val="20"/>
                </w:rPr>
                <w:t>zumra.ahmed@finance.gov.mv</w:t>
              </w:r>
            </w:hyperlink>
          </w:p>
        </w:tc>
      </w:tr>
      <w:tr w:rsidR="00313327" w:rsidRPr="00E9431E" w14:paraId="5F107EEF"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0195CF35"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6B3AD5C7"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Mohamed </w:t>
            </w:r>
            <w:proofErr w:type="spellStart"/>
            <w:r w:rsidRPr="00E9431E">
              <w:rPr>
                <w:rFonts w:cs="Times New Roman"/>
                <w:color w:val="000000"/>
                <w:sz w:val="20"/>
                <w:szCs w:val="20"/>
              </w:rPr>
              <w:t>Mushil</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4B2835F8" w14:textId="77777777" w:rsidR="00313327" w:rsidRPr="00E9431E" w:rsidRDefault="00313327" w:rsidP="00E47AD4">
            <w:pPr>
              <w:rPr>
                <w:rFonts w:cs="Times New Roman"/>
                <w:sz w:val="20"/>
                <w:szCs w:val="20"/>
              </w:rPr>
            </w:pPr>
            <w:r w:rsidRPr="00E9431E">
              <w:rPr>
                <w:rFonts w:cs="Times New Roman"/>
                <w:sz w:val="20"/>
                <w:szCs w:val="20"/>
              </w:rPr>
              <w:t>BI Technical Associate</w:t>
            </w:r>
          </w:p>
        </w:tc>
        <w:tc>
          <w:tcPr>
            <w:tcW w:w="2013" w:type="dxa"/>
            <w:tcBorders>
              <w:top w:val="single" w:sz="4" w:space="0" w:color="auto"/>
              <w:left w:val="single" w:sz="4" w:space="0" w:color="auto"/>
              <w:bottom w:val="single" w:sz="4" w:space="0" w:color="auto"/>
              <w:right w:val="single" w:sz="4" w:space="0" w:color="auto"/>
            </w:tcBorders>
          </w:tcPr>
          <w:p w14:paraId="60AB4814"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25F91111" w14:textId="77777777" w:rsidR="00313327" w:rsidRPr="00E9431E" w:rsidRDefault="003033FA" w:rsidP="00E47AD4">
            <w:pPr>
              <w:rPr>
                <w:rFonts w:cs="Times New Roman"/>
                <w:sz w:val="20"/>
                <w:szCs w:val="20"/>
              </w:rPr>
            </w:pPr>
            <w:hyperlink r:id="rId26" w:history="1">
              <w:r w:rsidR="00313327" w:rsidRPr="00E9431E">
                <w:rPr>
                  <w:rStyle w:val="Hyperlink"/>
                  <w:rFonts w:cs="Times New Roman"/>
                  <w:sz w:val="20"/>
                  <w:szCs w:val="20"/>
                </w:rPr>
                <w:t>mohamed.mushil@finance.gov.mv</w:t>
              </w:r>
            </w:hyperlink>
          </w:p>
        </w:tc>
      </w:tr>
      <w:tr w:rsidR="00313327" w:rsidRPr="00E9431E" w14:paraId="233F7A3E"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16E274CA"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08A71452"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Ahmed </w:t>
            </w:r>
            <w:proofErr w:type="spellStart"/>
            <w:r w:rsidRPr="00E9431E">
              <w:rPr>
                <w:rFonts w:cs="Times New Roman"/>
                <w:color w:val="000000"/>
                <w:sz w:val="20"/>
                <w:szCs w:val="20"/>
              </w:rPr>
              <w:t>Rishad</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0CC34457" w14:textId="77777777" w:rsidR="00313327" w:rsidRPr="00E9431E" w:rsidRDefault="00313327" w:rsidP="00E47AD4">
            <w:pPr>
              <w:rPr>
                <w:rFonts w:cs="Times New Roman"/>
                <w:sz w:val="20"/>
                <w:szCs w:val="20"/>
              </w:rPr>
            </w:pPr>
            <w:r w:rsidRPr="00E9431E">
              <w:rPr>
                <w:rFonts w:cs="Times New Roman"/>
                <w:sz w:val="20"/>
                <w:szCs w:val="20"/>
              </w:rPr>
              <w:t>BASIS Associate</w:t>
            </w:r>
          </w:p>
        </w:tc>
        <w:tc>
          <w:tcPr>
            <w:tcW w:w="2013" w:type="dxa"/>
            <w:tcBorders>
              <w:top w:val="single" w:sz="4" w:space="0" w:color="auto"/>
              <w:left w:val="single" w:sz="4" w:space="0" w:color="auto"/>
              <w:bottom w:val="single" w:sz="4" w:space="0" w:color="auto"/>
              <w:right w:val="single" w:sz="4" w:space="0" w:color="auto"/>
            </w:tcBorders>
          </w:tcPr>
          <w:p w14:paraId="3A217A13"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3154F4C8" w14:textId="77777777" w:rsidR="00313327" w:rsidRPr="00E9431E" w:rsidRDefault="003033FA" w:rsidP="00E47AD4">
            <w:pPr>
              <w:rPr>
                <w:rFonts w:cs="Times New Roman"/>
                <w:sz w:val="20"/>
                <w:szCs w:val="20"/>
              </w:rPr>
            </w:pPr>
            <w:hyperlink r:id="rId27" w:history="1">
              <w:r w:rsidR="00313327" w:rsidRPr="00E9431E">
                <w:rPr>
                  <w:rStyle w:val="Hyperlink"/>
                  <w:rFonts w:cs="Times New Roman"/>
                  <w:sz w:val="20"/>
                  <w:szCs w:val="20"/>
                </w:rPr>
                <w:t>ahmed.rishad@finance.gov.mv</w:t>
              </w:r>
            </w:hyperlink>
          </w:p>
        </w:tc>
      </w:tr>
      <w:tr w:rsidR="00313327" w:rsidRPr="00E9431E" w14:paraId="7B55525E"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55417157"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4AA6081F"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Hawwa</w:t>
            </w:r>
            <w:proofErr w:type="spellEnd"/>
            <w:r w:rsidRPr="00E9431E">
              <w:rPr>
                <w:rFonts w:cs="Times New Roman"/>
                <w:color w:val="000000"/>
                <w:sz w:val="20"/>
                <w:szCs w:val="20"/>
              </w:rPr>
              <w:t xml:space="preserve"> </w:t>
            </w:r>
            <w:proofErr w:type="spellStart"/>
            <w:r w:rsidRPr="00E9431E">
              <w:rPr>
                <w:rFonts w:cs="Times New Roman"/>
                <w:color w:val="000000"/>
                <w:sz w:val="20"/>
                <w:szCs w:val="20"/>
              </w:rPr>
              <w:t>Fajuwa</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5E926E38" w14:textId="77777777" w:rsidR="00313327" w:rsidRPr="00E9431E" w:rsidRDefault="00313327" w:rsidP="00E47AD4">
            <w:pPr>
              <w:rPr>
                <w:rFonts w:cs="Times New Roman"/>
                <w:sz w:val="20"/>
                <w:szCs w:val="20"/>
              </w:rPr>
            </w:pPr>
            <w:r w:rsidRPr="00E9431E">
              <w:rPr>
                <w:rFonts w:cs="Times New Roman"/>
                <w:sz w:val="20"/>
                <w:szCs w:val="20"/>
              </w:rPr>
              <w:t>Asset Management Consultant</w:t>
            </w:r>
          </w:p>
        </w:tc>
        <w:tc>
          <w:tcPr>
            <w:tcW w:w="2013" w:type="dxa"/>
            <w:tcBorders>
              <w:top w:val="single" w:sz="4" w:space="0" w:color="auto"/>
              <w:left w:val="single" w:sz="4" w:space="0" w:color="auto"/>
              <w:bottom w:val="single" w:sz="4" w:space="0" w:color="auto"/>
              <w:right w:val="single" w:sz="4" w:space="0" w:color="auto"/>
            </w:tcBorders>
            <w:vAlign w:val="center"/>
          </w:tcPr>
          <w:p w14:paraId="329B35D5"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076CFDE8" w14:textId="77777777" w:rsidR="00313327" w:rsidRPr="00E9431E" w:rsidRDefault="003033FA" w:rsidP="00E47AD4">
            <w:pPr>
              <w:rPr>
                <w:rFonts w:cs="Times New Roman"/>
                <w:sz w:val="20"/>
                <w:szCs w:val="20"/>
              </w:rPr>
            </w:pPr>
            <w:hyperlink r:id="rId28" w:history="1">
              <w:r w:rsidR="00313327" w:rsidRPr="00E9431E">
                <w:rPr>
                  <w:rStyle w:val="Hyperlink"/>
                  <w:rFonts w:cs="Times New Roman"/>
                  <w:sz w:val="20"/>
                  <w:szCs w:val="20"/>
                </w:rPr>
                <w:t>hawwa.fajuwa@finance.gov.mv</w:t>
              </w:r>
            </w:hyperlink>
          </w:p>
        </w:tc>
      </w:tr>
      <w:tr w:rsidR="00313327" w:rsidRPr="00E9431E" w14:paraId="0CCF800F"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1345DCFB"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7A3B5455"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Zunain</w:t>
            </w:r>
            <w:proofErr w:type="spellEnd"/>
            <w:r w:rsidRPr="00E9431E">
              <w:rPr>
                <w:rFonts w:cs="Times New Roman"/>
                <w:color w:val="000000"/>
                <w:sz w:val="20"/>
                <w:szCs w:val="20"/>
              </w:rPr>
              <w:t xml:space="preserve"> Shareef</w:t>
            </w:r>
          </w:p>
        </w:tc>
        <w:tc>
          <w:tcPr>
            <w:tcW w:w="1590" w:type="dxa"/>
            <w:tcBorders>
              <w:top w:val="single" w:sz="4" w:space="0" w:color="auto"/>
              <w:left w:val="single" w:sz="4" w:space="0" w:color="auto"/>
              <w:bottom w:val="single" w:sz="4" w:space="0" w:color="auto"/>
              <w:right w:val="single" w:sz="4" w:space="0" w:color="auto"/>
            </w:tcBorders>
            <w:vAlign w:val="center"/>
          </w:tcPr>
          <w:p w14:paraId="511F4833" w14:textId="77777777" w:rsidR="00313327" w:rsidRPr="00E9431E" w:rsidRDefault="00313327" w:rsidP="00E47AD4">
            <w:pPr>
              <w:rPr>
                <w:rFonts w:cs="Times New Roman"/>
                <w:sz w:val="20"/>
                <w:szCs w:val="20"/>
              </w:rPr>
            </w:pPr>
            <w:r w:rsidRPr="00E9431E">
              <w:rPr>
                <w:rFonts w:cs="Times New Roman"/>
                <w:sz w:val="20"/>
                <w:szCs w:val="20"/>
              </w:rPr>
              <w:t>BPC Technical Associate</w:t>
            </w:r>
          </w:p>
        </w:tc>
        <w:tc>
          <w:tcPr>
            <w:tcW w:w="2013" w:type="dxa"/>
            <w:tcBorders>
              <w:top w:val="single" w:sz="4" w:space="0" w:color="auto"/>
              <w:left w:val="single" w:sz="4" w:space="0" w:color="auto"/>
              <w:bottom w:val="single" w:sz="4" w:space="0" w:color="auto"/>
              <w:right w:val="single" w:sz="4" w:space="0" w:color="auto"/>
            </w:tcBorders>
            <w:vAlign w:val="center"/>
          </w:tcPr>
          <w:p w14:paraId="3821A82A" w14:textId="77777777" w:rsidR="00313327" w:rsidRPr="00E9431E" w:rsidRDefault="00313327" w:rsidP="00E47AD4">
            <w:pPr>
              <w:rPr>
                <w:rFonts w:cs="Times New Roman"/>
                <w:sz w:val="20"/>
                <w:szCs w:val="20"/>
              </w:rPr>
            </w:pPr>
            <w:r w:rsidRPr="00E9431E">
              <w:rPr>
                <w:rFonts w:cs="Times New Roman"/>
                <w:sz w:val="20"/>
                <w:szCs w:val="20"/>
              </w:rPr>
              <w:t>Public Finance Development Service</w:t>
            </w:r>
          </w:p>
        </w:tc>
        <w:tc>
          <w:tcPr>
            <w:tcW w:w="4415" w:type="dxa"/>
            <w:tcBorders>
              <w:top w:val="single" w:sz="4" w:space="0" w:color="auto"/>
              <w:left w:val="single" w:sz="4" w:space="0" w:color="auto"/>
              <w:bottom w:val="single" w:sz="4" w:space="0" w:color="auto"/>
              <w:right w:val="single" w:sz="4" w:space="0" w:color="auto"/>
            </w:tcBorders>
          </w:tcPr>
          <w:p w14:paraId="7E3D32B7" w14:textId="77777777" w:rsidR="00313327" w:rsidRPr="00E9431E" w:rsidRDefault="003033FA" w:rsidP="00E47AD4">
            <w:pPr>
              <w:rPr>
                <w:rFonts w:cs="Times New Roman"/>
                <w:sz w:val="20"/>
                <w:szCs w:val="20"/>
              </w:rPr>
            </w:pPr>
            <w:hyperlink r:id="rId29" w:history="1">
              <w:r w:rsidR="00313327" w:rsidRPr="00E9431E">
                <w:rPr>
                  <w:rStyle w:val="Hyperlink"/>
                  <w:rFonts w:cs="Times New Roman"/>
                  <w:sz w:val="20"/>
                  <w:szCs w:val="20"/>
                </w:rPr>
                <w:t>zunain.shareef@finance.gov.mv</w:t>
              </w:r>
            </w:hyperlink>
          </w:p>
        </w:tc>
      </w:tr>
      <w:tr w:rsidR="00313327" w:rsidRPr="00E9431E" w14:paraId="695D8398"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0F707061"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6794042A" w14:textId="77777777" w:rsidR="00313327" w:rsidRPr="00E9431E" w:rsidRDefault="00313327" w:rsidP="00E47AD4">
            <w:pPr>
              <w:rPr>
                <w:rFonts w:cs="Times New Roman"/>
                <w:color w:val="000000"/>
                <w:sz w:val="20"/>
                <w:szCs w:val="20"/>
              </w:rPr>
            </w:pPr>
            <w:r w:rsidRPr="00E9431E">
              <w:rPr>
                <w:rFonts w:cs="Times New Roman"/>
                <w:color w:val="000000"/>
                <w:sz w:val="20"/>
                <w:szCs w:val="20"/>
              </w:rPr>
              <w:t>Hassan Waheed</w:t>
            </w:r>
          </w:p>
        </w:tc>
        <w:tc>
          <w:tcPr>
            <w:tcW w:w="1590" w:type="dxa"/>
            <w:tcBorders>
              <w:top w:val="single" w:sz="4" w:space="0" w:color="auto"/>
              <w:left w:val="single" w:sz="4" w:space="0" w:color="auto"/>
              <w:bottom w:val="single" w:sz="4" w:space="0" w:color="auto"/>
              <w:right w:val="single" w:sz="4" w:space="0" w:color="auto"/>
            </w:tcBorders>
            <w:vAlign w:val="center"/>
          </w:tcPr>
          <w:p w14:paraId="3470B1AD" w14:textId="77777777" w:rsidR="00313327" w:rsidRPr="00E9431E" w:rsidRDefault="00313327" w:rsidP="00E47AD4">
            <w:pPr>
              <w:rPr>
                <w:rFonts w:cs="Times New Roman"/>
                <w:sz w:val="20"/>
                <w:szCs w:val="20"/>
              </w:rPr>
            </w:pPr>
            <w:r w:rsidRPr="00E9431E">
              <w:rPr>
                <w:rFonts w:cs="Times New Roman"/>
                <w:sz w:val="20"/>
                <w:szCs w:val="20"/>
              </w:rPr>
              <w:t>President of PCB</w:t>
            </w:r>
          </w:p>
        </w:tc>
        <w:tc>
          <w:tcPr>
            <w:tcW w:w="2013" w:type="dxa"/>
            <w:tcBorders>
              <w:top w:val="single" w:sz="4" w:space="0" w:color="auto"/>
              <w:left w:val="single" w:sz="4" w:space="0" w:color="auto"/>
              <w:bottom w:val="single" w:sz="4" w:space="0" w:color="auto"/>
              <w:right w:val="single" w:sz="4" w:space="0" w:color="auto"/>
            </w:tcBorders>
            <w:vAlign w:val="center"/>
          </w:tcPr>
          <w:p w14:paraId="625CFB55" w14:textId="77777777" w:rsidR="00313327" w:rsidRPr="00E9431E" w:rsidRDefault="00313327" w:rsidP="00E47AD4">
            <w:pPr>
              <w:rPr>
                <w:rFonts w:cs="Times New Roman"/>
                <w:sz w:val="20"/>
                <w:szCs w:val="20"/>
              </w:rPr>
            </w:pPr>
            <w:r w:rsidRPr="00E9431E">
              <w:rPr>
                <w:rFonts w:cs="Times New Roman"/>
                <w:sz w:val="20"/>
                <w:szCs w:val="20"/>
              </w:rPr>
              <w:t>-</w:t>
            </w:r>
          </w:p>
        </w:tc>
        <w:tc>
          <w:tcPr>
            <w:tcW w:w="4415" w:type="dxa"/>
            <w:tcBorders>
              <w:top w:val="single" w:sz="4" w:space="0" w:color="auto"/>
              <w:left w:val="single" w:sz="4" w:space="0" w:color="auto"/>
              <w:bottom w:val="single" w:sz="4" w:space="0" w:color="auto"/>
              <w:right w:val="single" w:sz="4" w:space="0" w:color="auto"/>
            </w:tcBorders>
          </w:tcPr>
          <w:p w14:paraId="2422E2A4" w14:textId="77777777" w:rsidR="00313327" w:rsidRPr="00E9431E" w:rsidRDefault="003033FA" w:rsidP="00E47AD4">
            <w:pPr>
              <w:rPr>
                <w:rFonts w:cs="Times New Roman"/>
                <w:sz w:val="20"/>
                <w:szCs w:val="20"/>
              </w:rPr>
            </w:pPr>
            <w:hyperlink r:id="rId30" w:history="1">
              <w:r w:rsidR="00313327" w:rsidRPr="00E9431E">
                <w:rPr>
                  <w:rStyle w:val="Hyperlink"/>
                  <w:rFonts w:cs="Times New Roman"/>
                  <w:sz w:val="20"/>
                  <w:szCs w:val="20"/>
                </w:rPr>
                <w:t>hassan.waheed@finance.gov.mv</w:t>
              </w:r>
            </w:hyperlink>
          </w:p>
        </w:tc>
      </w:tr>
      <w:tr w:rsidR="00313327" w:rsidRPr="00E9431E" w14:paraId="0D70E9D2"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438E4C23"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450BC676" w14:textId="77777777" w:rsidR="00313327" w:rsidRPr="00E9431E" w:rsidRDefault="00313327" w:rsidP="00E47AD4">
            <w:pPr>
              <w:rPr>
                <w:rFonts w:cs="Times New Roman"/>
                <w:color w:val="000000"/>
                <w:sz w:val="20"/>
                <w:szCs w:val="20"/>
              </w:rPr>
            </w:pPr>
            <w:r w:rsidRPr="00E9431E">
              <w:rPr>
                <w:rFonts w:cs="Times New Roman"/>
                <w:color w:val="000000"/>
                <w:sz w:val="20"/>
                <w:szCs w:val="20"/>
              </w:rPr>
              <w:t>Ahmed Siraj</w:t>
            </w:r>
          </w:p>
        </w:tc>
        <w:tc>
          <w:tcPr>
            <w:tcW w:w="1590" w:type="dxa"/>
            <w:tcBorders>
              <w:top w:val="single" w:sz="4" w:space="0" w:color="auto"/>
              <w:left w:val="single" w:sz="4" w:space="0" w:color="auto"/>
              <w:bottom w:val="single" w:sz="4" w:space="0" w:color="auto"/>
              <w:right w:val="single" w:sz="4" w:space="0" w:color="auto"/>
            </w:tcBorders>
            <w:vAlign w:val="center"/>
          </w:tcPr>
          <w:p w14:paraId="6FC97E59" w14:textId="77777777" w:rsidR="00313327" w:rsidRPr="00E9431E" w:rsidRDefault="00313327" w:rsidP="00E47AD4">
            <w:pPr>
              <w:rPr>
                <w:rFonts w:cs="Times New Roman"/>
                <w:sz w:val="20"/>
                <w:szCs w:val="20"/>
              </w:rPr>
            </w:pPr>
            <w:r w:rsidRPr="00E9431E">
              <w:rPr>
                <w:rFonts w:cs="Times New Roman"/>
                <w:sz w:val="20"/>
                <w:szCs w:val="20"/>
              </w:rPr>
              <w:t>Secretary General</w:t>
            </w:r>
          </w:p>
        </w:tc>
        <w:tc>
          <w:tcPr>
            <w:tcW w:w="2013" w:type="dxa"/>
            <w:tcBorders>
              <w:top w:val="single" w:sz="4" w:space="0" w:color="auto"/>
              <w:left w:val="single" w:sz="4" w:space="0" w:color="auto"/>
              <w:bottom w:val="single" w:sz="4" w:space="0" w:color="auto"/>
              <w:right w:val="single" w:sz="4" w:space="0" w:color="auto"/>
            </w:tcBorders>
            <w:vAlign w:val="center"/>
          </w:tcPr>
          <w:p w14:paraId="2001023D" w14:textId="77777777" w:rsidR="00313327" w:rsidRPr="00E9431E" w:rsidRDefault="00313327" w:rsidP="00E47AD4">
            <w:pPr>
              <w:rPr>
                <w:rFonts w:cs="Times New Roman"/>
                <w:sz w:val="20"/>
                <w:szCs w:val="20"/>
              </w:rPr>
            </w:pPr>
            <w:r w:rsidRPr="00E9431E">
              <w:rPr>
                <w:rFonts w:cs="Times New Roman"/>
                <w:sz w:val="20"/>
                <w:szCs w:val="20"/>
              </w:rPr>
              <w:t>Privatization and Corporatization Board</w:t>
            </w:r>
          </w:p>
        </w:tc>
        <w:tc>
          <w:tcPr>
            <w:tcW w:w="4415" w:type="dxa"/>
            <w:tcBorders>
              <w:top w:val="single" w:sz="4" w:space="0" w:color="auto"/>
              <w:left w:val="single" w:sz="4" w:space="0" w:color="auto"/>
              <w:bottom w:val="single" w:sz="4" w:space="0" w:color="auto"/>
              <w:right w:val="single" w:sz="4" w:space="0" w:color="auto"/>
            </w:tcBorders>
          </w:tcPr>
          <w:p w14:paraId="61BF92D5" w14:textId="77777777" w:rsidR="00313327" w:rsidRPr="00E9431E" w:rsidRDefault="003033FA" w:rsidP="00E47AD4">
            <w:pPr>
              <w:rPr>
                <w:rFonts w:cs="Times New Roman"/>
                <w:sz w:val="20"/>
                <w:szCs w:val="20"/>
              </w:rPr>
            </w:pPr>
            <w:hyperlink r:id="rId31" w:history="1">
              <w:r w:rsidR="00313327" w:rsidRPr="00E9431E">
                <w:rPr>
                  <w:rStyle w:val="Hyperlink"/>
                  <w:rFonts w:cs="Times New Roman"/>
                  <w:sz w:val="20"/>
                  <w:szCs w:val="20"/>
                </w:rPr>
                <w:t>ahmed.siraj@finance.gov.mv</w:t>
              </w:r>
            </w:hyperlink>
          </w:p>
        </w:tc>
      </w:tr>
      <w:tr w:rsidR="00313327" w:rsidRPr="00E9431E" w14:paraId="1A133BA0"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3FC6DB1B"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4AD06F07"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Kinanath</w:t>
            </w:r>
            <w:proofErr w:type="spellEnd"/>
            <w:r w:rsidRPr="00E9431E">
              <w:rPr>
                <w:rFonts w:cs="Times New Roman"/>
                <w:color w:val="000000"/>
                <w:sz w:val="20"/>
                <w:szCs w:val="20"/>
              </w:rPr>
              <w:t xml:space="preserve"> Ali</w:t>
            </w:r>
          </w:p>
        </w:tc>
        <w:tc>
          <w:tcPr>
            <w:tcW w:w="1590" w:type="dxa"/>
            <w:tcBorders>
              <w:top w:val="single" w:sz="4" w:space="0" w:color="auto"/>
              <w:left w:val="single" w:sz="4" w:space="0" w:color="auto"/>
              <w:bottom w:val="single" w:sz="4" w:space="0" w:color="auto"/>
              <w:right w:val="single" w:sz="4" w:space="0" w:color="auto"/>
            </w:tcBorders>
            <w:vAlign w:val="center"/>
          </w:tcPr>
          <w:p w14:paraId="39403FAD" w14:textId="77777777" w:rsidR="00313327" w:rsidRPr="00E9431E" w:rsidRDefault="00313327" w:rsidP="00E47AD4">
            <w:pPr>
              <w:rPr>
                <w:rFonts w:cs="Times New Roman"/>
                <w:sz w:val="20"/>
                <w:szCs w:val="20"/>
              </w:rPr>
            </w:pPr>
            <w:r w:rsidRPr="00E9431E">
              <w:rPr>
                <w:rFonts w:cs="Times New Roman"/>
                <w:sz w:val="20"/>
                <w:szCs w:val="20"/>
              </w:rPr>
              <w:t>Auditor</w:t>
            </w:r>
          </w:p>
        </w:tc>
        <w:tc>
          <w:tcPr>
            <w:tcW w:w="2013" w:type="dxa"/>
            <w:tcBorders>
              <w:top w:val="single" w:sz="4" w:space="0" w:color="auto"/>
              <w:left w:val="single" w:sz="4" w:space="0" w:color="auto"/>
              <w:bottom w:val="single" w:sz="4" w:space="0" w:color="auto"/>
              <w:right w:val="single" w:sz="4" w:space="0" w:color="auto"/>
            </w:tcBorders>
            <w:vAlign w:val="center"/>
          </w:tcPr>
          <w:p w14:paraId="70D7AB68" w14:textId="77777777" w:rsidR="00313327" w:rsidRPr="00E9431E" w:rsidRDefault="00313327" w:rsidP="00E47AD4">
            <w:pPr>
              <w:rPr>
                <w:rFonts w:cs="Times New Roman"/>
                <w:sz w:val="20"/>
                <w:szCs w:val="20"/>
              </w:rPr>
            </w:pPr>
            <w:r w:rsidRPr="00E9431E">
              <w:rPr>
                <w:rFonts w:cs="Times New Roman"/>
                <w:sz w:val="20"/>
                <w:szCs w:val="20"/>
              </w:rPr>
              <w:t xml:space="preserve">Internal Audit </w:t>
            </w:r>
          </w:p>
        </w:tc>
        <w:tc>
          <w:tcPr>
            <w:tcW w:w="4415" w:type="dxa"/>
            <w:tcBorders>
              <w:top w:val="single" w:sz="4" w:space="0" w:color="auto"/>
              <w:left w:val="single" w:sz="4" w:space="0" w:color="auto"/>
              <w:bottom w:val="single" w:sz="4" w:space="0" w:color="auto"/>
              <w:right w:val="single" w:sz="4" w:space="0" w:color="auto"/>
            </w:tcBorders>
          </w:tcPr>
          <w:p w14:paraId="1CD7B3A3" w14:textId="77777777" w:rsidR="00313327" w:rsidRPr="00E9431E" w:rsidRDefault="003033FA" w:rsidP="00E47AD4">
            <w:pPr>
              <w:rPr>
                <w:rFonts w:cs="Times New Roman"/>
                <w:sz w:val="20"/>
                <w:szCs w:val="20"/>
              </w:rPr>
            </w:pPr>
            <w:hyperlink r:id="rId32" w:history="1">
              <w:r w:rsidR="00313327" w:rsidRPr="00E9431E">
                <w:rPr>
                  <w:rStyle w:val="Hyperlink"/>
                  <w:rFonts w:cs="Times New Roman"/>
                  <w:sz w:val="20"/>
                  <w:szCs w:val="20"/>
                </w:rPr>
                <w:t>kinanath.ali@finance.gov.mv</w:t>
              </w:r>
            </w:hyperlink>
          </w:p>
        </w:tc>
      </w:tr>
      <w:tr w:rsidR="00313327" w:rsidRPr="00E9431E" w14:paraId="59C2B1D1"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6EE32092"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1A656AC4"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Mariyam Shahida </w:t>
            </w:r>
          </w:p>
        </w:tc>
        <w:tc>
          <w:tcPr>
            <w:tcW w:w="1590" w:type="dxa"/>
            <w:tcBorders>
              <w:top w:val="single" w:sz="4" w:space="0" w:color="auto"/>
              <w:left w:val="single" w:sz="4" w:space="0" w:color="auto"/>
              <w:bottom w:val="single" w:sz="4" w:space="0" w:color="auto"/>
              <w:right w:val="single" w:sz="4" w:space="0" w:color="auto"/>
            </w:tcBorders>
            <w:vAlign w:val="center"/>
          </w:tcPr>
          <w:p w14:paraId="3FBDA011" w14:textId="77777777" w:rsidR="00313327" w:rsidRPr="00E9431E" w:rsidRDefault="00313327" w:rsidP="00E47AD4">
            <w:pPr>
              <w:rPr>
                <w:rFonts w:cs="Times New Roman"/>
                <w:sz w:val="20"/>
                <w:szCs w:val="20"/>
              </w:rPr>
            </w:pPr>
            <w:r w:rsidRPr="00E9431E">
              <w:rPr>
                <w:rFonts w:cs="Times New Roman"/>
                <w:sz w:val="20"/>
                <w:szCs w:val="20"/>
              </w:rPr>
              <w:t>HRM Executive</w:t>
            </w:r>
          </w:p>
        </w:tc>
        <w:tc>
          <w:tcPr>
            <w:tcW w:w="2013" w:type="dxa"/>
            <w:tcBorders>
              <w:top w:val="single" w:sz="4" w:space="0" w:color="auto"/>
              <w:left w:val="single" w:sz="4" w:space="0" w:color="auto"/>
              <w:bottom w:val="single" w:sz="4" w:space="0" w:color="auto"/>
              <w:right w:val="single" w:sz="4" w:space="0" w:color="auto"/>
            </w:tcBorders>
            <w:vAlign w:val="center"/>
          </w:tcPr>
          <w:p w14:paraId="68B29539" w14:textId="77777777" w:rsidR="00313327" w:rsidRPr="00E9431E" w:rsidRDefault="00313327" w:rsidP="00E47AD4">
            <w:pPr>
              <w:rPr>
                <w:rFonts w:cs="Times New Roman"/>
                <w:sz w:val="20"/>
                <w:szCs w:val="20"/>
              </w:rPr>
            </w:pPr>
            <w:r w:rsidRPr="00E9431E">
              <w:rPr>
                <w:rFonts w:cs="Times New Roman"/>
                <w:sz w:val="20"/>
                <w:szCs w:val="20"/>
              </w:rPr>
              <w:t>National Pay Commission</w:t>
            </w:r>
          </w:p>
        </w:tc>
        <w:tc>
          <w:tcPr>
            <w:tcW w:w="4415" w:type="dxa"/>
            <w:tcBorders>
              <w:top w:val="single" w:sz="4" w:space="0" w:color="auto"/>
              <w:left w:val="single" w:sz="4" w:space="0" w:color="auto"/>
              <w:bottom w:val="single" w:sz="4" w:space="0" w:color="auto"/>
              <w:right w:val="single" w:sz="4" w:space="0" w:color="auto"/>
            </w:tcBorders>
          </w:tcPr>
          <w:p w14:paraId="26139EE0" w14:textId="77777777" w:rsidR="00313327" w:rsidRPr="00E9431E" w:rsidRDefault="003033FA" w:rsidP="00E47AD4">
            <w:pPr>
              <w:rPr>
                <w:rFonts w:cs="Times New Roman"/>
                <w:sz w:val="20"/>
                <w:szCs w:val="20"/>
              </w:rPr>
            </w:pPr>
            <w:hyperlink r:id="rId33" w:history="1">
              <w:r w:rsidR="00313327" w:rsidRPr="00E9431E">
                <w:rPr>
                  <w:rStyle w:val="Hyperlink"/>
                  <w:rFonts w:cs="Times New Roman"/>
                  <w:sz w:val="20"/>
                  <w:szCs w:val="20"/>
                </w:rPr>
                <w:t>mariyam.shahida@finance.gov.mv</w:t>
              </w:r>
            </w:hyperlink>
          </w:p>
        </w:tc>
      </w:tr>
      <w:tr w:rsidR="00313327" w:rsidRPr="00E9431E" w14:paraId="4C72A5E6"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1D2C92D8"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20A1BDE"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Zaheena</w:t>
            </w:r>
            <w:proofErr w:type="spellEnd"/>
            <w:r w:rsidRPr="00E9431E">
              <w:rPr>
                <w:rFonts w:cs="Times New Roman"/>
                <w:color w:val="000000"/>
                <w:sz w:val="20"/>
                <w:szCs w:val="20"/>
              </w:rPr>
              <w:t xml:space="preserve"> Rasheed</w:t>
            </w:r>
          </w:p>
        </w:tc>
        <w:tc>
          <w:tcPr>
            <w:tcW w:w="1590" w:type="dxa"/>
            <w:tcBorders>
              <w:top w:val="single" w:sz="4" w:space="0" w:color="auto"/>
              <w:left w:val="single" w:sz="4" w:space="0" w:color="auto"/>
              <w:bottom w:val="single" w:sz="4" w:space="0" w:color="auto"/>
              <w:right w:val="single" w:sz="4" w:space="0" w:color="auto"/>
            </w:tcBorders>
            <w:vAlign w:val="center"/>
          </w:tcPr>
          <w:p w14:paraId="68DC04B7" w14:textId="77777777" w:rsidR="00313327" w:rsidRPr="00E9431E" w:rsidRDefault="00313327" w:rsidP="00E47AD4">
            <w:pPr>
              <w:rPr>
                <w:rFonts w:cs="Times New Roman"/>
                <w:sz w:val="20"/>
                <w:szCs w:val="20"/>
              </w:rPr>
            </w:pPr>
            <w:r w:rsidRPr="00E9431E">
              <w:rPr>
                <w:rFonts w:cs="Times New Roman"/>
                <w:sz w:val="20"/>
                <w:szCs w:val="20"/>
              </w:rPr>
              <w:t>HRM Executive</w:t>
            </w:r>
          </w:p>
        </w:tc>
        <w:tc>
          <w:tcPr>
            <w:tcW w:w="2013" w:type="dxa"/>
            <w:tcBorders>
              <w:top w:val="single" w:sz="4" w:space="0" w:color="auto"/>
              <w:left w:val="single" w:sz="4" w:space="0" w:color="auto"/>
              <w:bottom w:val="single" w:sz="4" w:space="0" w:color="auto"/>
              <w:right w:val="single" w:sz="4" w:space="0" w:color="auto"/>
            </w:tcBorders>
            <w:vAlign w:val="center"/>
          </w:tcPr>
          <w:p w14:paraId="5BADBDFD" w14:textId="77777777" w:rsidR="00313327" w:rsidRPr="00E9431E" w:rsidRDefault="00313327" w:rsidP="00E47AD4">
            <w:pPr>
              <w:rPr>
                <w:rFonts w:cs="Times New Roman"/>
                <w:sz w:val="20"/>
                <w:szCs w:val="20"/>
              </w:rPr>
            </w:pPr>
            <w:r w:rsidRPr="00E9431E">
              <w:rPr>
                <w:rFonts w:cs="Times New Roman"/>
                <w:sz w:val="20"/>
                <w:szCs w:val="20"/>
              </w:rPr>
              <w:t>National Pay Commission</w:t>
            </w:r>
          </w:p>
        </w:tc>
        <w:tc>
          <w:tcPr>
            <w:tcW w:w="4415" w:type="dxa"/>
            <w:tcBorders>
              <w:top w:val="single" w:sz="4" w:space="0" w:color="auto"/>
              <w:left w:val="single" w:sz="4" w:space="0" w:color="auto"/>
              <w:bottom w:val="single" w:sz="4" w:space="0" w:color="auto"/>
              <w:right w:val="single" w:sz="4" w:space="0" w:color="auto"/>
            </w:tcBorders>
          </w:tcPr>
          <w:p w14:paraId="335E8720" w14:textId="77777777" w:rsidR="00313327" w:rsidRPr="00E9431E" w:rsidRDefault="003033FA" w:rsidP="00E47AD4">
            <w:pPr>
              <w:rPr>
                <w:rFonts w:cs="Times New Roman"/>
                <w:sz w:val="20"/>
                <w:szCs w:val="20"/>
              </w:rPr>
            </w:pPr>
            <w:hyperlink r:id="rId34" w:history="1">
              <w:r w:rsidR="00313327" w:rsidRPr="00E9431E">
                <w:rPr>
                  <w:rStyle w:val="Hyperlink"/>
                  <w:rFonts w:cs="Times New Roman"/>
                  <w:sz w:val="20"/>
                  <w:szCs w:val="20"/>
                </w:rPr>
                <w:t>zaheena.rasheed@finance.gov.mv</w:t>
              </w:r>
            </w:hyperlink>
          </w:p>
        </w:tc>
      </w:tr>
      <w:tr w:rsidR="00313327" w:rsidRPr="00E9431E" w14:paraId="09CC1E2B"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65534923"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4729A2B9"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Fathimath</w:t>
            </w:r>
            <w:proofErr w:type="spellEnd"/>
            <w:r w:rsidRPr="00E9431E">
              <w:rPr>
                <w:rFonts w:cs="Times New Roman"/>
                <w:color w:val="000000"/>
                <w:sz w:val="20"/>
                <w:szCs w:val="20"/>
              </w:rPr>
              <w:t xml:space="preserve"> Saeed</w:t>
            </w:r>
          </w:p>
        </w:tc>
        <w:tc>
          <w:tcPr>
            <w:tcW w:w="1590" w:type="dxa"/>
            <w:tcBorders>
              <w:top w:val="single" w:sz="4" w:space="0" w:color="auto"/>
              <w:left w:val="single" w:sz="4" w:space="0" w:color="auto"/>
              <w:bottom w:val="single" w:sz="4" w:space="0" w:color="auto"/>
              <w:right w:val="single" w:sz="4" w:space="0" w:color="auto"/>
            </w:tcBorders>
            <w:vAlign w:val="center"/>
          </w:tcPr>
          <w:p w14:paraId="23547956" w14:textId="77777777" w:rsidR="00313327" w:rsidRPr="00E9431E" w:rsidRDefault="00313327" w:rsidP="00E47AD4">
            <w:pPr>
              <w:rPr>
                <w:rFonts w:cs="Times New Roman"/>
                <w:sz w:val="20"/>
                <w:szCs w:val="20"/>
              </w:rPr>
            </w:pPr>
            <w:r w:rsidRPr="00E9431E">
              <w:rPr>
                <w:rFonts w:cs="Times New Roman"/>
                <w:sz w:val="20"/>
                <w:szCs w:val="20"/>
              </w:rPr>
              <w:t>Economic Consultant</w:t>
            </w:r>
          </w:p>
        </w:tc>
        <w:tc>
          <w:tcPr>
            <w:tcW w:w="2013" w:type="dxa"/>
            <w:tcBorders>
              <w:top w:val="single" w:sz="4" w:space="0" w:color="auto"/>
              <w:left w:val="single" w:sz="4" w:space="0" w:color="auto"/>
              <w:bottom w:val="single" w:sz="4" w:space="0" w:color="auto"/>
              <w:right w:val="single" w:sz="4" w:space="0" w:color="auto"/>
            </w:tcBorders>
            <w:vAlign w:val="center"/>
          </w:tcPr>
          <w:p w14:paraId="7ABFA1D2" w14:textId="77777777" w:rsidR="00313327" w:rsidRPr="00E9431E" w:rsidRDefault="00313327" w:rsidP="00E47AD4">
            <w:pPr>
              <w:rPr>
                <w:rFonts w:cs="Times New Roman"/>
                <w:sz w:val="20"/>
                <w:szCs w:val="20"/>
              </w:rPr>
            </w:pPr>
            <w:r w:rsidRPr="00E9431E">
              <w:rPr>
                <w:rFonts w:cs="Times New Roman"/>
                <w:sz w:val="20"/>
                <w:szCs w:val="20"/>
              </w:rPr>
              <w:t>National Pay Commission</w:t>
            </w:r>
          </w:p>
        </w:tc>
        <w:tc>
          <w:tcPr>
            <w:tcW w:w="4415" w:type="dxa"/>
            <w:tcBorders>
              <w:top w:val="single" w:sz="4" w:space="0" w:color="auto"/>
              <w:left w:val="single" w:sz="4" w:space="0" w:color="auto"/>
              <w:bottom w:val="single" w:sz="4" w:space="0" w:color="auto"/>
              <w:right w:val="single" w:sz="4" w:space="0" w:color="auto"/>
            </w:tcBorders>
          </w:tcPr>
          <w:p w14:paraId="24AFDD5E" w14:textId="77777777" w:rsidR="00313327" w:rsidRPr="00E9431E" w:rsidRDefault="003033FA" w:rsidP="00E47AD4">
            <w:pPr>
              <w:rPr>
                <w:rFonts w:cs="Times New Roman"/>
                <w:sz w:val="20"/>
                <w:szCs w:val="20"/>
              </w:rPr>
            </w:pPr>
            <w:hyperlink r:id="rId35" w:history="1">
              <w:r w:rsidR="00313327" w:rsidRPr="00E9431E">
                <w:rPr>
                  <w:rStyle w:val="Hyperlink"/>
                  <w:rFonts w:cs="Times New Roman"/>
                  <w:sz w:val="20"/>
                  <w:szCs w:val="20"/>
                </w:rPr>
                <w:t>fathimath.saeed@finance.gov.mv</w:t>
              </w:r>
            </w:hyperlink>
          </w:p>
        </w:tc>
      </w:tr>
      <w:tr w:rsidR="00313327" w:rsidRPr="00E9431E" w14:paraId="2ACAC1DD"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76AE01E1"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0C8AFFAA"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Hawwa</w:t>
            </w:r>
            <w:proofErr w:type="spellEnd"/>
            <w:r w:rsidRPr="00E9431E">
              <w:rPr>
                <w:rFonts w:cs="Times New Roman"/>
                <w:color w:val="000000"/>
                <w:sz w:val="20"/>
                <w:szCs w:val="20"/>
              </w:rPr>
              <w:t xml:space="preserve"> </w:t>
            </w:r>
            <w:proofErr w:type="spellStart"/>
            <w:r w:rsidRPr="00E9431E">
              <w:rPr>
                <w:rFonts w:cs="Times New Roman"/>
                <w:color w:val="000000"/>
                <w:sz w:val="20"/>
                <w:szCs w:val="20"/>
              </w:rPr>
              <w:t>Safna</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4B7ED807" w14:textId="77777777" w:rsidR="00313327" w:rsidRPr="00E9431E" w:rsidRDefault="00313327" w:rsidP="00E47AD4">
            <w:pPr>
              <w:rPr>
                <w:rFonts w:cs="Times New Roman"/>
                <w:sz w:val="20"/>
                <w:szCs w:val="20"/>
              </w:rPr>
            </w:pPr>
            <w:r w:rsidRPr="00E9431E">
              <w:rPr>
                <w:rFonts w:cs="Times New Roman"/>
                <w:sz w:val="20"/>
                <w:szCs w:val="20"/>
              </w:rPr>
              <w:t>Chief Funds Executive</w:t>
            </w:r>
          </w:p>
        </w:tc>
        <w:tc>
          <w:tcPr>
            <w:tcW w:w="2013" w:type="dxa"/>
            <w:tcBorders>
              <w:top w:val="single" w:sz="4" w:space="0" w:color="auto"/>
              <w:left w:val="single" w:sz="4" w:space="0" w:color="auto"/>
              <w:bottom w:val="single" w:sz="4" w:space="0" w:color="auto"/>
              <w:right w:val="single" w:sz="4" w:space="0" w:color="auto"/>
            </w:tcBorders>
            <w:vAlign w:val="center"/>
          </w:tcPr>
          <w:p w14:paraId="5C325204" w14:textId="77777777" w:rsidR="00313327" w:rsidRPr="00E9431E" w:rsidRDefault="00313327" w:rsidP="00E47AD4">
            <w:pPr>
              <w:rPr>
                <w:rFonts w:cs="Times New Roman"/>
                <w:sz w:val="20"/>
                <w:szCs w:val="20"/>
              </w:rPr>
            </w:pPr>
            <w:r w:rsidRPr="00E9431E">
              <w:rPr>
                <w:rFonts w:cs="Times New Roman"/>
                <w:sz w:val="20"/>
                <w:szCs w:val="20"/>
              </w:rPr>
              <w:t>Treasury and Public Accounts Department</w:t>
            </w:r>
          </w:p>
        </w:tc>
        <w:tc>
          <w:tcPr>
            <w:tcW w:w="4415" w:type="dxa"/>
            <w:tcBorders>
              <w:top w:val="single" w:sz="4" w:space="0" w:color="auto"/>
              <w:left w:val="single" w:sz="4" w:space="0" w:color="auto"/>
              <w:bottom w:val="single" w:sz="4" w:space="0" w:color="auto"/>
              <w:right w:val="single" w:sz="4" w:space="0" w:color="auto"/>
            </w:tcBorders>
          </w:tcPr>
          <w:p w14:paraId="11815C9E" w14:textId="77777777" w:rsidR="00313327" w:rsidRPr="00E9431E" w:rsidRDefault="003033FA" w:rsidP="00E47AD4">
            <w:pPr>
              <w:rPr>
                <w:rFonts w:cs="Times New Roman"/>
                <w:sz w:val="20"/>
                <w:szCs w:val="20"/>
              </w:rPr>
            </w:pPr>
            <w:hyperlink r:id="rId36" w:history="1">
              <w:r w:rsidR="00313327" w:rsidRPr="00E9431E">
                <w:rPr>
                  <w:rStyle w:val="Hyperlink"/>
                  <w:rFonts w:cs="Times New Roman"/>
                  <w:sz w:val="20"/>
                  <w:szCs w:val="20"/>
                </w:rPr>
                <w:t>hawwa.safna@finance.gov.mv</w:t>
              </w:r>
            </w:hyperlink>
          </w:p>
        </w:tc>
      </w:tr>
      <w:tr w:rsidR="00313327" w:rsidRPr="00E9431E" w14:paraId="638CB36A"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3F7BF20F"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1101FAD3"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Jumaina</w:t>
            </w:r>
            <w:proofErr w:type="spellEnd"/>
            <w:r w:rsidRPr="00E9431E">
              <w:rPr>
                <w:rFonts w:cs="Times New Roman"/>
                <w:color w:val="000000"/>
                <w:sz w:val="20"/>
                <w:szCs w:val="20"/>
              </w:rPr>
              <w:t xml:space="preserve"> Hassan</w:t>
            </w:r>
          </w:p>
        </w:tc>
        <w:tc>
          <w:tcPr>
            <w:tcW w:w="1590" w:type="dxa"/>
            <w:tcBorders>
              <w:top w:val="single" w:sz="4" w:space="0" w:color="auto"/>
              <w:left w:val="single" w:sz="4" w:space="0" w:color="auto"/>
              <w:bottom w:val="single" w:sz="4" w:space="0" w:color="auto"/>
              <w:right w:val="single" w:sz="4" w:space="0" w:color="auto"/>
            </w:tcBorders>
            <w:vAlign w:val="center"/>
          </w:tcPr>
          <w:p w14:paraId="14002E2C" w14:textId="77777777" w:rsidR="00313327" w:rsidRPr="00E9431E" w:rsidRDefault="00313327" w:rsidP="00E47AD4">
            <w:pPr>
              <w:rPr>
                <w:rFonts w:cs="Times New Roman"/>
                <w:sz w:val="20"/>
                <w:szCs w:val="20"/>
              </w:rPr>
            </w:pPr>
            <w:r w:rsidRPr="00E9431E">
              <w:rPr>
                <w:rFonts w:cs="Times New Roman"/>
                <w:sz w:val="20"/>
                <w:szCs w:val="20"/>
              </w:rPr>
              <w:t>Treasury Management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65F80654" w14:textId="77777777" w:rsidR="00313327" w:rsidRPr="00E9431E" w:rsidRDefault="00313327" w:rsidP="00E47AD4">
            <w:pPr>
              <w:rPr>
                <w:rFonts w:cs="Times New Roman"/>
                <w:sz w:val="20"/>
                <w:szCs w:val="20"/>
              </w:rPr>
            </w:pPr>
            <w:r w:rsidRPr="00E9431E">
              <w:rPr>
                <w:rFonts w:cs="Times New Roman"/>
                <w:sz w:val="20"/>
                <w:szCs w:val="20"/>
              </w:rPr>
              <w:t>Treasury and Public Accounts Department</w:t>
            </w:r>
          </w:p>
        </w:tc>
        <w:tc>
          <w:tcPr>
            <w:tcW w:w="4415" w:type="dxa"/>
            <w:tcBorders>
              <w:top w:val="single" w:sz="4" w:space="0" w:color="auto"/>
              <w:left w:val="single" w:sz="4" w:space="0" w:color="auto"/>
              <w:bottom w:val="single" w:sz="4" w:space="0" w:color="auto"/>
              <w:right w:val="single" w:sz="4" w:space="0" w:color="auto"/>
            </w:tcBorders>
          </w:tcPr>
          <w:p w14:paraId="7717B521" w14:textId="77777777" w:rsidR="00313327" w:rsidRPr="00E9431E" w:rsidRDefault="003033FA" w:rsidP="00E47AD4">
            <w:pPr>
              <w:rPr>
                <w:rFonts w:cs="Times New Roman"/>
                <w:sz w:val="20"/>
                <w:szCs w:val="20"/>
              </w:rPr>
            </w:pPr>
            <w:hyperlink r:id="rId37" w:history="1">
              <w:r w:rsidR="00313327" w:rsidRPr="00E9431E">
                <w:rPr>
                  <w:rStyle w:val="Hyperlink"/>
                  <w:rFonts w:cs="Times New Roman"/>
                  <w:sz w:val="20"/>
                  <w:szCs w:val="20"/>
                </w:rPr>
                <w:t>jumaina.hassan@finance.gov.mv</w:t>
              </w:r>
            </w:hyperlink>
          </w:p>
        </w:tc>
      </w:tr>
      <w:tr w:rsidR="00313327" w:rsidRPr="00E9431E" w14:paraId="5CA81E4E"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27CBD03C"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10068C2"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Mariyam </w:t>
            </w:r>
            <w:proofErr w:type="spellStart"/>
            <w:r w:rsidRPr="00E9431E">
              <w:rPr>
                <w:rFonts w:cs="Times New Roman"/>
                <w:color w:val="000000"/>
                <w:sz w:val="20"/>
                <w:szCs w:val="20"/>
              </w:rPr>
              <w:t>Nazleena</w:t>
            </w:r>
            <w:proofErr w:type="spellEnd"/>
          </w:p>
        </w:tc>
        <w:tc>
          <w:tcPr>
            <w:tcW w:w="1590" w:type="dxa"/>
            <w:tcBorders>
              <w:top w:val="single" w:sz="4" w:space="0" w:color="auto"/>
              <w:left w:val="single" w:sz="4" w:space="0" w:color="auto"/>
              <w:bottom w:val="single" w:sz="4" w:space="0" w:color="auto"/>
              <w:right w:val="single" w:sz="4" w:space="0" w:color="auto"/>
            </w:tcBorders>
            <w:vAlign w:val="center"/>
          </w:tcPr>
          <w:p w14:paraId="17BFC7F3" w14:textId="77777777" w:rsidR="00313327" w:rsidRPr="00E9431E" w:rsidRDefault="00313327" w:rsidP="00E47AD4">
            <w:pPr>
              <w:rPr>
                <w:rFonts w:cs="Times New Roman"/>
                <w:sz w:val="20"/>
                <w:szCs w:val="20"/>
              </w:rPr>
            </w:pPr>
            <w:r w:rsidRPr="00E9431E">
              <w:rPr>
                <w:rFonts w:cs="Times New Roman"/>
                <w:sz w:val="20"/>
                <w:szCs w:val="20"/>
              </w:rPr>
              <w:t>Public Accounts Executive</w:t>
            </w:r>
          </w:p>
        </w:tc>
        <w:tc>
          <w:tcPr>
            <w:tcW w:w="2013" w:type="dxa"/>
            <w:tcBorders>
              <w:top w:val="single" w:sz="4" w:space="0" w:color="auto"/>
              <w:left w:val="single" w:sz="4" w:space="0" w:color="auto"/>
              <w:bottom w:val="single" w:sz="4" w:space="0" w:color="auto"/>
              <w:right w:val="single" w:sz="4" w:space="0" w:color="auto"/>
            </w:tcBorders>
            <w:vAlign w:val="center"/>
          </w:tcPr>
          <w:p w14:paraId="33667737" w14:textId="77777777" w:rsidR="00313327" w:rsidRPr="00E9431E" w:rsidRDefault="00313327" w:rsidP="00E47AD4">
            <w:pPr>
              <w:rPr>
                <w:rFonts w:cs="Times New Roman"/>
                <w:sz w:val="20"/>
                <w:szCs w:val="20"/>
              </w:rPr>
            </w:pPr>
            <w:r w:rsidRPr="00E9431E">
              <w:rPr>
                <w:rFonts w:cs="Times New Roman"/>
                <w:sz w:val="20"/>
                <w:szCs w:val="20"/>
              </w:rPr>
              <w:t>Treasury and Public Accounts Department</w:t>
            </w:r>
          </w:p>
        </w:tc>
        <w:tc>
          <w:tcPr>
            <w:tcW w:w="4415" w:type="dxa"/>
            <w:tcBorders>
              <w:top w:val="single" w:sz="4" w:space="0" w:color="auto"/>
              <w:left w:val="single" w:sz="4" w:space="0" w:color="auto"/>
              <w:bottom w:val="single" w:sz="4" w:space="0" w:color="auto"/>
              <w:right w:val="single" w:sz="4" w:space="0" w:color="auto"/>
            </w:tcBorders>
          </w:tcPr>
          <w:p w14:paraId="7CF84CD2" w14:textId="77777777" w:rsidR="00313327" w:rsidRPr="00E9431E" w:rsidRDefault="00313327" w:rsidP="00E47AD4">
            <w:pPr>
              <w:rPr>
                <w:rFonts w:cs="Times New Roman"/>
                <w:sz w:val="20"/>
                <w:szCs w:val="20"/>
              </w:rPr>
            </w:pPr>
            <w:r w:rsidRPr="00E9431E">
              <w:rPr>
                <w:rFonts w:cs="Times New Roman"/>
                <w:sz w:val="20"/>
                <w:szCs w:val="20"/>
              </w:rPr>
              <w:t>mariyam.nazleena@finance.gov.mv</w:t>
            </w:r>
          </w:p>
        </w:tc>
      </w:tr>
      <w:tr w:rsidR="00313327" w:rsidRPr="00E9431E" w14:paraId="62C442AC" w14:textId="77777777" w:rsidTr="009F0256">
        <w:tc>
          <w:tcPr>
            <w:tcW w:w="828" w:type="dxa"/>
            <w:tcBorders>
              <w:top w:val="single" w:sz="4" w:space="0" w:color="auto"/>
              <w:left w:val="single" w:sz="4" w:space="0" w:color="auto"/>
              <w:bottom w:val="single" w:sz="4" w:space="0" w:color="auto"/>
              <w:right w:val="single" w:sz="4" w:space="0" w:color="auto"/>
            </w:tcBorders>
            <w:vAlign w:val="center"/>
          </w:tcPr>
          <w:p w14:paraId="389F86A7"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AFD9938" w14:textId="77777777" w:rsidR="00313327" w:rsidRPr="00E9431E" w:rsidRDefault="00313327" w:rsidP="00E47AD4">
            <w:pPr>
              <w:rPr>
                <w:rFonts w:cs="Times New Roman"/>
                <w:color w:val="000000"/>
                <w:sz w:val="20"/>
                <w:szCs w:val="20"/>
              </w:rPr>
            </w:pPr>
            <w:r w:rsidRPr="00E9431E">
              <w:rPr>
                <w:rFonts w:cs="Times New Roman"/>
                <w:color w:val="000000"/>
                <w:sz w:val="20"/>
                <w:szCs w:val="20"/>
              </w:rPr>
              <w:t>Mariyam Abdul Nasir</w:t>
            </w:r>
          </w:p>
        </w:tc>
        <w:tc>
          <w:tcPr>
            <w:tcW w:w="1590" w:type="dxa"/>
            <w:tcBorders>
              <w:top w:val="single" w:sz="4" w:space="0" w:color="auto"/>
              <w:left w:val="single" w:sz="4" w:space="0" w:color="auto"/>
              <w:bottom w:val="single" w:sz="4" w:space="0" w:color="auto"/>
              <w:right w:val="single" w:sz="4" w:space="0" w:color="auto"/>
            </w:tcBorders>
            <w:vAlign w:val="center"/>
          </w:tcPr>
          <w:p w14:paraId="4DEBF067" w14:textId="77777777" w:rsidR="00313327" w:rsidRPr="00E9431E" w:rsidRDefault="00313327" w:rsidP="00E47AD4">
            <w:pPr>
              <w:rPr>
                <w:rFonts w:cs="Times New Roman"/>
                <w:sz w:val="20"/>
                <w:szCs w:val="20"/>
              </w:rPr>
            </w:pPr>
            <w:r w:rsidRPr="00E9431E">
              <w:rPr>
                <w:rFonts w:cs="Times New Roman"/>
                <w:sz w:val="20"/>
                <w:szCs w:val="20"/>
              </w:rPr>
              <w:t>Chief Resource Mobilization and Debt Management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6F72914E" w14:textId="77777777" w:rsidR="00313327" w:rsidRPr="00E9431E" w:rsidRDefault="00313327" w:rsidP="00E47AD4">
            <w:pPr>
              <w:rPr>
                <w:rFonts w:cs="Times New Roman"/>
                <w:sz w:val="20"/>
                <w:szCs w:val="20"/>
              </w:rPr>
            </w:pPr>
            <w:r w:rsidRPr="00E9431E">
              <w:rPr>
                <w:rFonts w:cs="Times New Roman"/>
                <w:sz w:val="20"/>
                <w:szCs w:val="20"/>
              </w:rPr>
              <w:t>Resource Mobilization and Debt Management Department</w:t>
            </w:r>
          </w:p>
        </w:tc>
        <w:tc>
          <w:tcPr>
            <w:tcW w:w="4415" w:type="dxa"/>
            <w:tcBorders>
              <w:top w:val="single" w:sz="4" w:space="0" w:color="auto"/>
              <w:left w:val="single" w:sz="4" w:space="0" w:color="auto"/>
              <w:bottom w:val="single" w:sz="4" w:space="0" w:color="auto"/>
              <w:right w:val="single" w:sz="4" w:space="0" w:color="auto"/>
            </w:tcBorders>
          </w:tcPr>
          <w:p w14:paraId="193D6123" w14:textId="77777777" w:rsidR="00313327" w:rsidRPr="00E9431E" w:rsidRDefault="00313327" w:rsidP="00E47AD4">
            <w:pPr>
              <w:rPr>
                <w:rFonts w:cs="Times New Roman"/>
                <w:sz w:val="20"/>
                <w:szCs w:val="20"/>
              </w:rPr>
            </w:pPr>
            <w:r w:rsidRPr="00E9431E">
              <w:rPr>
                <w:rFonts w:cs="Times New Roman"/>
                <w:sz w:val="20"/>
                <w:szCs w:val="20"/>
              </w:rPr>
              <w:t>mariyam.abdulnasir@finance.gov.mv</w:t>
            </w:r>
          </w:p>
        </w:tc>
      </w:tr>
      <w:tr w:rsidR="00313327" w:rsidRPr="00E9431E" w14:paraId="48DB9C30"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1E3E9ADA"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62C752EB" w14:textId="77777777" w:rsidR="00313327" w:rsidRPr="00E9431E" w:rsidRDefault="00313327" w:rsidP="00E47AD4">
            <w:pPr>
              <w:rPr>
                <w:rFonts w:cs="Times New Roman"/>
                <w:color w:val="000000"/>
                <w:sz w:val="20"/>
                <w:szCs w:val="20"/>
              </w:rPr>
            </w:pPr>
            <w:proofErr w:type="spellStart"/>
            <w:r w:rsidRPr="00E9431E">
              <w:rPr>
                <w:rFonts w:cs="Times New Roman"/>
                <w:color w:val="000000"/>
                <w:sz w:val="20"/>
                <w:szCs w:val="20"/>
              </w:rPr>
              <w:t>Shurufa</w:t>
            </w:r>
            <w:proofErr w:type="spellEnd"/>
            <w:r w:rsidRPr="00E9431E">
              <w:rPr>
                <w:rFonts w:cs="Times New Roman"/>
                <w:color w:val="000000"/>
                <w:sz w:val="20"/>
                <w:szCs w:val="20"/>
              </w:rPr>
              <w:t xml:space="preserve"> Abdul Wahid</w:t>
            </w:r>
          </w:p>
        </w:tc>
        <w:tc>
          <w:tcPr>
            <w:tcW w:w="1590" w:type="dxa"/>
            <w:tcBorders>
              <w:top w:val="single" w:sz="4" w:space="0" w:color="auto"/>
              <w:left w:val="single" w:sz="4" w:space="0" w:color="auto"/>
              <w:bottom w:val="single" w:sz="4" w:space="0" w:color="auto"/>
              <w:right w:val="single" w:sz="4" w:space="0" w:color="auto"/>
            </w:tcBorders>
            <w:vAlign w:val="center"/>
          </w:tcPr>
          <w:p w14:paraId="13C4E448" w14:textId="77777777" w:rsidR="00313327" w:rsidRPr="00E9431E" w:rsidRDefault="00313327" w:rsidP="00E47AD4">
            <w:pPr>
              <w:rPr>
                <w:rFonts w:cs="Times New Roman"/>
                <w:sz w:val="20"/>
                <w:szCs w:val="20"/>
              </w:rPr>
            </w:pPr>
            <w:r w:rsidRPr="00E9431E">
              <w:rPr>
                <w:rFonts w:cs="Times New Roman"/>
                <w:sz w:val="20"/>
                <w:szCs w:val="20"/>
              </w:rPr>
              <w:t>Debt Management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037648A5" w14:textId="77777777" w:rsidR="00313327" w:rsidRPr="00E9431E" w:rsidRDefault="00313327" w:rsidP="00E47AD4">
            <w:pPr>
              <w:rPr>
                <w:rFonts w:cs="Times New Roman"/>
                <w:sz w:val="20"/>
                <w:szCs w:val="20"/>
              </w:rPr>
            </w:pPr>
            <w:r w:rsidRPr="00E9431E">
              <w:rPr>
                <w:rFonts w:cs="Times New Roman"/>
                <w:sz w:val="20"/>
                <w:szCs w:val="20"/>
              </w:rPr>
              <w:t>Resource Mobilization and Debt Management Department</w:t>
            </w:r>
          </w:p>
        </w:tc>
        <w:tc>
          <w:tcPr>
            <w:tcW w:w="4415" w:type="dxa"/>
            <w:tcBorders>
              <w:top w:val="single" w:sz="4" w:space="0" w:color="auto"/>
              <w:left w:val="single" w:sz="4" w:space="0" w:color="auto"/>
              <w:bottom w:val="single" w:sz="4" w:space="0" w:color="auto"/>
              <w:right w:val="single" w:sz="4" w:space="0" w:color="auto"/>
            </w:tcBorders>
          </w:tcPr>
          <w:p w14:paraId="6BCD950A" w14:textId="77777777" w:rsidR="00313327" w:rsidRPr="00E9431E" w:rsidRDefault="00313327" w:rsidP="00E47AD4">
            <w:pPr>
              <w:rPr>
                <w:rFonts w:cs="Times New Roman"/>
                <w:sz w:val="20"/>
                <w:szCs w:val="20"/>
              </w:rPr>
            </w:pPr>
            <w:r w:rsidRPr="00E9431E">
              <w:rPr>
                <w:rFonts w:cs="Times New Roman"/>
                <w:sz w:val="20"/>
                <w:szCs w:val="20"/>
              </w:rPr>
              <w:t>shurufa.abdulwahid@finance.gov.mv</w:t>
            </w:r>
          </w:p>
        </w:tc>
      </w:tr>
      <w:tr w:rsidR="00313327" w:rsidRPr="00E9431E" w14:paraId="4C81568C"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2C03CB82"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28A30D8C" w14:textId="77777777" w:rsidR="00313327" w:rsidRPr="00E9431E" w:rsidRDefault="00313327" w:rsidP="00E47AD4">
            <w:pPr>
              <w:rPr>
                <w:rFonts w:cs="Times New Roman"/>
                <w:sz w:val="20"/>
                <w:szCs w:val="20"/>
              </w:rPr>
            </w:pPr>
            <w:proofErr w:type="spellStart"/>
            <w:r w:rsidRPr="00E9431E">
              <w:rPr>
                <w:rFonts w:cs="Times New Roman"/>
                <w:sz w:val="20"/>
                <w:szCs w:val="20"/>
              </w:rPr>
              <w:t>Fathimath</w:t>
            </w:r>
            <w:proofErr w:type="spellEnd"/>
            <w:r w:rsidRPr="00E9431E">
              <w:rPr>
                <w:rFonts w:cs="Times New Roman"/>
                <w:sz w:val="20"/>
                <w:szCs w:val="20"/>
              </w:rPr>
              <w:t xml:space="preserve"> Mohamed Didi</w:t>
            </w:r>
          </w:p>
        </w:tc>
        <w:tc>
          <w:tcPr>
            <w:tcW w:w="1590" w:type="dxa"/>
            <w:tcBorders>
              <w:top w:val="single" w:sz="4" w:space="0" w:color="auto"/>
              <w:left w:val="single" w:sz="4" w:space="0" w:color="auto"/>
              <w:bottom w:val="single" w:sz="4" w:space="0" w:color="auto"/>
              <w:right w:val="single" w:sz="4" w:space="0" w:color="auto"/>
            </w:tcBorders>
            <w:vAlign w:val="center"/>
          </w:tcPr>
          <w:p w14:paraId="124B8D1A" w14:textId="77777777" w:rsidR="00313327" w:rsidRPr="00E9431E" w:rsidRDefault="00313327" w:rsidP="00E47AD4">
            <w:pPr>
              <w:rPr>
                <w:rFonts w:cs="Times New Roman"/>
                <w:sz w:val="20"/>
                <w:szCs w:val="20"/>
              </w:rPr>
            </w:pPr>
            <w:r w:rsidRPr="00E9431E">
              <w:rPr>
                <w:rFonts w:cs="Times New Roman"/>
                <w:sz w:val="20"/>
                <w:szCs w:val="20"/>
              </w:rPr>
              <w:t>Debt Management Executive</w:t>
            </w:r>
          </w:p>
        </w:tc>
        <w:tc>
          <w:tcPr>
            <w:tcW w:w="2013" w:type="dxa"/>
            <w:tcBorders>
              <w:top w:val="single" w:sz="4" w:space="0" w:color="auto"/>
              <w:left w:val="single" w:sz="4" w:space="0" w:color="auto"/>
              <w:bottom w:val="single" w:sz="4" w:space="0" w:color="auto"/>
              <w:right w:val="single" w:sz="4" w:space="0" w:color="auto"/>
            </w:tcBorders>
            <w:vAlign w:val="center"/>
          </w:tcPr>
          <w:p w14:paraId="7770DEBB" w14:textId="77777777" w:rsidR="00313327" w:rsidRPr="00E9431E" w:rsidRDefault="00313327" w:rsidP="00E47AD4">
            <w:pPr>
              <w:rPr>
                <w:rFonts w:cs="Times New Roman"/>
                <w:sz w:val="20"/>
                <w:szCs w:val="20"/>
              </w:rPr>
            </w:pPr>
            <w:r w:rsidRPr="00E9431E">
              <w:rPr>
                <w:rFonts w:cs="Times New Roman"/>
                <w:sz w:val="20"/>
                <w:szCs w:val="20"/>
              </w:rPr>
              <w:t>Resource Mobilization and Debt Management Department</w:t>
            </w:r>
          </w:p>
        </w:tc>
        <w:tc>
          <w:tcPr>
            <w:tcW w:w="4415" w:type="dxa"/>
            <w:tcBorders>
              <w:top w:val="single" w:sz="4" w:space="0" w:color="auto"/>
              <w:left w:val="single" w:sz="4" w:space="0" w:color="auto"/>
              <w:bottom w:val="single" w:sz="4" w:space="0" w:color="auto"/>
              <w:right w:val="single" w:sz="4" w:space="0" w:color="auto"/>
            </w:tcBorders>
          </w:tcPr>
          <w:p w14:paraId="401DA64B" w14:textId="77777777" w:rsidR="00313327" w:rsidRPr="00E9431E" w:rsidRDefault="00313327" w:rsidP="00E47AD4">
            <w:pPr>
              <w:rPr>
                <w:rFonts w:cs="Times New Roman"/>
                <w:sz w:val="20"/>
                <w:szCs w:val="20"/>
              </w:rPr>
            </w:pPr>
            <w:r w:rsidRPr="00E9431E">
              <w:rPr>
                <w:rFonts w:cs="Times New Roman"/>
                <w:sz w:val="20"/>
                <w:szCs w:val="20"/>
              </w:rPr>
              <w:t>fathimath.mohamed@finance.gov.mv</w:t>
            </w:r>
          </w:p>
        </w:tc>
      </w:tr>
      <w:tr w:rsidR="00313327" w:rsidRPr="00E9431E" w14:paraId="0D4C296F"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18E227C2"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371BEA5C"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Aishath </w:t>
            </w:r>
            <w:proofErr w:type="spellStart"/>
            <w:r w:rsidRPr="00E9431E">
              <w:rPr>
                <w:rFonts w:cs="Times New Roman"/>
                <w:color w:val="000000"/>
                <w:sz w:val="20"/>
                <w:szCs w:val="20"/>
              </w:rPr>
              <w:t>Shadhin</w:t>
            </w:r>
            <w:proofErr w:type="spellEnd"/>
            <w:r w:rsidRPr="00E9431E">
              <w:rPr>
                <w:rFonts w:cs="Times New Roman"/>
                <w:color w:val="000000"/>
                <w:sz w:val="20"/>
                <w:szCs w:val="20"/>
              </w:rPr>
              <w:t xml:space="preserve"> Jameel</w:t>
            </w:r>
          </w:p>
        </w:tc>
        <w:tc>
          <w:tcPr>
            <w:tcW w:w="1590" w:type="dxa"/>
            <w:tcBorders>
              <w:top w:val="single" w:sz="4" w:space="0" w:color="auto"/>
              <w:left w:val="single" w:sz="4" w:space="0" w:color="auto"/>
              <w:bottom w:val="single" w:sz="4" w:space="0" w:color="auto"/>
              <w:right w:val="single" w:sz="4" w:space="0" w:color="auto"/>
            </w:tcBorders>
            <w:vAlign w:val="center"/>
          </w:tcPr>
          <w:p w14:paraId="44FA9DB1" w14:textId="77777777" w:rsidR="00313327" w:rsidRPr="00E9431E" w:rsidRDefault="00313327" w:rsidP="00E47AD4">
            <w:pPr>
              <w:rPr>
                <w:rFonts w:cs="Times New Roman"/>
                <w:sz w:val="20"/>
                <w:szCs w:val="20"/>
              </w:rPr>
            </w:pPr>
            <w:r w:rsidRPr="00E9431E">
              <w:rPr>
                <w:rFonts w:cs="Times New Roman"/>
                <w:sz w:val="20"/>
                <w:szCs w:val="20"/>
              </w:rPr>
              <w:t>Assistant Resource Mobilization Officer</w:t>
            </w:r>
          </w:p>
        </w:tc>
        <w:tc>
          <w:tcPr>
            <w:tcW w:w="2013" w:type="dxa"/>
            <w:tcBorders>
              <w:top w:val="single" w:sz="4" w:space="0" w:color="auto"/>
              <w:left w:val="single" w:sz="4" w:space="0" w:color="auto"/>
              <w:bottom w:val="single" w:sz="4" w:space="0" w:color="auto"/>
              <w:right w:val="single" w:sz="4" w:space="0" w:color="auto"/>
            </w:tcBorders>
            <w:vAlign w:val="center"/>
          </w:tcPr>
          <w:p w14:paraId="5D807A12" w14:textId="77777777" w:rsidR="00313327" w:rsidRPr="00E9431E" w:rsidRDefault="00313327" w:rsidP="00E47AD4">
            <w:pPr>
              <w:rPr>
                <w:rFonts w:cs="Times New Roman"/>
                <w:sz w:val="20"/>
                <w:szCs w:val="20"/>
              </w:rPr>
            </w:pPr>
            <w:r w:rsidRPr="00E9431E">
              <w:rPr>
                <w:rFonts w:cs="Times New Roman"/>
                <w:sz w:val="20"/>
                <w:szCs w:val="20"/>
              </w:rPr>
              <w:t>Resource Mobilization and Debt Management Department</w:t>
            </w:r>
          </w:p>
        </w:tc>
        <w:tc>
          <w:tcPr>
            <w:tcW w:w="4415" w:type="dxa"/>
            <w:tcBorders>
              <w:top w:val="single" w:sz="4" w:space="0" w:color="auto"/>
              <w:left w:val="single" w:sz="4" w:space="0" w:color="auto"/>
              <w:bottom w:val="single" w:sz="4" w:space="0" w:color="auto"/>
              <w:right w:val="single" w:sz="4" w:space="0" w:color="auto"/>
            </w:tcBorders>
          </w:tcPr>
          <w:p w14:paraId="24D7FE86" w14:textId="77777777" w:rsidR="00313327" w:rsidRPr="00E9431E" w:rsidRDefault="003033FA" w:rsidP="00E47AD4">
            <w:pPr>
              <w:rPr>
                <w:rFonts w:cs="Times New Roman"/>
                <w:sz w:val="20"/>
                <w:szCs w:val="20"/>
              </w:rPr>
            </w:pPr>
            <w:hyperlink r:id="rId38" w:history="1">
              <w:r w:rsidR="00313327" w:rsidRPr="00E9431E">
                <w:rPr>
                  <w:rStyle w:val="Hyperlink"/>
                  <w:rFonts w:cs="Times New Roman"/>
                  <w:sz w:val="20"/>
                  <w:szCs w:val="20"/>
                </w:rPr>
                <w:t>aishath.shadhin@finance.gov.mv</w:t>
              </w:r>
            </w:hyperlink>
          </w:p>
        </w:tc>
      </w:tr>
      <w:tr w:rsidR="00313327" w:rsidRPr="00E9431E" w14:paraId="000A2261"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3DDE3721"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10F5C27C" w14:textId="77777777" w:rsidR="00313327" w:rsidRPr="00E9431E" w:rsidRDefault="00313327" w:rsidP="00E47AD4">
            <w:pPr>
              <w:rPr>
                <w:rFonts w:cs="Times New Roman"/>
                <w:color w:val="000000"/>
                <w:sz w:val="20"/>
                <w:szCs w:val="20"/>
              </w:rPr>
            </w:pPr>
            <w:r w:rsidRPr="00E9431E">
              <w:rPr>
                <w:rFonts w:cs="Times New Roman"/>
                <w:color w:val="000000"/>
                <w:sz w:val="20"/>
                <w:szCs w:val="20"/>
              </w:rPr>
              <w:t>Mohamed Imad</w:t>
            </w:r>
          </w:p>
        </w:tc>
        <w:tc>
          <w:tcPr>
            <w:tcW w:w="1590" w:type="dxa"/>
            <w:tcBorders>
              <w:top w:val="single" w:sz="4" w:space="0" w:color="auto"/>
              <w:left w:val="single" w:sz="4" w:space="0" w:color="auto"/>
              <w:bottom w:val="single" w:sz="4" w:space="0" w:color="auto"/>
              <w:right w:val="single" w:sz="4" w:space="0" w:color="auto"/>
            </w:tcBorders>
            <w:vAlign w:val="center"/>
          </w:tcPr>
          <w:p w14:paraId="3F32CC30" w14:textId="77777777" w:rsidR="00313327" w:rsidRPr="00E9431E" w:rsidRDefault="00313327" w:rsidP="00E47AD4">
            <w:pPr>
              <w:rPr>
                <w:rFonts w:cs="Times New Roman"/>
                <w:sz w:val="20"/>
                <w:szCs w:val="20"/>
              </w:rPr>
            </w:pPr>
            <w:r w:rsidRPr="00E9431E">
              <w:rPr>
                <w:rFonts w:cs="Times New Roman"/>
                <w:sz w:val="20"/>
                <w:szCs w:val="20"/>
              </w:rPr>
              <w:t>Chief Project Analyst</w:t>
            </w:r>
          </w:p>
        </w:tc>
        <w:tc>
          <w:tcPr>
            <w:tcW w:w="2013" w:type="dxa"/>
            <w:tcBorders>
              <w:top w:val="single" w:sz="4" w:space="0" w:color="auto"/>
              <w:left w:val="single" w:sz="4" w:space="0" w:color="auto"/>
              <w:bottom w:val="single" w:sz="4" w:space="0" w:color="auto"/>
              <w:right w:val="single" w:sz="4" w:space="0" w:color="auto"/>
            </w:tcBorders>
            <w:vAlign w:val="center"/>
          </w:tcPr>
          <w:p w14:paraId="1AD02FAC" w14:textId="77777777" w:rsidR="00313327" w:rsidRPr="00E9431E" w:rsidRDefault="00313327" w:rsidP="00E47AD4">
            <w:pPr>
              <w:rPr>
                <w:rFonts w:cs="Times New Roman"/>
                <w:sz w:val="20"/>
                <w:szCs w:val="20"/>
              </w:rPr>
            </w:pPr>
            <w:r w:rsidRPr="00E9431E">
              <w:rPr>
                <w:rFonts w:cs="Times New Roman"/>
                <w:sz w:val="20"/>
                <w:szCs w:val="20"/>
              </w:rPr>
              <w:t>- Ministry of National Planning and Infrastructure</w:t>
            </w:r>
          </w:p>
        </w:tc>
        <w:tc>
          <w:tcPr>
            <w:tcW w:w="4415" w:type="dxa"/>
            <w:tcBorders>
              <w:top w:val="single" w:sz="4" w:space="0" w:color="auto"/>
              <w:left w:val="single" w:sz="4" w:space="0" w:color="auto"/>
              <w:bottom w:val="single" w:sz="4" w:space="0" w:color="auto"/>
              <w:right w:val="single" w:sz="4" w:space="0" w:color="auto"/>
            </w:tcBorders>
          </w:tcPr>
          <w:p w14:paraId="3FC191FB" w14:textId="77777777" w:rsidR="00313327" w:rsidRPr="00E9431E" w:rsidRDefault="003033FA" w:rsidP="00E47AD4">
            <w:pPr>
              <w:rPr>
                <w:rFonts w:cs="Times New Roman"/>
                <w:sz w:val="20"/>
                <w:szCs w:val="20"/>
              </w:rPr>
            </w:pPr>
            <w:hyperlink r:id="rId39" w:history="1">
              <w:r w:rsidR="00313327" w:rsidRPr="00E9431E">
                <w:rPr>
                  <w:rStyle w:val="Hyperlink"/>
                  <w:rFonts w:cs="Times New Roman"/>
                  <w:sz w:val="20"/>
                  <w:szCs w:val="20"/>
                </w:rPr>
                <w:t>mohamed.imad@planning.gov.mv</w:t>
              </w:r>
            </w:hyperlink>
          </w:p>
        </w:tc>
      </w:tr>
      <w:tr w:rsidR="00313327" w:rsidRPr="00E9431E" w14:paraId="2DAECE36"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1FD58EB3"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ED029FD" w14:textId="77777777" w:rsidR="00313327" w:rsidRPr="00E9431E" w:rsidRDefault="00313327" w:rsidP="00E47AD4">
            <w:pPr>
              <w:rPr>
                <w:rFonts w:cs="Times New Roman"/>
                <w:color w:val="000000"/>
                <w:sz w:val="20"/>
                <w:szCs w:val="20"/>
              </w:rPr>
            </w:pPr>
            <w:r w:rsidRPr="00E9431E">
              <w:rPr>
                <w:rFonts w:cs="Times New Roman"/>
                <w:color w:val="000000"/>
                <w:sz w:val="20"/>
                <w:szCs w:val="20"/>
              </w:rPr>
              <w:t>Ahmed Salih</w:t>
            </w:r>
          </w:p>
        </w:tc>
        <w:tc>
          <w:tcPr>
            <w:tcW w:w="1590" w:type="dxa"/>
            <w:tcBorders>
              <w:top w:val="single" w:sz="4" w:space="0" w:color="auto"/>
              <w:left w:val="single" w:sz="4" w:space="0" w:color="auto"/>
              <w:bottom w:val="single" w:sz="4" w:space="0" w:color="auto"/>
              <w:right w:val="single" w:sz="4" w:space="0" w:color="auto"/>
            </w:tcBorders>
            <w:vAlign w:val="center"/>
          </w:tcPr>
          <w:p w14:paraId="72E7C8E4" w14:textId="77777777" w:rsidR="00313327" w:rsidRPr="00E9431E" w:rsidRDefault="00313327" w:rsidP="00E47AD4">
            <w:pPr>
              <w:rPr>
                <w:rFonts w:cs="Times New Roman"/>
                <w:sz w:val="20"/>
                <w:szCs w:val="20"/>
              </w:rPr>
            </w:pPr>
            <w:r w:rsidRPr="00E9431E">
              <w:rPr>
                <w:rFonts w:cs="Times New Roman"/>
                <w:sz w:val="20"/>
                <w:szCs w:val="20"/>
              </w:rPr>
              <w:t>Director – Performance Audit</w:t>
            </w:r>
          </w:p>
        </w:tc>
        <w:tc>
          <w:tcPr>
            <w:tcW w:w="2013" w:type="dxa"/>
            <w:tcBorders>
              <w:top w:val="single" w:sz="4" w:space="0" w:color="auto"/>
              <w:left w:val="single" w:sz="4" w:space="0" w:color="auto"/>
              <w:bottom w:val="single" w:sz="4" w:space="0" w:color="auto"/>
              <w:right w:val="single" w:sz="4" w:space="0" w:color="auto"/>
            </w:tcBorders>
            <w:vAlign w:val="center"/>
          </w:tcPr>
          <w:p w14:paraId="4112C7F1" w14:textId="77777777" w:rsidR="00313327" w:rsidRPr="00E9431E" w:rsidRDefault="00313327" w:rsidP="00E47AD4">
            <w:pPr>
              <w:rPr>
                <w:rFonts w:cs="Times New Roman"/>
                <w:sz w:val="20"/>
                <w:szCs w:val="20"/>
              </w:rPr>
            </w:pPr>
            <w:r w:rsidRPr="00E9431E">
              <w:rPr>
                <w:rFonts w:cs="Times New Roman"/>
                <w:sz w:val="20"/>
                <w:szCs w:val="20"/>
              </w:rPr>
              <w:t>Auditor General’s Office</w:t>
            </w:r>
          </w:p>
        </w:tc>
        <w:tc>
          <w:tcPr>
            <w:tcW w:w="4415" w:type="dxa"/>
            <w:tcBorders>
              <w:top w:val="single" w:sz="4" w:space="0" w:color="auto"/>
              <w:left w:val="single" w:sz="4" w:space="0" w:color="auto"/>
              <w:bottom w:val="single" w:sz="4" w:space="0" w:color="auto"/>
              <w:right w:val="single" w:sz="4" w:space="0" w:color="auto"/>
            </w:tcBorders>
          </w:tcPr>
          <w:p w14:paraId="088D3ECC" w14:textId="77777777" w:rsidR="00313327" w:rsidRPr="00E9431E" w:rsidRDefault="003033FA" w:rsidP="00E47AD4">
            <w:pPr>
              <w:rPr>
                <w:rFonts w:cs="Times New Roman"/>
                <w:sz w:val="20"/>
                <w:szCs w:val="20"/>
              </w:rPr>
            </w:pPr>
            <w:hyperlink r:id="rId40" w:history="1">
              <w:r w:rsidR="00313327" w:rsidRPr="00E9431E">
                <w:rPr>
                  <w:rFonts w:cs="Times New Roman"/>
                  <w:sz w:val="20"/>
                  <w:szCs w:val="20"/>
                </w:rPr>
                <w:t>solih@audit.gov.mv</w:t>
              </w:r>
            </w:hyperlink>
          </w:p>
        </w:tc>
      </w:tr>
      <w:tr w:rsidR="00313327" w:rsidRPr="00E9431E" w14:paraId="48130F60"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2629A6A4"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26EA9DD3" w14:textId="77777777" w:rsidR="00313327" w:rsidRPr="00E9431E" w:rsidRDefault="00313327" w:rsidP="00E47AD4">
            <w:pPr>
              <w:rPr>
                <w:rFonts w:cs="Times New Roman"/>
                <w:color w:val="000000"/>
                <w:sz w:val="20"/>
                <w:szCs w:val="20"/>
              </w:rPr>
            </w:pPr>
            <w:r w:rsidRPr="00E9431E">
              <w:rPr>
                <w:rFonts w:cs="Times New Roman"/>
                <w:color w:val="000000"/>
                <w:sz w:val="20"/>
                <w:szCs w:val="20"/>
              </w:rPr>
              <w:t xml:space="preserve">Ibrahim </w:t>
            </w:r>
            <w:proofErr w:type="spellStart"/>
            <w:r w:rsidRPr="00E9431E">
              <w:rPr>
                <w:rFonts w:cs="Times New Roman"/>
                <w:color w:val="000000"/>
                <w:sz w:val="20"/>
                <w:szCs w:val="20"/>
              </w:rPr>
              <w:t>Fazeel</w:t>
            </w:r>
            <w:proofErr w:type="spellEnd"/>
            <w:r w:rsidRPr="00E9431E">
              <w:rPr>
                <w:rFonts w:cs="Times New Roman"/>
                <w:color w:val="000000"/>
                <w:sz w:val="20"/>
                <w:szCs w:val="20"/>
              </w:rPr>
              <w:t xml:space="preserve"> </w:t>
            </w:r>
          </w:p>
        </w:tc>
        <w:tc>
          <w:tcPr>
            <w:tcW w:w="1590" w:type="dxa"/>
            <w:tcBorders>
              <w:top w:val="single" w:sz="4" w:space="0" w:color="auto"/>
              <w:left w:val="single" w:sz="4" w:space="0" w:color="auto"/>
              <w:bottom w:val="single" w:sz="4" w:space="0" w:color="auto"/>
              <w:right w:val="single" w:sz="4" w:space="0" w:color="auto"/>
            </w:tcBorders>
            <w:vAlign w:val="center"/>
          </w:tcPr>
          <w:p w14:paraId="11B55CA1" w14:textId="77777777" w:rsidR="00313327" w:rsidRPr="00E9431E" w:rsidRDefault="00313327" w:rsidP="00E47AD4">
            <w:pPr>
              <w:rPr>
                <w:rFonts w:cs="Times New Roman"/>
                <w:sz w:val="20"/>
                <w:szCs w:val="20"/>
              </w:rPr>
            </w:pPr>
            <w:r w:rsidRPr="00E9431E">
              <w:rPr>
                <w:rFonts w:cs="Times New Roman"/>
                <w:sz w:val="20"/>
                <w:szCs w:val="20"/>
              </w:rPr>
              <w:t>Director – SOEs’ &amp; Statutory Bodies</w:t>
            </w:r>
          </w:p>
        </w:tc>
        <w:tc>
          <w:tcPr>
            <w:tcW w:w="2013" w:type="dxa"/>
            <w:tcBorders>
              <w:top w:val="single" w:sz="4" w:space="0" w:color="auto"/>
              <w:left w:val="single" w:sz="4" w:space="0" w:color="auto"/>
              <w:bottom w:val="single" w:sz="4" w:space="0" w:color="auto"/>
              <w:right w:val="single" w:sz="4" w:space="0" w:color="auto"/>
            </w:tcBorders>
            <w:vAlign w:val="center"/>
          </w:tcPr>
          <w:p w14:paraId="75AF5012" w14:textId="77777777" w:rsidR="00313327" w:rsidRPr="00E9431E" w:rsidRDefault="00313327" w:rsidP="00E47AD4">
            <w:pPr>
              <w:rPr>
                <w:rFonts w:cs="Times New Roman"/>
                <w:sz w:val="20"/>
                <w:szCs w:val="20"/>
              </w:rPr>
            </w:pPr>
            <w:r w:rsidRPr="00E9431E">
              <w:rPr>
                <w:rFonts w:cs="Times New Roman"/>
                <w:sz w:val="20"/>
                <w:szCs w:val="20"/>
              </w:rPr>
              <w:t>Auditor General’s Office</w:t>
            </w:r>
          </w:p>
        </w:tc>
        <w:tc>
          <w:tcPr>
            <w:tcW w:w="4415" w:type="dxa"/>
            <w:tcBorders>
              <w:top w:val="single" w:sz="4" w:space="0" w:color="auto"/>
              <w:left w:val="single" w:sz="4" w:space="0" w:color="auto"/>
              <w:bottom w:val="single" w:sz="4" w:space="0" w:color="auto"/>
              <w:right w:val="single" w:sz="4" w:space="0" w:color="auto"/>
            </w:tcBorders>
          </w:tcPr>
          <w:p w14:paraId="619FBC98" w14:textId="77777777" w:rsidR="00313327" w:rsidRPr="00E9431E" w:rsidRDefault="003033FA" w:rsidP="00E47AD4">
            <w:pPr>
              <w:rPr>
                <w:rFonts w:cs="Times New Roman"/>
                <w:sz w:val="20"/>
                <w:szCs w:val="20"/>
              </w:rPr>
            </w:pPr>
            <w:hyperlink r:id="rId41" w:history="1">
              <w:r w:rsidR="00313327" w:rsidRPr="00E9431E">
                <w:rPr>
                  <w:rStyle w:val="Hyperlink"/>
                  <w:rFonts w:cs="Times New Roman"/>
                  <w:sz w:val="20"/>
                  <w:szCs w:val="20"/>
                </w:rPr>
                <w:t>fazeel@audit.gov.mv</w:t>
              </w:r>
            </w:hyperlink>
          </w:p>
        </w:tc>
      </w:tr>
      <w:tr w:rsidR="00313327" w:rsidRPr="00E9431E" w14:paraId="66332574" w14:textId="77777777" w:rsidTr="009F0256">
        <w:trPr>
          <w:trHeight w:val="350"/>
        </w:trPr>
        <w:tc>
          <w:tcPr>
            <w:tcW w:w="828" w:type="dxa"/>
            <w:tcBorders>
              <w:top w:val="single" w:sz="4" w:space="0" w:color="auto"/>
              <w:left w:val="single" w:sz="4" w:space="0" w:color="auto"/>
              <w:bottom w:val="single" w:sz="4" w:space="0" w:color="auto"/>
              <w:right w:val="single" w:sz="4" w:space="0" w:color="auto"/>
            </w:tcBorders>
            <w:vAlign w:val="center"/>
          </w:tcPr>
          <w:p w14:paraId="1E41AEE4" w14:textId="77777777" w:rsidR="00313327" w:rsidRPr="00E9431E" w:rsidRDefault="00313327" w:rsidP="009F0256">
            <w:pPr>
              <w:pStyle w:val="ListParagraph"/>
              <w:numPr>
                <w:ilvl w:val="0"/>
                <w:numId w:val="12"/>
              </w:numPr>
              <w:rPr>
                <w:rFonts w:cs="Times New Roman"/>
                <w:sz w:val="20"/>
                <w:szCs w:val="20"/>
              </w:rPr>
            </w:pPr>
          </w:p>
        </w:tc>
        <w:tc>
          <w:tcPr>
            <w:tcW w:w="1902" w:type="dxa"/>
            <w:tcBorders>
              <w:top w:val="single" w:sz="4" w:space="0" w:color="auto"/>
              <w:left w:val="single" w:sz="4" w:space="0" w:color="auto"/>
              <w:bottom w:val="single" w:sz="4" w:space="0" w:color="auto"/>
              <w:right w:val="single" w:sz="4" w:space="0" w:color="auto"/>
            </w:tcBorders>
            <w:vAlign w:val="center"/>
          </w:tcPr>
          <w:p w14:paraId="58DF3293" w14:textId="77777777" w:rsidR="00313327" w:rsidRPr="00E9431E" w:rsidRDefault="00313327" w:rsidP="00E47AD4">
            <w:pPr>
              <w:rPr>
                <w:rFonts w:cs="Times New Roman"/>
                <w:color w:val="000000"/>
                <w:sz w:val="20"/>
                <w:szCs w:val="20"/>
              </w:rPr>
            </w:pPr>
            <w:r w:rsidRPr="00E9431E">
              <w:rPr>
                <w:rFonts w:cs="Times New Roman"/>
                <w:color w:val="000000"/>
                <w:sz w:val="20"/>
                <w:szCs w:val="20"/>
              </w:rPr>
              <w:t>Ibrahim Naeem</w:t>
            </w:r>
          </w:p>
        </w:tc>
        <w:tc>
          <w:tcPr>
            <w:tcW w:w="1590" w:type="dxa"/>
            <w:tcBorders>
              <w:top w:val="single" w:sz="4" w:space="0" w:color="auto"/>
              <w:left w:val="single" w:sz="4" w:space="0" w:color="auto"/>
              <w:bottom w:val="single" w:sz="4" w:space="0" w:color="auto"/>
              <w:right w:val="single" w:sz="4" w:space="0" w:color="auto"/>
            </w:tcBorders>
            <w:vAlign w:val="center"/>
          </w:tcPr>
          <w:p w14:paraId="05A411C4" w14:textId="77777777" w:rsidR="00313327" w:rsidRPr="00E9431E" w:rsidRDefault="00313327" w:rsidP="00E47AD4">
            <w:pPr>
              <w:rPr>
                <w:rFonts w:cs="Times New Roman"/>
                <w:sz w:val="20"/>
                <w:szCs w:val="20"/>
              </w:rPr>
            </w:pPr>
            <w:r w:rsidRPr="00E9431E">
              <w:rPr>
                <w:rFonts w:cs="Times New Roman"/>
                <w:sz w:val="20"/>
                <w:szCs w:val="20"/>
              </w:rPr>
              <w:t>Director – Public Sector Audit</w:t>
            </w:r>
          </w:p>
        </w:tc>
        <w:tc>
          <w:tcPr>
            <w:tcW w:w="2013" w:type="dxa"/>
            <w:tcBorders>
              <w:top w:val="single" w:sz="4" w:space="0" w:color="auto"/>
              <w:left w:val="single" w:sz="4" w:space="0" w:color="auto"/>
              <w:bottom w:val="single" w:sz="4" w:space="0" w:color="auto"/>
              <w:right w:val="single" w:sz="4" w:space="0" w:color="auto"/>
            </w:tcBorders>
            <w:vAlign w:val="center"/>
          </w:tcPr>
          <w:p w14:paraId="024A2FF3" w14:textId="77777777" w:rsidR="00313327" w:rsidRPr="00E9431E" w:rsidRDefault="00313327" w:rsidP="00E47AD4">
            <w:pPr>
              <w:rPr>
                <w:rFonts w:cs="Times New Roman"/>
                <w:sz w:val="20"/>
                <w:szCs w:val="20"/>
              </w:rPr>
            </w:pPr>
            <w:r w:rsidRPr="00E9431E">
              <w:rPr>
                <w:rFonts w:cs="Times New Roman"/>
                <w:sz w:val="20"/>
                <w:szCs w:val="20"/>
              </w:rPr>
              <w:t>Auditor General’s Office</w:t>
            </w:r>
          </w:p>
        </w:tc>
        <w:tc>
          <w:tcPr>
            <w:tcW w:w="4415" w:type="dxa"/>
            <w:tcBorders>
              <w:top w:val="single" w:sz="4" w:space="0" w:color="auto"/>
              <w:left w:val="single" w:sz="4" w:space="0" w:color="auto"/>
              <w:bottom w:val="single" w:sz="4" w:space="0" w:color="auto"/>
              <w:right w:val="single" w:sz="4" w:space="0" w:color="auto"/>
            </w:tcBorders>
          </w:tcPr>
          <w:p w14:paraId="731E230A" w14:textId="77777777" w:rsidR="00313327" w:rsidRPr="00E9431E" w:rsidRDefault="003033FA" w:rsidP="00E47AD4">
            <w:pPr>
              <w:rPr>
                <w:rFonts w:cs="Times New Roman"/>
                <w:sz w:val="20"/>
                <w:szCs w:val="20"/>
              </w:rPr>
            </w:pPr>
            <w:hyperlink r:id="rId42" w:history="1">
              <w:r w:rsidR="00313327" w:rsidRPr="00E9431E">
                <w:rPr>
                  <w:rStyle w:val="Hyperlink"/>
                  <w:rFonts w:cs="Times New Roman"/>
                  <w:sz w:val="20"/>
                  <w:szCs w:val="20"/>
                </w:rPr>
                <w:t>inaeem@audit.gov.mv</w:t>
              </w:r>
            </w:hyperlink>
          </w:p>
        </w:tc>
      </w:tr>
    </w:tbl>
    <w:p w14:paraId="6FC972CE" w14:textId="77777777" w:rsidR="00313327" w:rsidRPr="00C01218" w:rsidRDefault="00313327" w:rsidP="00313327">
      <w:pPr>
        <w:rPr>
          <w:rFonts w:eastAsia="Calibri" w:cs="Times New Roman"/>
          <w:sz w:val="22"/>
        </w:rPr>
      </w:pPr>
    </w:p>
    <w:p w14:paraId="38E4E3A8" w14:textId="2CC84AD0" w:rsidR="008F6BC1" w:rsidRPr="003A0F40" w:rsidRDefault="00230830" w:rsidP="003925CE">
      <w:pPr>
        <w:jc w:val="center"/>
        <w:rPr>
          <w:rFonts w:eastAsia="Calibri" w:cs="Times New Roman"/>
          <w:b/>
          <w:szCs w:val="24"/>
        </w:rPr>
      </w:pPr>
      <w:r w:rsidRPr="003A0F40">
        <w:rPr>
          <w:rFonts w:eastAsia="Calibri" w:cs="Times New Roman"/>
          <w:b/>
          <w:szCs w:val="24"/>
        </w:rPr>
        <w:t xml:space="preserve">Annex 2: </w:t>
      </w:r>
      <w:r w:rsidR="008F6BC1" w:rsidRPr="003A0F40">
        <w:rPr>
          <w:rFonts w:eastAsia="Calibri" w:cs="Times New Roman"/>
          <w:b/>
          <w:szCs w:val="24"/>
        </w:rPr>
        <w:t>Results Framework and DLIs</w:t>
      </w:r>
    </w:p>
    <w:p w14:paraId="1AEADB91" w14:textId="2622DBBC" w:rsidR="008F6BC1" w:rsidRPr="008F6BC1" w:rsidRDefault="008F6BC1" w:rsidP="008F6BC1">
      <w:pPr>
        <w:rPr>
          <w:rFonts w:eastAsia="Calibri" w:cs="Times New Roman"/>
          <w:sz w:val="22"/>
        </w:rPr>
      </w:pPr>
      <w:r w:rsidRPr="008F6BC1">
        <w:rPr>
          <w:rFonts w:eastAsia="Calibri" w:cs="Times New Roman"/>
          <w:sz w:val="22"/>
        </w:rPr>
        <w:t>Table 1: Results Framework</w:t>
      </w:r>
    </w:p>
    <w:tbl>
      <w:tblPr>
        <w:tblStyle w:val="TableGrid"/>
        <w:tblW w:w="11160" w:type="dxa"/>
        <w:tblInd w:w="-725" w:type="dxa"/>
        <w:tblLayout w:type="fixed"/>
        <w:tblLook w:val="04A0" w:firstRow="1" w:lastRow="0" w:firstColumn="1" w:lastColumn="0" w:noHBand="0" w:noVBand="1"/>
      </w:tblPr>
      <w:tblGrid>
        <w:gridCol w:w="450"/>
        <w:gridCol w:w="2250"/>
        <w:gridCol w:w="1080"/>
        <w:gridCol w:w="1792"/>
        <w:gridCol w:w="1345"/>
        <w:gridCol w:w="1093"/>
        <w:gridCol w:w="866"/>
        <w:gridCol w:w="2284"/>
      </w:tblGrid>
      <w:tr w:rsidR="008F6BC1" w:rsidRPr="008F6BC1" w14:paraId="4962D5FE" w14:textId="77777777" w:rsidTr="008F6BC1">
        <w:trPr>
          <w:trHeight w:val="240"/>
        </w:trPr>
        <w:tc>
          <w:tcPr>
            <w:tcW w:w="450" w:type="dxa"/>
            <w:noWrap/>
            <w:hideMark/>
          </w:tcPr>
          <w:p w14:paraId="55492A54" w14:textId="77777777" w:rsidR="008F6BC1" w:rsidRPr="008F6BC1" w:rsidRDefault="008F6BC1" w:rsidP="00E47AD4">
            <w:pPr>
              <w:rPr>
                <w:rFonts w:cs="Times New Roman"/>
                <w:b/>
                <w:bCs/>
                <w:sz w:val="18"/>
                <w:szCs w:val="18"/>
              </w:rPr>
            </w:pPr>
            <w:r w:rsidRPr="008F6BC1">
              <w:rPr>
                <w:rFonts w:cs="Times New Roman"/>
                <w:b/>
                <w:bCs/>
                <w:sz w:val="18"/>
                <w:szCs w:val="18"/>
              </w:rPr>
              <w:t>No</w:t>
            </w:r>
          </w:p>
        </w:tc>
        <w:tc>
          <w:tcPr>
            <w:tcW w:w="2250" w:type="dxa"/>
            <w:hideMark/>
          </w:tcPr>
          <w:p w14:paraId="72E9B5F3" w14:textId="77777777" w:rsidR="008F6BC1" w:rsidRPr="008F6BC1" w:rsidRDefault="008F6BC1" w:rsidP="00E47AD4">
            <w:pPr>
              <w:rPr>
                <w:rFonts w:cs="Times New Roman"/>
                <w:b/>
                <w:bCs/>
                <w:sz w:val="18"/>
                <w:szCs w:val="18"/>
              </w:rPr>
            </w:pPr>
            <w:r w:rsidRPr="008F6BC1">
              <w:rPr>
                <w:rFonts w:cs="Times New Roman"/>
                <w:b/>
                <w:bCs/>
                <w:sz w:val="18"/>
                <w:szCs w:val="18"/>
              </w:rPr>
              <w:t xml:space="preserve">PDO Indicator </w:t>
            </w:r>
          </w:p>
        </w:tc>
        <w:tc>
          <w:tcPr>
            <w:tcW w:w="1080" w:type="dxa"/>
            <w:hideMark/>
          </w:tcPr>
          <w:p w14:paraId="0AF61887" w14:textId="77777777" w:rsidR="008F6BC1" w:rsidRPr="008F6BC1" w:rsidRDefault="008F6BC1" w:rsidP="00E47AD4">
            <w:pPr>
              <w:rPr>
                <w:rFonts w:cs="Times New Roman"/>
                <w:b/>
                <w:bCs/>
                <w:sz w:val="18"/>
                <w:szCs w:val="18"/>
              </w:rPr>
            </w:pPr>
            <w:r w:rsidRPr="008F6BC1">
              <w:rPr>
                <w:rFonts w:cs="Times New Roman"/>
                <w:b/>
                <w:bCs/>
                <w:sz w:val="18"/>
                <w:szCs w:val="18"/>
              </w:rPr>
              <w:t>Unit</w:t>
            </w:r>
          </w:p>
        </w:tc>
        <w:tc>
          <w:tcPr>
            <w:tcW w:w="1792" w:type="dxa"/>
            <w:noWrap/>
            <w:hideMark/>
          </w:tcPr>
          <w:p w14:paraId="1E17A03A" w14:textId="77777777" w:rsidR="008F6BC1" w:rsidRPr="008F6BC1" w:rsidRDefault="008F6BC1" w:rsidP="00E47AD4">
            <w:pPr>
              <w:rPr>
                <w:rFonts w:cs="Times New Roman"/>
                <w:b/>
                <w:bCs/>
                <w:sz w:val="18"/>
                <w:szCs w:val="18"/>
              </w:rPr>
            </w:pPr>
            <w:r w:rsidRPr="008F6BC1">
              <w:rPr>
                <w:rFonts w:cs="Times New Roman"/>
                <w:b/>
                <w:bCs/>
                <w:sz w:val="18"/>
                <w:szCs w:val="18"/>
              </w:rPr>
              <w:t>Baseline</w:t>
            </w:r>
          </w:p>
        </w:tc>
        <w:tc>
          <w:tcPr>
            <w:tcW w:w="1345" w:type="dxa"/>
            <w:hideMark/>
          </w:tcPr>
          <w:p w14:paraId="0B6A98DB" w14:textId="77777777" w:rsidR="008F6BC1" w:rsidRPr="008F6BC1" w:rsidRDefault="008F6BC1" w:rsidP="00E47AD4">
            <w:pPr>
              <w:rPr>
                <w:rFonts w:cs="Times New Roman"/>
                <w:b/>
                <w:bCs/>
                <w:sz w:val="18"/>
                <w:szCs w:val="18"/>
              </w:rPr>
            </w:pPr>
            <w:r w:rsidRPr="008F6BC1">
              <w:rPr>
                <w:rFonts w:cs="Times New Roman"/>
                <w:b/>
                <w:bCs/>
                <w:sz w:val="18"/>
                <w:szCs w:val="18"/>
              </w:rPr>
              <w:t>Target</w:t>
            </w:r>
          </w:p>
        </w:tc>
        <w:tc>
          <w:tcPr>
            <w:tcW w:w="1093" w:type="dxa"/>
            <w:noWrap/>
            <w:hideMark/>
          </w:tcPr>
          <w:p w14:paraId="1376BD7D" w14:textId="77777777" w:rsidR="008F6BC1" w:rsidRPr="008F6BC1" w:rsidRDefault="008F6BC1" w:rsidP="00E47AD4">
            <w:pPr>
              <w:rPr>
                <w:rFonts w:cs="Times New Roman"/>
                <w:b/>
                <w:bCs/>
                <w:sz w:val="18"/>
                <w:szCs w:val="18"/>
              </w:rPr>
            </w:pPr>
            <w:r w:rsidRPr="008F6BC1">
              <w:rPr>
                <w:rFonts w:cs="Times New Roman"/>
                <w:b/>
                <w:bCs/>
                <w:sz w:val="18"/>
                <w:szCs w:val="18"/>
              </w:rPr>
              <w:t xml:space="preserve">Actual </w:t>
            </w:r>
          </w:p>
        </w:tc>
        <w:tc>
          <w:tcPr>
            <w:tcW w:w="866" w:type="dxa"/>
            <w:hideMark/>
          </w:tcPr>
          <w:p w14:paraId="4D50132A" w14:textId="77777777" w:rsidR="008F6BC1" w:rsidRPr="008F6BC1" w:rsidRDefault="008F6BC1" w:rsidP="00E47AD4">
            <w:pPr>
              <w:rPr>
                <w:rFonts w:cs="Times New Roman"/>
                <w:b/>
                <w:bCs/>
                <w:sz w:val="18"/>
                <w:szCs w:val="18"/>
              </w:rPr>
            </w:pPr>
            <w:r w:rsidRPr="008F6BC1">
              <w:rPr>
                <w:rFonts w:cs="Times New Roman"/>
                <w:b/>
                <w:bCs/>
                <w:sz w:val="18"/>
                <w:szCs w:val="18"/>
              </w:rPr>
              <w:t>Date of data</w:t>
            </w:r>
          </w:p>
        </w:tc>
        <w:tc>
          <w:tcPr>
            <w:tcW w:w="2284" w:type="dxa"/>
            <w:hideMark/>
          </w:tcPr>
          <w:p w14:paraId="13FC194A" w14:textId="77777777" w:rsidR="008F6BC1" w:rsidRPr="008F6BC1" w:rsidRDefault="008F6BC1" w:rsidP="00E47AD4">
            <w:pPr>
              <w:rPr>
                <w:rFonts w:cs="Times New Roman"/>
                <w:b/>
                <w:bCs/>
                <w:sz w:val="18"/>
                <w:szCs w:val="18"/>
              </w:rPr>
            </w:pPr>
            <w:r w:rsidRPr="008F6BC1">
              <w:rPr>
                <w:rFonts w:cs="Times New Roman"/>
                <w:b/>
                <w:bCs/>
                <w:sz w:val="18"/>
                <w:szCs w:val="18"/>
              </w:rPr>
              <w:t xml:space="preserve">Comment </w:t>
            </w:r>
          </w:p>
        </w:tc>
      </w:tr>
      <w:tr w:rsidR="008F6BC1" w:rsidRPr="008F6BC1" w14:paraId="4FA80D0B" w14:textId="77777777" w:rsidTr="008F6BC1">
        <w:trPr>
          <w:trHeight w:val="480"/>
        </w:trPr>
        <w:tc>
          <w:tcPr>
            <w:tcW w:w="450" w:type="dxa"/>
            <w:noWrap/>
            <w:hideMark/>
          </w:tcPr>
          <w:p w14:paraId="6FB84E42" w14:textId="77777777" w:rsidR="008F6BC1" w:rsidRPr="008F6BC1" w:rsidRDefault="008F6BC1" w:rsidP="00E47AD4">
            <w:pPr>
              <w:rPr>
                <w:rFonts w:cs="Times New Roman"/>
                <w:sz w:val="18"/>
                <w:szCs w:val="18"/>
              </w:rPr>
            </w:pPr>
            <w:r w:rsidRPr="008F6BC1">
              <w:rPr>
                <w:rFonts w:cs="Times New Roman"/>
                <w:sz w:val="18"/>
                <w:szCs w:val="18"/>
              </w:rPr>
              <w:t>1</w:t>
            </w:r>
          </w:p>
        </w:tc>
        <w:tc>
          <w:tcPr>
            <w:tcW w:w="2250" w:type="dxa"/>
            <w:hideMark/>
          </w:tcPr>
          <w:p w14:paraId="0C9F23C7" w14:textId="77777777" w:rsidR="008F6BC1" w:rsidRPr="008F6BC1" w:rsidRDefault="008F6BC1" w:rsidP="00E47AD4">
            <w:pPr>
              <w:rPr>
                <w:rFonts w:cs="Times New Roman"/>
                <w:sz w:val="18"/>
                <w:szCs w:val="18"/>
              </w:rPr>
            </w:pPr>
            <w:r w:rsidRPr="008F6BC1">
              <w:rPr>
                <w:rFonts w:cs="Times New Roman"/>
                <w:sz w:val="18"/>
                <w:szCs w:val="18"/>
              </w:rPr>
              <w:t xml:space="preserve">Deviation between aggregate expenditure out turn and the original approved budget </w:t>
            </w:r>
          </w:p>
        </w:tc>
        <w:tc>
          <w:tcPr>
            <w:tcW w:w="1080" w:type="dxa"/>
            <w:hideMark/>
          </w:tcPr>
          <w:p w14:paraId="502C4F0D" w14:textId="77777777" w:rsidR="008F6BC1" w:rsidRPr="008F6BC1" w:rsidRDefault="008F6BC1" w:rsidP="00E47AD4">
            <w:pPr>
              <w:rPr>
                <w:rFonts w:cs="Times New Roman"/>
                <w:sz w:val="18"/>
                <w:szCs w:val="18"/>
              </w:rPr>
            </w:pPr>
            <w:r w:rsidRPr="008F6BC1">
              <w:rPr>
                <w:rFonts w:cs="Times New Roman"/>
                <w:sz w:val="18"/>
                <w:szCs w:val="18"/>
              </w:rPr>
              <w:t>Percentage</w:t>
            </w:r>
          </w:p>
        </w:tc>
        <w:tc>
          <w:tcPr>
            <w:tcW w:w="1792" w:type="dxa"/>
            <w:noWrap/>
            <w:hideMark/>
          </w:tcPr>
          <w:p w14:paraId="4EE183AF" w14:textId="77777777" w:rsidR="008F6BC1" w:rsidRPr="008F6BC1" w:rsidRDefault="008F6BC1" w:rsidP="00E47AD4">
            <w:pPr>
              <w:rPr>
                <w:rFonts w:cs="Times New Roman"/>
                <w:sz w:val="18"/>
                <w:szCs w:val="18"/>
              </w:rPr>
            </w:pPr>
            <w:r w:rsidRPr="008F6BC1">
              <w:rPr>
                <w:rFonts w:cs="Times New Roman"/>
                <w:sz w:val="18"/>
                <w:szCs w:val="18"/>
              </w:rPr>
              <w:t>18.74</w:t>
            </w:r>
          </w:p>
        </w:tc>
        <w:tc>
          <w:tcPr>
            <w:tcW w:w="1345" w:type="dxa"/>
            <w:noWrap/>
            <w:hideMark/>
          </w:tcPr>
          <w:p w14:paraId="3C85A1DF" w14:textId="77777777" w:rsidR="008F6BC1" w:rsidRPr="008F6BC1" w:rsidRDefault="008F6BC1" w:rsidP="00E47AD4">
            <w:pPr>
              <w:rPr>
                <w:rFonts w:cs="Times New Roman"/>
                <w:sz w:val="18"/>
                <w:szCs w:val="18"/>
              </w:rPr>
            </w:pPr>
            <w:r w:rsidRPr="008F6BC1">
              <w:rPr>
                <w:rFonts w:cs="Times New Roman"/>
                <w:sz w:val="18"/>
                <w:szCs w:val="18"/>
              </w:rPr>
              <w:t>5</w:t>
            </w:r>
          </w:p>
        </w:tc>
        <w:tc>
          <w:tcPr>
            <w:tcW w:w="1093" w:type="dxa"/>
            <w:hideMark/>
          </w:tcPr>
          <w:p w14:paraId="6D9FC4EC" w14:textId="77777777" w:rsidR="008F6BC1" w:rsidRPr="008F6BC1" w:rsidRDefault="008F6BC1" w:rsidP="00E47AD4">
            <w:pPr>
              <w:rPr>
                <w:rFonts w:cs="Times New Roman"/>
                <w:sz w:val="18"/>
                <w:szCs w:val="18"/>
              </w:rPr>
            </w:pPr>
            <w:r w:rsidRPr="008F6BC1">
              <w:rPr>
                <w:rFonts w:cs="Times New Roman"/>
                <w:sz w:val="18"/>
                <w:szCs w:val="18"/>
              </w:rPr>
              <w:t>6.4</w:t>
            </w:r>
          </w:p>
        </w:tc>
        <w:tc>
          <w:tcPr>
            <w:tcW w:w="866" w:type="dxa"/>
            <w:hideMark/>
          </w:tcPr>
          <w:p w14:paraId="25527491" w14:textId="77777777" w:rsidR="008F6BC1" w:rsidRPr="008F6BC1" w:rsidRDefault="008F6BC1" w:rsidP="00E47AD4">
            <w:pPr>
              <w:rPr>
                <w:rFonts w:cs="Times New Roman"/>
                <w:sz w:val="18"/>
                <w:szCs w:val="18"/>
              </w:rPr>
            </w:pPr>
            <w:r w:rsidRPr="008F6BC1">
              <w:rPr>
                <w:rFonts w:cs="Times New Roman"/>
                <w:sz w:val="18"/>
                <w:szCs w:val="18"/>
              </w:rPr>
              <w:t>31-Dec-18</w:t>
            </w:r>
          </w:p>
        </w:tc>
        <w:tc>
          <w:tcPr>
            <w:tcW w:w="2284" w:type="dxa"/>
            <w:noWrap/>
            <w:hideMark/>
          </w:tcPr>
          <w:p w14:paraId="674EA8A1"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68EC8FAC" w14:textId="77777777" w:rsidTr="008F6BC1">
        <w:trPr>
          <w:trHeight w:val="2880"/>
        </w:trPr>
        <w:tc>
          <w:tcPr>
            <w:tcW w:w="450" w:type="dxa"/>
            <w:noWrap/>
            <w:hideMark/>
          </w:tcPr>
          <w:p w14:paraId="7D092FB1" w14:textId="77777777" w:rsidR="008F6BC1" w:rsidRPr="008F6BC1" w:rsidRDefault="008F6BC1" w:rsidP="00E47AD4">
            <w:pPr>
              <w:rPr>
                <w:rFonts w:cs="Times New Roman"/>
                <w:sz w:val="18"/>
                <w:szCs w:val="18"/>
              </w:rPr>
            </w:pPr>
            <w:r w:rsidRPr="008F6BC1">
              <w:rPr>
                <w:rFonts w:cs="Times New Roman"/>
                <w:sz w:val="18"/>
                <w:szCs w:val="18"/>
              </w:rPr>
              <w:t>2</w:t>
            </w:r>
          </w:p>
        </w:tc>
        <w:tc>
          <w:tcPr>
            <w:tcW w:w="2250" w:type="dxa"/>
            <w:hideMark/>
          </w:tcPr>
          <w:p w14:paraId="64778B31" w14:textId="77777777" w:rsidR="008F6BC1" w:rsidRPr="008F6BC1" w:rsidRDefault="008F6BC1" w:rsidP="00E47AD4">
            <w:pPr>
              <w:rPr>
                <w:rFonts w:cs="Times New Roman"/>
                <w:sz w:val="18"/>
                <w:szCs w:val="18"/>
              </w:rPr>
            </w:pPr>
            <w:r w:rsidRPr="008F6BC1">
              <w:rPr>
                <w:rFonts w:cs="Times New Roman"/>
                <w:sz w:val="18"/>
                <w:szCs w:val="18"/>
              </w:rPr>
              <w:t xml:space="preserve">Public Access to Key Fiscal Information </w:t>
            </w:r>
          </w:p>
        </w:tc>
        <w:tc>
          <w:tcPr>
            <w:tcW w:w="1080" w:type="dxa"/>
            <w:hideMark/>
          </w:tcPr>
          <w:p w14:paraId="5923B43C"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49C64F0B" w14:textId="77777777" w:rsidR="008F6BC1" w:rsidRPr="008F6BC1" w:rsidRDefault="008F6BC1" w:rsidP="00E47AD4">
            <w:pPr>
              <w:rPr>
                <w:rFonts w:cs="Times New Roman"/>
                <w:sz w:val="18"/>
                <w:szCs w:val="18"/>
              </w:rPr>
            </w:pPr>
            <w:r w:rsidRPr="008F6BC1">
              <w:rPr>
                <w:rFonts w:cs="Times New Roman"/>
                <w:sz w:val="18"/>
                <w:szCs w:val="18"/>
              </w:rPr>
              <w:t xml:space="preserve">Documents not made available to the public: </w:t>
            </w:r>
            <w:r w:rsidRPr="008F6BC1">
              <w:rPr>
                <w:rFonts w:cs="Times New Roman"/>
                <w:sz w:val="18"/>
                <w:szCs w:val="18"/>
              </w:rPr>
              <w:br/>
              <w:t xml:space="preserve">(1) Year-end state financial statements of the Republic of Maldives; (2) In-year budget execution reports; </w:t>
            </w:r>
            <w:r w:rsidRPr="008F6BC1">
              <w:rPr>
                <w:rFonts w:cs="Times New Roman"/>
                <w:sz w:val="18"/>
                <w:szCs w:val="18"/>
              </w:rPr>
              <w:br/>
              <w:t>(3) Contracts awarded.</w:t>
            </w:r>
            <w:r w:rsidRPr="008F6BC1">
              <w:rPr>
                <w:rFonts w:cs="Times New Roman"/>
                <w:sz w:val="18"/>
                <w:szCs w:val="18"/>
              </w:rPr>
              <w:br/>
            </w:r>
            <w:r w:rsidRPr="008F6BC1">
              <w:rPr>
                <w:rFonts w:cs="Times New Roman"/>
                <w:sz w:val="18"/>
                <w:szCs w:val="18"/>
              </w:rPr>
              <w:br/>
              <w:t>Budget documents and resources available to primary service units are available in public domain.</w:t>
            </w:r>
          </w:p>
        </w:tc>
        <w:tc>
          <w:tcPr>
            <w:tcW w:w="1345" w:type="dxa"/>
            <w:hideMark/>
          </w:tcPr>
          <w:p w14:paraId="57D32C64" w14:textId="77777777" w:rsidR="008F6BC1" w:rsidRPr="008F6BC1" w:rsidRDefault="008F6BC1" w:rsidP="00E47AD4">
            <w:pPr>
              <w:rPr>
                <w:rFonts w:cs="Times New Roman"/>
                <w:sz w:val="18"/>
                <w:szCs w:val="18"/>
              </w:rPr>
            </w:pPr>
            <w:r w:rsidRPr="008F6BC1">
              <w:rPr>
                <w:rFonts w:cs="Times New Roman"/>
                <w:sz w:val="18"/>
                <w:szCs w:val="18"/>
              </w:rPr>
              <w:t>Public disclosure of the following key fiscal information: (a) Annual budget documentation, (b) In-year budget execution reports, (c) Year-end financial statements, (d) tenders above USD 100 000.</w:t>
            </w:r>
          </w:p>
        </w:tc>
        <w:tc>
          <w:tcPr>
            <w:tcW w:w="1093" w:type="dxa"/>
            <w:hideMark/>
          </w:tcPr>
          <w:p w14:paraId="5B5AD889" w14:textId="77777777" w:rsidR="008F6BC1" w:rsidRPr="008F6BC1" w:rsidRDefault="008F6BC1" w:rsidP="00E47AD4">
            <w:pPr>
              <w:rPr>
                <w:rFonts w:cs="Times New Roman"/>
                <w:sz w:val="18"/>
                <w:szCs w:val="18"/>
              </w:rPr>
            </w:pPr>
            <w:r w:rsidRPr="008F6BC1">
              <w:rPr>
                <w:rFonts w:cs="Times New Roman"/>
                <w:sz w:val="18"/>
                <w:szCs w:val="18"/>
              </w:rPr>
              <w:t>a; b; c; Tenders above USD 100,000 are disclosed.</w:t>
            </w:r>
          </w:p>
        </w:tc>
        <w:tc>
          <w:tcPr>
            <w:tcW w:w="866" w:type="dxa"/>
            <w:hideMark/>
          </w:tcPr>
          <w:p w14:paraId="4731E24D"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hideMark/>
          </w:tcPr>
          <w:p w14:paraId="5FC37857" w14:textId="77777777" w:rsidR="008F6BC1" w:rsidRPr="008F6BC1" w:rsidRDefault="008F6BC1" w:rsidP="00E47AD4">
            <w:pPr>
              <w:rPr>
                <w:rFonts w:cs="Times New Roman"/>
                <w:sz w:val="18"/>
                <w:szCs w:val="18"/>
              </w:rPr>
            </w:pPr>
            <w:r w:rsidRPr="008F6BC1">
              <w:rPr>
                <w:rFonts w:cs="Times New Roman"/>
                <w:sz w:val="18"/>
                <w:szCs w:val="18"/>
              </w:rPr>
              <w:t xml:space="preserve">For b and c: propose to add a column on commitments and virements. For c: all tenders above USD 2200 </w:t>
            </w:r>
            <w:proofErr w:type="gramStart"/>
            <w:r w:rsidRPr="008F6BC1">
              <w:rPr>
                <w:rFonts w:cs="Times New Roman"/>
                <w:sz w:val="18"/>
                <w:szCs w:val="18"/>
              </w:rPr>
              <w:t>have to</w:t>
            </w:r>
            <w:proofErr w:type="gramEnd"/>
            <w:r w:rsidRPr="008F6BC1">
              <w:rPr>
                <w:rFonts w:cs="Times New Roman"/>
                <w:sz w:val="18"/>
                <w:szCs w:val="18"/>
              </w:rPr>
              <w:t xml:space="preserve"> be </w:t>
            </w:r>
            <w:proofErr w:type="spellStart"/>
            <w:r w:rsidRPr="008F6BC1">
              <w:rPr>
                <w:rFonts w:cs="Times New Roman"/>
                <w:sz w:val="18"/>
                <w:szCs w:val="18"/>
              </w:rPr>
              <w:t>advertized</w:t>
            </w:r>
            <w:proofErr w:type="spellEnd"/>
            <w:r w:rsidRPr="008F6BC1">
              <w:rPr>
                <w:rFonts w:cs="Times New Roman"/>
                <w:sz w:val="18"/>
                <w:szCs w:val="18"/>
              </w:rPr>
              <w:t xml:space="preserve"> on the gazette portal per Public Finance Regulations (PFR), chapter 10: this is done. If there have been qualifications by the AG? We have confirmation, that contracts above USD 160,000 have been centralized</w:t>
            </w:r>
          </w:p>
        </w:tc>
      </w:tr>
      <w:tr w:rsidR="008F6BC1" w:rsidRPr="008F6BC1" w14:paraId="7AE67983" w14:textId="77777777" w:rsidTr="008F6BC1">
        <w:trPr>
          <w:trHeight w:val="240"/>
        </w:trPr>
        <w:tc>
          <w:tcPr>
            <w:tcW w:w="450" w:type="dxa"/>
            <w:noWrap/>
            <w:hideMark/>
          </w:tcPr>
          <w:p w14:paraId="5650B32B" w14:textId="77777777" w:rsidR="008F6BC1" w:rsidRPr="008F6BC1" w:rsidRDefault="008F6BC1" w:rsidP="00E47AD4">
            <w:pPr>
              <w:rPr>
                <w:rFonts w:cs="Times New Roman"/>
                <w:sz w:val="18"/>
                <w:szCs w:val="18"/>
              </w:rPr>
            </w:pPr>
            <w:r w:rsidRPr="008F6BC1">
              <w:rPr>
                <w:rFonts w:cs="Times New Roman"/>
                <w:sz w:val="18"/>
                <w:szCs w:val="18"/>
              </w:rPr>
              <w:t> </w:t>
            </w:r>
          </w:p>
        </w:tc>
        <w:tc>
          <w:tcPr>
            <w:tcW w:w="2250" w:type="dxa"/>
            <w:hideMark/>
          </w:tcPr>
          <w:p w14:paraId="70F651DC" w14:textId="77777777" w:rsidR="008F6BC1" w:rsidRPr="008F6BC1" w:rsidRDefault="008F6BC1" w:rsidP="00E47AD4">
            <w:pPr>
              <w:rPr>
                <w:rFonts w:cs="Times New Roman"/>
                <w:sz w:val="18"/>
                <w:szCs w:val="18"/>
              </w:rPr>
            </w:pPr>
            <w:r w:rsidRPr="008F6BC1">
              <w:rPr>
                <w:rFonts w:cs="Times New Roman"/>
                <w:sz w:val="18"/>
                <w:szCs w:val="18"/>
              </w:rPr>
              <w:t> </w:t>
            </w:r>
          </w:p>
        </w:tc>
        <w:tc>
          <w:tcPr>
            <w:tcW w:w="1080" w:type="dxa"/>
            <w:hideMark/>
          </w:tcPr>
          <w:p w14:paraId="34AF4B93" w14:textId="77777777" w:rsidR="008F6BC1" w:rsidRPr="008F6BC1" w:rsidRDefault="008F6BC1" w:rsidP="00E47AD4">
            <w:pPr>
              <w:rPr>
                <w:rFonts w:cs="Times New Roman"/>
                <w:sz w:val="18"/>
                <w:szCs w:val="18"/>
              </w:rPr>
            </w:pPr>
            <w:r w:rsidRPr="008F6BC1">
              <w:rPr>
                <w:rFonts w:cs="Times New Roman"/>
                <w:sz w:val="18"/>
                <w:szCs w:val="18"/>
              </w:rPr>
              <w:t> </w:t>
            </w:r>
          </w:p>
        </w:tc>
        <w:tc>
          <w:tcPr>
            <w:tcW w:w="1792" w:type="dxa"/>
            <w:hideMark/>
          </w:tcPr>
          <w:p w14:paraId="43F31A8C" w14:textId="77777777" w:rsidR="008F6BC1" w:rsidRPr="008F6BC1" w:rsidRDefault="008F6BC1" w:rsidP="00E47AD4">
            <w:pPr>
              <w:rPr>
                <w:rFonts w:cs="Times New Roman"/>
                <w:sz w:val="18"/>
                <w:szCs w:val="18"/>
              </w:rPr>
            </w:pPr>
            <w:r w:rsidRPr="008F6BC1">
              <w:rPr>
                <w:rFonts w:cs="Times New Roman"/>
                <w:sz w:val="18"/>
                <w:szCs w:val="18"/>
              </w:rPr>
              <w:t> </w:t>
            </w:r>
          </w:p>
        </w:tc>
        <w:tc>
          <w:tcPr>
            <w:tcW w:w="1345" w:type="dxa"/>
            <w:hideMark/>
          </w:tcPr>
          <w:p w14:paraId="604E4606" w14:textId="77777777" w:rsidR="008F6BC1" w:rsidRPr="008F6BC1" w:rsidRDefault="008F6BC1" w:rsidP="00E47AD4">
            <w:pPr>
              <w:rPr>
                <w:rFonts w:cs="Times New Roman"/>
                <w:sz w:val="18"/>
                <w:szCs w:val="18"/>
              </w:rPr>
            </w:pPr>
            <w:r w:rsidRPr="008F6BC1">
              <w:rPr>
                <w:rFonts w:cs="Times New Roman"/>
                <w:sz w:val="18"/>
                <w:szCs w:val="18"/>
              </w:rPr>
              <w:t> </w:t>
            </w:r>
          </w:p>
        </w:tc>
        <w:tc>
          <w:tcPr>
            <w:tcW w:w="1093" w:type="dxa"/>
            <w:hideMark/>
          </w:tcPr>
          <w:p w14:paraId="35E133DD" w14:textId="77777777" w:rsidR="008F6BC1" w:rsidRPr="008F6BC1" w:rsidRDefault="008F6BC1" w:rsidP="00E47AD4">
            <w:pPr>
              <w:rPr>
                <w:rFonts w:cs="Times New Roman"/>
                <w:sz w:val="18"/>
                <w:szCs w:val="18"/>
              </w:rPr>
            </w:pPr>
            <w:r w:rsidRPr="008F6BC1">
              <w:rPr>
                <w:rFonts w:cs="Times New Roman"/>
                <w:sz w:val="18"/>
                <w:szCs w:val="18"/>
              </w:rPr>
              <w:t> </w:t>
            </w:r>
          </w:p>
        </w:tc>
        <w:tc>
          <w:tcPr>
            <w:tcW w:w="866" w:type="dxa"/>
            <w:hideMark/>
          </w:tcPr>
          <w:p w14:paraId="1B8F7D67"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hideMark/>
          </w:tcPr>
          <w:p w14:paraId="6ACAA345"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6CEBBD59" w14:textId="77777777" w:rsidTr="008F6BC1">
        <w:trPr>
          <w:trHeight w:val="2160"/>
        </w:trPr>
        <w:tc>
          <w:tcPr>
            <w:tcW w:w="450" w:type="dxa"/>
            <w:noWrap/>
            <w:hideMark/>
          </w:tcPr>
          <w:p w14:paraId="76D082B5" w14:textId="77777777" w:rsidR="008F6BC1" w:rsidRPr="008F6BC1" w:rsidRDefault="008F6BC1" w:rsidP="00E47AD4">
            <w:pPr>
              <w:rPr>
                <w:rFonts w:cs="Times New Roman"/>
                <w:sz w:val="18"/>
                <w:szCs w:val="18"/>
              </w:rPr>
            </w:pPr>
            <w:r w:rsidRPr="008F6BC1">
              <w:rPr>
                <w:rFonts w:cs="Times New Roman"/>
                <w:sz w:val="18"/>
                <w:szCs w:val="18"/>
              </w:rPr>
              <w:t>3</w:t>
            </w:r>
          </w:p>
        </w:tc>
        <w:tc>
          <w:tcPr>
            <w:tcW w:w="2250" w:type="dxa"/>
            <w:hideMark/>
          </w:tcPr>
          <w:p w14:paraId="38335E27" w14:textId="77777777" w:rsidR="008F6BC1" w:rsidRPr="008F6BC1" w:rsidRDefault="008F6BC1" w:rsidP="00E47AD4">
            <w:pPr>
              <w:rPr>
                <w:rFonts w:cs="Times New Roman"/>
                <w:sz w:val="18"/>
                <w:szCs w:val="18"/>
              </w:rPr>
            </w:pPr>
            <w:r w:rsidRPr="008F6BC1">
              <w:rPr>
                <w:rFonts w:cs="Times New Roman"/>
                <w:sz w:val="18"/>
                <w:szCs w:val="18"/>
              </w:rPr>
              <w:t xml:space="preserve">Comprehensiveness of debt data recording and reporting </w:t>
            </w:r>
          </w:p>
        </w:tc>
        <w:tc>
          <w:tcPr>
            <w:tcW w:w="1080" w:type="dxa"/>
            <w:hideMark/>
          </w:tcPr>
          <w:p w14:paraId="25AFD683"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65C518FC" w14:textId="77777777" w:rsidR="008F6BC1" w:rsidRPr="008F6BC1" w:rsidRDefault="008F6BC1" w:rsidP="00E47AD4">
            <w:pPr>
              <w:rPr>
                <w:rFonts w:cs="Times New Roman"/>
                <w:sz w:val="18"/>
                <w:szCs w:val="18"/>
              </w:rPr>
            </w:pPr>
            <w:r w:rsidRPr="008F6BC1">
              <w:rPr>
                <w:rFonts w:cs="Times New Roman"/>
                <w:sz w:val="18"/>
                <w:szCs w:val="18"/>
              </w:rPr>
              <w:t>Annual statement of debt covering domestic and external debt is prepared, but there are gaps and reconciliation problems.</w:t>
            </w:r>
          </w:p>
        </w:tc>
        <w:tc>
          <w:tcPr>
            <w:tcW w:w="1345" w:type="dxa"/>
            <w:hideMark/>
          </w:tcPr>
          <w:p w14:paraId="555C5AA1" w14:textId="77777777" w:rsidR="008F6BC1" w:rsidRPr="008F6BC1" w:rsidRDefault="008F6BC1" w:rsidP="00E47AD4">
            <w:pPr>
              <w:rPr>
                <w:rFonts w:cs="Times New Roman"/>
                <w:sz w:val="18"/>
                <w:szCs w:val="18"/>
              </w:rPr>
            </w:pPr>
            <w:r w:rsidRPr="008F6BC1">
              <w:rPr>
                <w:rFonts w:cs="Times New Roman"/>
                <w:sz w:val="18"/>
                <w:szCs w:val="18"/>
              </w:rPr>
              <w:t>Domestic and foreign debt records are complete, includes payable amount updated and reconciled quarterly. Comprehensive management and statistical reports (covering debt service, stock and operations) are produced at least annually.</w:t>
            </w:r>
          </w:p>
        </w:tc>
        <w:tc>
          <w:tcPr>
            <w:tcW w:w="1093" w:type="dxa"/>
            <w:hideMark/>
          </w:tcPr>
          <w:p w14:paraId="530DBF95" w14:textId="77777777" w:rsidR="008F6BC1" w:rsidRPr="008F6BC1" w:rsidRDefault="008F6BC1" w:rsidP="00E47AD4">
            <w:pPr>
              <w:rPr>
                <w:rFonts w:cs="Times New Roman"/>
                <w:sz w:val="18"/>
                <w:szCs w:val="18"/>
              </w:rPr>
            </w:pPr>
            <w:r w:rsidRPr="008F6BC1">
              <w:rPr>
                <w:rFonts w:cs="Times New Roman"/>
                <w:sz w:val="18"/>
                <w:szCs w:val="18"/>
              </w:rPr>
              <w:t xml:space="preserve">Achieved. Same as ISR. BERs with commitment information, the AFS with payables as well as a regular system generated reports on payables are </w:t>
            </w:r>
            <w:proofErr w:type="gramStart"/>
            <w:r w:rsidRPr="008F6BC1">
              <w:rPr>
                <w:rFonts w:cs="Times New Roman"/>
                <w:sz w:val="18"/>
                <w:szCs w:val="18"/>
              </w:rPr>
              <w:t>sufficient</w:t>
            </w:r>
            <w:proofErr w:type="gramEnd"/>
            <w:r w:rsidRPr="008F6BC1">
              <w:rPr>
                <w:rFonts w:cs="Times New Roman"/>
                <w:sz w:val="18"/>
                <w:szCs w:val="18"/>
              </w:rPr>
              <w:t xml:space="preserve"> to meet the requirement of recording payables. Commonwealth Secretariat Debt </w:t>
            </w:r>
          </w:p>
        </w:tc>
        <w:tc>
          <w:tcPr>
            <w:tcW w:w="866" w:type="dxa"/>
            <w:hideMark/>
          </w:tcPr>
          <w:p w14:paraId="517BA2F3"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hideMark/>
          </w:tcPr>
          <w:p w14:paraId="0F272CBB" w14:textId="77777777" w:rsidR="008F6BC1" w:rsidRPr="008F6BC1" w:rsidRDefault="008F6BC1" w:rsidP="00E47AD4">
            <w:pPr>
              <w:rPr>
                <w:rFonts w:cs="Times New Roman"/>
                <w:sz w:val="18"/>
                <w:szCs w:val="18"/>
              </w:rPr>
            </w:pPr>
            <w:r w:rsidRPr="008F6BC1">
              <w:rPr>
                <w:rFonts w:cs="Times New Roman"/>
                <w:sz w:val="18"/>
                <w:szCs w:val="18"/>
              </w:rPr>
              <w:t>publishing quarterly number on the website. IMF mission to start reporting as per IMF standards. Recording of domestic side:</w:t>
            </w:r>
          </w:p>
        </w:tc>
      </w:tr>
      <w:tr w:rsidR="008F6BC1" w:rsidRPr="008F6BC1" w14:paraId="7C9F4884" w14:textId="77777777" w:rsidTr="008F6BC1">
        <w:trPr>
          <w:trHeight w:val="960"/>
        </w:trPr>
        <w:tc>
          <w:tcPr>
            <w:tcW w:w="450" w:type="dxa"/>
            <w:noWrap/>
            <w:hideMark/>
          </w:tcPr>
          <w:p w14:paraId="2ACC011C" w14:textId="77777777" w:rsidR="008F6BC1" w:rsidRPr="008F6BC1" w:rsidRDefault="008F6BC1" w:rsidP="00E47AD4">
            <w:pPr>
              <w:rPr>
                <w:rFonts w:cs="Times New Roman"/>
                <w:sz w:val="18"/>
                <w:szCs w:val="18"/>
              </w:rPr>
            </w:pPr>
            <w:r w:rsidRPr="008F6BC1">
              <w:rPr>
                <w:rFonts w:cs="Times New Roman"/>
                <w:sz w:val="18"/>
                <w:szCs w:val="18"/>
              </w:rPr>
              <w:t>4</w:t>
            </w:r>
          </w:p>
        </w:tc>
        <w:tc>
          <w:tcPr>
            <w:tcW w:w="2250" w:type="dxa"/>
            <w:hideMark/>
          </w:tcPr>
          <w:p w14:paraId="6F5359B9" w14:textId="77777777" w:rsidR="008F6BC1" w:rsidRPr="008F6BC1" w:rsidRDefault="008F6BC1" w:rsidP="00E47AD4">
            <w:pPr>
              <w:rPr>
                <w:rFonts w:cs="Times New Roman"/>
                <w:sz w:val="18"/>
                <w:szCs w:val="18"/>
              </w:rPr>
            </w:pPr>
            <w:r w:rsidRPr="008F6BC1">
              <w:rPr>
                <w:rFonts w:cs="Times New Roman"/>
                <w:sz w:val="18"/>
                <w:szCs w:val="18"/>
              </w:rPr>
              <w:t xml:space="preserve">SOE financial reporting and disclosure </w:t>
            </w:r>
          </w:p>
        </w:tc>
        <w:tc>
          <w:tcPr>
            <w:tcW w:w="1080" w:type="dxa"/>
            <w:hideMark/>
          </w:tcPr>
          <w:p w14:paraId="6BA60424" w14:textId="77777777" w:rsidR="008F6BC1" w:rsidRPr="008F6BC1" w:rsidRDefault="008F6BC1" w:rsidP="00E47AD4">
            <w:pPr>
              <w:rPr>
                <w:rFonts w:cs="Times New Roman"/>
                <w:sz w:val="18"/>
                <w:szCs w:val="18"/>
              </w:rPr>
            </w:pPr>
            <w:r w:rsidRPr="008F6BC1">
              <w:rPr>
                <w:rFonts w:cs="Times New Roman"/>
                <w:sz w:val="18"/>
                <w:szCs w:val="18"/>
              </w:rPr>
              <w:t>Percentage</w:t>
            </w:r>
          </w:p>
        </w:tc>
        <w:tc>
          <w:tcPr>
            <w:tcW w:w="1792" w:type="dxa"/>
            <w:hideMark/>
          </w:tcPr>
          <w:p w14:paraId="5AF9D5AF" w14:textId="77777777" w:rsidR="008F6BC1" w:rsidRPr="008F6BC1" w:rsidRDefault="008F6BC1" w:rsidP="00E47AD4">
            <w:pPr>
              <w:rPr>
                <w:rFonts w:cs="Times New Roman"/>
                <w:sz w:val="18"/>
                <w:szCs w:val="18"/>
              </w:rPr>
            </w:pPr>
            <w:r w:rsidRPr="008F6BC1">
              <w:rPr>
                <w:rFonts w:cs="Times New Roman"/>
                <w:sz w:val="18"/>
                <w:szCs w:val="18"/>
              </w:rPr>
              <w:t>50</w:t>
            </w:r>
          </w:p>
        </w:tc>
        <w:tc>
          <w:tcPr>
            <w:tcW w:w="1345" w:type="dxa"/>
            <w:hideMark/>
          </w:tcPr>
          <w:p w14:paraId="3D87771C" w14:textId="77777777" w:rsidR="008F6BC1" w:rsidRPr="008F6BC1" w:rsidRDefault="008F6BC1" w:rsidP="00E47AD4">
            <w:pPr>
              <w:rPr>
                <w:rFonts w:cs="Times New Roman"/>
                <w:sz w:val="18"/>
                <w:szCs w:val="18"/>
              </w:rPr>
            </w:pPr>
            <w:r w:rsidRPr="008F6BC1">
              <w:rPr>
                <w:rFonts w:cs="Times New Roman"/>
                <w:sz w:val="18"/>
                <w:szCs w:val="18"/>
              </w:rPr>
              <w:t>100</w:t>
            </w:r>
          </w:p>
        </w:tc>
        <w:tc>
          <w:tcPr>
            <w:tcW w:w="1093" w:type="dxa"/>
            <w:hideMark/>
          </w:tcPr>
          <w:p w14:paraId="10F15387" w14:textId="77777777" w:rsidR="008F6BC1" w:rsidRPr="008F6BC1" w:rsidRDefault="008F6BC1" w:rsidP="00E47AD4">
            <w:pPr>
              <w:rPr>
                <w:rFonts w:cs="Times New Roman"/>
                <w:sz w:val="18"/>
                <w:szCs w:val="18"/>
              </w:rPr>
            </w:pPr>
            <w:r w:rsidRPr="008F6BC1">
              <w:rPr>
                <w:rFonts w:cs="Times New Roman"/>
                <w:sz w:val="18"/>
                <w:szCs w:val="18"/>
              </w:rPr>
              <w:t>100</w:t>
            </w:r>
          </w:p>
        </w:tc>
        <w:tc>
          <w:tcPr>
            <w:tcW w:w="866" w:type="dxa"/>
            <w:hideMark/>
          </w:tcPr>
          <w:p w14:paraId="151E1A2B"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hideMark/>
          </w:tcPr>
          <w:p w14:paraId="3EDE98F8" w14:textId="77777777" w:rsidR="008F6BC1" w:rsidRPr="008F6BC1" w:rsidRDefault="008F6BC1" w:rsidP="00E47AD4">
            <w:pPr>
              <w:rPr>
                <w:rFonts w:cs="Times New Roman"/>
                <w:sz w:val="18"/>
                <w:szCs w:val="18"/>
              </w:rPr>
            </w:pPr>
            <w:r w:rsidRPr="008F6BC1">
              <w:rPr>
                <w:rFonts w:cs="Times New Roman"/>
                <w:sz w:val="18"/>
                <w:szCs w:val="18"/>
              </w:rPr>
              <w:t>Currently published on the MoF website but a detailed and interactive portal (SOE Gateway) is being developed;</w:t>
            </w:r>
          </w:p>
        </w:tc>
      </w:tr>
      <w:tr w:rsidR="008F6BC1" w:rsidRPr="008F6BC1" w14:paraId="453563B5" w14:textId="77777777" w:rsidTr="008F6BC1">
        <w:trPr>
          <w:trHeight w:val="240"/>
        </w:trPr>
        <w:tc>
          <w:tcPr>
            <w:tcW w:w="450" w:type="dxa"/>
            <w:hideMark/>
          </w:tcPr>
          <w:p w14:paraId="05ADFBC6" w14:textId="77777777" w:rsidR="008F6BC1" w:rsidRPr="008F6BC1" w:rsidRDefault="008F6BC1" w:rsidP="00E47AD4">
            <w:pPr>
              <w:rPr>
                <w:rFonts w:cs="Times New Roman"/>
                <w:sz w:val="18"/>
                <w:szCs w:val="18"/>
              </w:rPr>
            </w:pPr>
            <w:r w:rsidRPr="008F6BC1">
              <w:rPr>
                <w:rFonts w:cs="Times New Roman"/>
                <w:sz w:val="18"/>
                <w:szCs w:val="18"/>
              </w:rPr>
              <w:t> </w:t>
            </w:r>
          </w:p>
        </w:tc>
        <w:tc>
          <w:tcPr>
            <w:tcW w:w="2250" w:type="dxa"/>
            <w:hideMark/>
          </w:tcPr>
          <w:p w14:paraId="7EA08C4E" w14:textId="77777777" w:rsidR="008F6BC1" w:rsidRPr="008F6BC1" w:rsidRDefault="008F6BC1" w:rsidP="00E47AD4">
            <w:pPr>
              <w:rPr>
                <w:rFonts w:cs="Times New Roman"/>
                <w:b/>
                <w:bCs/>
                <w:sz w:val="18"/>
                <w:szCs w:val="18"/>
              </w:rPr>
            </w:pPr>
            <w:r w:rsidRPr="008F6BC1">
              <w:rPr>
                <w:rFonts w:cs="Times New Roman"/>
                <w:b/>
                <w:bCs/>
                <w:sz w:val="18"/>
                <w:szCs w:val="18"/>
              </w:rPr>
              <w:t xml:space="preserve">Intermediate Indicator </w:t>
            </w:r>
          </w:p>
        </w:tc>
        <w:tc>
          <w:tcPr>
            <w:tcW w:w="1080" w:type="dxa"/>
            <w:hideMark/>
          </w:tcPr>
          <w:p w14:paraId="70338112" w14:textId="77777777" w:rsidR="008F6BC1" w:rsidRPr="008F6BC1" w:rsidRDefault="008F6BC1" w:rsidP="00E47AD4">
            <w:pPr>
              <w:rPr>
                <w:rFonts w:cs="Times New Roman"/>
                <w:sz w:val="18"/>
                <w:szCs w:val="18"/>
              </w:rPr>
            </w:pPr>
            <w:r w:rsidRPr="008F6BC1">
              <w:rPr>
                <w:rFonts w:cs="Times New Roman"/>
                <w:sz w:val="18"/>
                <w:szCs w:val="18"/>
              </w:rPr>
              <w:t> </w:t>
            </w:r>
          </w:p>
        </w:tc>
        <w:tc>
          <w:tcPr>
            <w:tcW w:w="1792" w:type="dxa"/>
            <w:hideMark/>
          </w:tcPr>
          <w:p w14:paraId="02EB8FBF" w14:textId="77777777" w:rsidR="008F6BC1" w:rsidRPr="008F6BC1" w:rsidRDefault="008F6BC1" w:rsidP="00E47AD4">
            <w:pPr>
              <w:rPr>
                <w:rFonts w:cs="Times New Roman"/>
                <w:sz w:val="18"/>
                <w:szCs w:val="18"/>
              </w:rPr>
            </w:pPr>
            <w:r w:rsidRPr="008F6BC1">
              <w:rPr>
                <w:rFonts w:cs="Times New Roman"/>
                <w:sz w:val="18"/>
                <w:szCs w:val="18"/>
              </w:rPr>
              <w:t> </w:t>
            </w:r>
          </w:p>
        </w:tc>
        <w:tc>
          <w:tcPr>
            <w:tcW w:w="1345" w:type="dxa"/>
            <w:hideMark/>
          </w:tcPr>
          <w:p w14:paraId="21F63DC6" w14:textId="77777777" w:rsidR="008F6BC1" w:rsidRPr="008F6BC1" w:rsidRDefault="008F6BC1" w:rsidP="00E47AD4">
            <w:pPr>
              <w:rPr>
                <w:rFonts w:cs="Times New Roman"/>
                <w:sz w:val="18"/>
                <w:szCs w:val="18"/>
              </w:rPr>
            </w:pPr>
            <w:r w:rsidRPr="008F6BC1">
              <w:rPr>
                <w:rFonts w:cs="Times New Roman"/>
                <w:sz w:val="18"/>
                <w:szCs w:val="18"/>
              </w:rPr>
              <w:t> </w:t>
            </w:r>
          </w:p>
        </w:tc>
        <w:tc>
          <w:tcPr>
            <w:tcW w:w="1093" w:type="dxa"/>
            <w:hideMark/>
          </w:tcPr>
          <w:p w14:paraId="7EAC8EEC" w14:textId="77777777" w:rsidR="008F6BC1" w:rsidRPr="008F6BC1" w:rsidRDefault="008F6BC1" w:rsidP="00E47AD4">
            <w:pPr>
              <w:rPr>
                <w:rFonts w:cs="Times New Roman"/>
                <w:sz w:val="18"/>
                <w:szCs w:val="18"/>
              </w:rPr>
            </w:pPr>
            <w:r w:rsidRPr="008F6BC1">
              <w:rPr>
                <w:rFonts w:cs="Times New Roman"/>
                <w:sz w:val="18"/>
                <w:szCs w:val="18"/>
              </w:rPr>
              <w:t> </w:t>
            </w:r>
          </w:p>
        </w:tc>
        <w:tc>
          <w:tcPr>
            <w:tcW w:w="866" w:type="dxa"/>
            <w:hideMark/>
          </w:tcPr>
          <w:p w14:paraId="3CF3FB35"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76F8E350"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4B73109C" w14:textId="77777777" w:rsidTr="008F6BC1">
        <w:trPr>
          <w:trHeight w:val="2160"/>
        </w:trPr>
        <w:tc>
          <w:tcPr>
            <w:tcW w:w="450" w:type="dxa"/>
            <w:hideMark/>
          </w:tcPr>
          <w:p w14:paraId="2C3EE31B" w14:textId="77777777" w:rsidR="008F6BC1" w:rsidRPr="008F6BC1" w:rsidRDefault="008F6BC1" w:rsidP="00E47AD4">
            <w:pPr>
              <w:rPr>
                <w:rFonts w:cs="Times New Roman"/>
                <w:sz w:val="18"/>
                <w:szCs w:val="18"/>
              </w:rPr>
            </w:pPr>
            <w:r w:rsidRPr="008F6BC1">
              <w:rPr>
                <w:rFonts w:cs="Times New Roman"/>
                <w:sz w:val="18"/>
                <w:szCs w:val="18"/>
              </w:rPr>
              <w:t>1</w:t>
            </w:r>
          </w:p>
        </w:tc>
        <w:tc>
          <w:tcPr>
            <w:tcW w:w="2250" w:type="dxa"/>
            <w:hideMark/>
          </w:tcPr>
          <w:p w14:paraId="039B602C" w14:textId="77777777" w:rsidR="008F6BC1" w:rsidRPr="008F6BC1" w:rsidRDefault="008F6BC1" w:rsidP="00E47AD4">
            <w:pPr>
              <w:rPr>
                <w:rFonts w:cs="Times New Roman"/>
                <w:sz w:val="18"/>
                <w:szCs w:val="18"/>
              </w:rPr>
            </w:pPr>
            <w:r w:rsidRPr="008F6BC1">
              <w:rPr>
                <w:rFonts w:cs="Times New Roman"/>
                <w:sz w:val="18"/>
                <w:szCs w:val="18"/>
              </w:rPr>
              <w:t xml:space="preserve">Increased capacity on macro fiscal planning </w:t>
            </w:r>
          </w:p>
        </w:tc>
        <w:tc>
          <w:tcPr>
            <w:tcW w:w="1080" w:type="dxa"/>
            <w:hideMark/>
          </w:tcPr>
          <w:p w14:paraId="7AC537E5"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7AFE4A11" w14:textId="77777777" w:rsidR="008F6BC1" w:rsidRPr="008F6BC1" w:rsidRDefault="008F6BC1" w:rsidP="00E47AD4">
            <w:pPr>
              <w:rPr>
                <w:rFonts w:cs="Times New Roman"/>
                <w:sz w:val="18"/>
                <w:szCs w:val="18"/>
              </w:rPr>
            </w:pPr>
            <w:r w:rsidRPr="008F6BC1">
              <w:rPr>
                <w:rFonts w:cs="Times New Roman"/>
                <w:sz w:val="18"/>
                <w:szCs w:val="18"/>
              </w:rPr>
              <w:t xml:space="preserve">0% of staff trained on macro fiscal planning. </w:t>
            </w:r>
            <w:r w:rsidRPr="008F6BC1">
              <w:rPr>
                <w:rFonts w:cs="Times New Roman"/>
                <w:sz w:val="18"/>
                <w:szCs w:val="18"/>
              </w:rPr>
              <w:br/>
            </w:r>
            <w:r w:rsidRPr="008F6BC1">
              <w:rPr>
                <w:rFonts w:cs="Times New Roman"/>
                <w:sz w:val="18"/>
                <w:szCs w:val="18"/>
              </w:rPr>
              <w:br/>
              <w:t>No credible MTFF and framework for assessing investment projects exists.</w:t>
            </w:r>
          </w:p>
        </w:tc>
        <w:tc>
          <w:tcPr>
            <w:tcW w:w="1345" w:type="dxa"/>
            <w:hideMark/>
          </w:tcPr>
          <w:p w14:paraId="086C7460" w14:textId="77777777" w:rsidR="008F6BC1" w:rsidRPr="008F6BC1" w:rsidRDefault="008F6BC1" w:rsidP="00E47AD4">
            <w:pPr>
              <w:rPr>
                <w:rFonts w:cs="Times New Roman"/>
                <w:sz w:val="18"/>
                <w:szCs w:val="18"/>
              </w:rPr>
            </w:pPr>
            <w:r w:rsidRPr="008F6BC1">
              <w:rPr>
                <w:rFonts w:cs="Times New Roman"/>
                <w:sz w:val="18"/>
                <w:szCs w:val="18"/>
              </w:rPr>
              <w:t>Production of a Macro fiscal forecasting tool to inform the annual budget</w:t>
            </w:r>
          </w:p>
        </w:tc>
        <w:tc>
          <w:tcPr>
            <w:tcW w:w="1093" w:type="dxa"/>
            <w:hideMark/>
          </w:tcPr>
          <w:p w14:paraId="43B946A4" w14:textId="77777777" w:rsidR="008F6BC1" w:rsidRPr="008F6BC1" w:rsidRDefault="008F6BC1" w:rsidP="00E47AD4">
            <w:pPr>
              <w:rPr>
                <w:rFonts w:cs="Times New Roman"/>
                <w:sz w:val="18"/>
                <w:szCs w:val="18"/>
              </w:rPr>
            </w:pPr>
            <w:r w:rsidRPr="008F6BC1">
              <w:rPr>
                <w:rFonts w:cs="Times New Roman"/>
                <w:sz w:val="18"/>
                <w:szCs w:val="18"/>
              </w:rPr>
              <w:t>i)MTFF produced and used to prepare Fiscal Strategy Paper that was sent to parliament and used for the preparation of 2020 budget.</w:t>
            </w:r>
            <w:r w:rsidRPr="008F6BC1">
              <w:rPr>
                <w:rFonts w:cs="Times New Roman"/>
                <w:sz w:val="18"/>
                <w:szCs w:val="18"/>
              </w:rPr>
              <w:br/>
              <w:t xml:space="preserve"> ii) Final Macro fiscal forecasting tool exists and was used for MTFF</w:t>
            </w:r>
            <w:r w:rsidRPr="008F6BC1">
              <w:rPr>
                <w:rFonts w:cs="Times New Roman"/>
                <w:sz w:val="18"/>
                <w:szCs w:val="18"/>
              </w:rPr>
              <w:br/>
              <w:t xml:space="preserve"> iii) Draft </w:t>
            </w:r>
            <w:proofErr w:type="spellStart"/>
            <w:r w:rsidRPr="008F6BC1">
              <w:rPr>
                <w:rFonts w:cs="Times New Roman"/>
                <w:sz w:val="18"/>
                <w:szCs w:val="18"/>
              </w:rPr>
              <w:t>ToR</w:t>
            </w:r>
            <w:proofErr w:type="spellEnd"/>
            <w:r w:rsidRPr="008F6BC1">
              <w:rPr>
                <w:rFonts w:cs="Times New Roman"/>
                <w:sz w:val="18"/>
                <w:szCs w:val="18"/>
              </w:rPr>
              <w:t xml:space="preserve"> is being prepared</w:t>
            </w:r>
          </w:p>
        </w:tc>
        <w:tc>
          <w:tcPr>
            <w:tcW w:w="866" w:type="dxa"/>
            <w:hideMark/>
          </w:tcPr>
          <w:p w14:paraId="35D7CB29"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3299A59C"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12419F9F" w14:textId="77777777" w:rsidTr="008F6BC1">
        <w:trPr>
          <w:trHeight w:val="480"/>
        </w:trPr>
        <w:tc>
          <w:tcPr>
            <w:tcW w:w="450" w:type="dxa"/>
            <w:noWrap/>
            <w:hideMark/>
          </w:tcPr>
          <w:p w14:paraId="185120B1" w14:textId="77777777" w:rsidR="008F6BC1" w:rsidRPr="008F6BC1" w:rsidRDefault="008F6BC1" w:rsidP="00E47AD4">
            <w:pPr>
              <w:rPr>
                <w:rFonts w:cs="Times New Roman"/>
                <w:sz w:val="18"/>
                <w:szCs w:val="18"/>
              </w:rPr>
            </w:pPr>
            <w:r w:rsidRPr="008F6BC1">
              <w:rPr>
                <w:rFonts w:cs="Times New Roman"/>
                <w:sz w:val="18"/>
                <w:szCs w:val="18"/>
              </w:rPr>
              <w:t>2</w:t>
            </w:r>
          </w:p>
        </w:tc>
        <w:tc>
          <w:tcPr>
            <w:tcW w:w="2250" w:type="dxa"/>
            <w:hideMark/>
          </w:tcPr>
          <w:p w14:paraId="7B5FEEFA" w14:textId="77777777" w:rsidR="008F6BC1" w:rsidRPr="008F6BC1" w:rsidRDefault="008F6BC1" w:rsidP="00E47AD4">
            <w:pPr>
              <w:rPr>
                <w:rFonts w:cs="Times New Roman"/>
                <w:sz w:val="18"/>
                <w:szCs w:val="18"/>
              </w:rPr>
            </w:pPr>
            <w:r w:rsidRPr="008F6BC1">
              <w:rPr>
                <w:rFonts w:cs="Times New Roman"/>
                <w:sz w:val="18"/>
                <w:szCs w:val="18"/>
              </w:rPr>
              <w:t xml:space="preserve">Capacity building on procurement through the implementation of a new Procurement curricula </w:t>
            </w:r>
          </w:p>
        </w:tc>
        <w:tc>
          <w:tcPr>
            <w:tcW w:w="1080" w:type="dxa"/>
            <w:hideMark/>
          </w:tcPr>
          <w:p w14:paraId="2A5FF45E"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3E2E8441" w14:textId="77777777" w:rsidR="008F6BC1" w:rsidRPr="008F6BC1" w:rsidRDefault="008F6BC1" w:rsidP="00E47AD4">
            <w:pPr>
              <w:rPr>
                <w:rFonts w:cs="Times New Roman"/>
                <w:sz w:val="18"/>
                <w:szCs w:val="18"/>
              </w:rPr>
            </w:pPr>
            <w:r w:rsidRPr="008F6BC1">
              <w:rPr>
                <w:rFonts w:cs="Times New Roman"/>
                <w:sz w:val="18"/>
                <w:szCs w:val="18"/>
              </w:rPr>
              <w:t>NIL</w:t>
            </w:r>
          </w:p>
        </w:tc>
        <w:tc>
          <w:tcPr>
            <w:tcW w:w="1345" w:type="dxa"/>
            <w:noWrap/>
            <w:hideMark/>
          </w:tcPr>
          <w:p w14:paraId="19947DBE" w14:textId="77777777" w:rsidR="008F6BC1" w:rsidRPr="008F6BC1" w:rsidRDefault="008F6BC1" w:rsidP="00E47AD4">
            <w:pPr>
              <w:rPr>
                <w:rFonts w:cs="Times New Roman"/>
                <w:sz w:val="18"/>
                <w:szCs w:val="18"/>
              </w:rPr>
            </w:pPr>
            <w:r w:rsidRPr="008F6BC1">
              <w:rPr>
                <w:rFonts w:cs="Times New Roman"/>
                <w:sz w:val="18"/>
                <w:szCs w:val="18"/>
              </w:rPr>
              <w:t>15</w:t>
            </w:r>
          </w:p>
        </w:tc>
        <w:tc>
          <w:tcPr>
            <w:tcW w:w="1093" w:type="dxa"/>
            <w:hideMark/>
          </w:tcPr>
          <w:p w14:paraId="70A8AA7A" w14:textId="77777777" w:rsidR="008F6BC1" w:rsidRPr="008F6BC1" w:rsidRDefault="008F6BC1" w:rsidP="00E47AD4">
            <w:pPr>
              <w:rPr>
                <w:rFonts w:cs="Times New Roman"/>
                <w:sz w:val="18"/>
                <w:szCs w:val="18"/>
              </w:rPr>
            </w:pPr>
            <w:r w:rsidRPr="008F6BC1">
              <w:rPr>
                <w:rFonts w:cs="Times New Roman"/>
                <w:sz w:val="18"/>
                <w:szCs w:val="18"/>
              </w:rPr>
              <w:t> </w:t>
            </w:r>
          </w:p>
        </w:tc>
        <w:tc>
          <w:tcPr>
            <w:tcW w:w="866" w:type="dxa"/>
            <w:hideMark/>
          </w:tcPr>
          <w:p w14:paraId="11A0FCF7"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68153FE8" w14:textId="34A2E9DC" w:rsidR="008F6BC1" w:rsidRPr="008F6BC1" w:rsidRDefault="008F6BC1" w:rsidP="00E47AD4">
            <w:pPr>
              <w:rPr>
                <w:rFonts w:cs="Times New Roman"/>
                <w:sz w:val="18"/>
                <w:szCs w:val="18"/>
              </w:rPr>
            </w:pPr>
            <w:r w:rsidRPr="008F6BC1">
              <w:rPr>
                <w:rFonts w:cs="Times New Roman"/>
                <w:sz w:val="18"/>
                <w:szCs w:val="18"/>
              </w:rPr>
              <w:t> </w:t>
            </w:r>
            <w:r>
              <w:rPr>
                <w:rFonts w:cs="Times New Roman"/>
                <w:sz w:val="18"/>
                <w:szCs w:val="18"/>
              </w:rPr>
              <w:t xml:space="preserve">Around 150 participants have been trained through in-house curricula available within the MoF. However, these are not affiliated with any accreditations. </w:t>
            </w:r>
          </w:p>
        </w:tc>
      </w:tr>
      <w:tr w:rsidR="008F6BC1" w:rsidRPr="008F6BC1" w14:paraId="570D8D0B" w14:textId="77777777" w:rsidTr="008F6BC1">
        <w:trPr>
          <w:trHeight w:val="480"/>
        </w:trPr>
        <w:tc>
          <w:tcPr>
            <w:tcW w:w="450" w:type="dxa"/>
            <w:hideMark/>
          </w:tcPr>
          <w:p w14:paraId="7A953F4B" w14:textId="77777777" w:rsidR="008F6BC1" w:rsidRPr="008F6BC1" w:rsidRDefault="008F6BC1" w:rsidP="00E47AD4">
            <w:pPr>
              <w:rPr>
                <w:rFonts w:cs="Times New Roman"/>
                <w:sz w:val="18"/>
                <w:szCs w:val="18"/>
              </w:rPr>
            </w:pPr>
            <w:r w:rsidRPr="008F6BC1">
              <w:rPr>
                <w:rFonts w:cs="Times New Roman"/>
                <w:sz w:val="18"/>
                <w:szCs w:val="18"/>
              </w:rPr>
              <w:t>3</w:t>
            </w:r>
          </w:p>
        </w:tc>
        <w:tc>
          <w:tcPr>
            <w:tcW w:w="2250" w:type="dxa"/>
            <w:hideMark/>
          </w:tcPr>
          <w:p w14:paraId="4AAA2AB7" w14:textId="77777777" w:rsidR="008F6BC1" w:rsidRPr="008F6BC1" w:rsidRDefault="008F6BC1" w:rsidP="00E47AD4">
            <w:pPr>
              <w:rPr>
                <w:rFonts w:cs="Times New Roman"/>
                <w:sz w:val="18"/>
                <w:szCs w:val="18"/>
              </w:rPr>
            </w:pPr>
            <w:bookmarkStart w:id="4" w:name="_Hlk24988971"/>
            <w:r w:rsidRPr="008F6BC1">
              <w:rPr>
                <w:rFonts w:cs="Times New Roman"/>
                <w:sz w:val="18"/>
                <w:szCs w:val="18"/>
              </w:rPr>
              <w:t xml:space="preserve">BERs subjected to audit by internal auditors </w:t>
            </w:r>
            <w:bookmarkEnd w:id="4"/>
          </w:p>
        </w:tc>
        <w:tc>
          <w:tcPr>
            <w:tcW w:w="1080" w:type="dxa"/>
            <w:hideMark/>
          </w:tcPr>
          <w:p w14:paraId="7D357BBA" w14:textId="77777777" w:rsidR="008F6BC1" w:rsidRPr="008F6BC1" w:rsidRDefault="008F6BC1" w:rsidP="00E47AD4">
            <w:pPr>
              <w:rPr>
                <w:rFonts w:cs="Times New Roman"/>
                <w:sz w:val="18"/>
                <w:szCs w:val="18"/>
              </w:rPr>
            </w:pPr>
            <w:r w:rsidRPr="008F6BC1">
              <w:rPr>
                <w:rFonts w:cs="Times New Roman"/>
                <w:sz w:val="18"/>
                <w:szCs w:val="18"/>
              </w:rPr>
              <w:t>Percentage</w:t>
            </w:r>
          </w:p>
        </w:tc>
        <w:tc>
          <w:tcPr>
            <w:tcW w:w="1792" w:type="dxa"/>
            <w:hideMark/>
          </w:tcPr>
          <w:p w14:paraId="07D89931" w14:textId="77777777" w:rsidR="008F6BC1" w:rsidRPr="008F6BC1" w:rsidRDefault="008F6BC1" w:rsidP="00E47AD4">
            <w:pPr>
              <w:rPr>
                <w:rFonts w:cs="Times New Roman"/>
                <w:sz w:val="18"/>
                <w:szCs w:val="18"/>
              </w:rPr>
            </w:pPr>
            <w:r w:rsidRPr="008F6BC1">
              <w:rPr>
                <w:rFonts w:cs="Times New Roman"/>
                <w:sz w:val="18"/>
                <w:szCs w:val="18"/>
              </w:rPr>
              <w:t>0</w:t>
            </w:r>
          </w:p>
        </w:tc>
        <w:tc>
          <w:tcPr>
            <w:tcW w:w="1345" w:type="dxa"/>
            <w:hideMark/>
          </w:tcPr>
          <w:p w14:paraId="1B79A1C7" w14:textId="77777777" w:rsidR="008F6BC1" w:rsidRPr="008F6BC1" w:rsidRDefault="008F6BC1" w:rsidP="00E47AD4">
            <w:pPr>
              <w:rPr>
                <w:rFonts w:cs="Times New Roman"/>
                <w:sz w:val="18"/>
                <w:szCs w:val="18"/>
              </w:rPr>
            </w:pPr>
            <w:r w:rsidRPr="008F6BC1">
              <w:rPr>
                <w:rFonts w:cs="Times New Roman"/>
                <w:sz w:val="18"/>
                <w:szCs w:val="18"/>
              </w:rPr>
              <w:t>100</w:t>
            </w:r>
          </w:p>
        </w:tc>
        <w:tc>
          <w:tcPr>
            <w:tcW w:w="1093" w:type="dxa"/>
            <w:hideMark/>
          </w:tcPr>
          <w:p w14:paraId="244012E1" w14:textId="77777777" w:rsidR="008F6BC1" w:rsidRPr="008F6BC1" w:rsidRDefault="008F6BC1" w:rsidP="00E47AD4">
            <w:pPr>
              <w:rPr>
                <w:rFonts w:cs="Times New Roman"/>
                <w:sz w:val="18"/>
                <w:szCs w:val="18"/>
              </w:rPr>
            </w:pPr>
            <w:r w:rsidRPr="008F6BC1">
              <w:rPr>
                <w:rFonts w:cs="Times New Roman"/>
                <w:sz w:val="18"/>
                <w:szCs w:val="18"/>
              </w:rPr>
              <w:t>0</w:t>
            </w:r>
          </w:p>
        </w:tc>
        <w:tc>
          <w:tcPr>
            <w:tcW w:w="866" w:type="dxa"/>
            <w:hideMark/>
          </w:tcPr>
          <w:p w14:paraId="4921156F"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hideMark/>
          </w:tcPr>
          <w:p w14:paraId="1540190C" w14:textId="77777777" w:rsidR="008F6BC1" w:rsidRPr="008F6BC1" w:rsidRDefault="008F6BC1" w:rsidP="00E47AD4">
            <w:pPr>
              <w:rPr>
                <w:rFonts w:cs="Times New Roman"/>
                <w:sz w:val="18"/>
                <w:szCs w:val="18"/>
              </w:rPr>
            </w:pPr>
            <w:r w:rsidRPr="008F6BC1">
              <w:rPr>
                <w:rFonts w:cs="Times New Roman"/>
                <w:sz w:val="18"/>
                <w:szCs w:val="18"/>
              </w:rPr>
              <w:t>BERs exist but not subjected to internal audit</w:t>
            </w:r>
          </w:p>
        </w:tc>
      </w:tr>
      <w:tr w:rsidR="008F6BC1" w:rsidRPr="008F6BC1" w14:paraId="4F0A2DF9" w14:textId="77777777" w:rsidTr="008F6BC1">
        <w:trPr>
          <w:trHeight w:val="480"/>
        </w:trPr>
        <w:tc>
          <w:tcPr>
            <w:tcW w:w="450" w:type="dxa"/>
            <w:noWrap/>
            <w:hideMark/>
          </w:tcPr>
          <w:p w14:paraId="3DE8B4DD" w14:textId="77777777" w:rsidR="008F6BC1" w:rsidRPr="008F6BC1" w:rsidRDefault="008F6BC1" w:rsidP="00E47AD4">
            <w:pPr>
              <w:rPr>
                <w:rFonts w:cs="Times New Roman"/>
                <w:sz w:val="18"/>
                <w:szCs w:val="18"/>
              </w:rPr>
            </w:pPr>
            <w:r w:rsidRPr="008F6BC1">
              <w:rPr>
                <w:rFonts w:cs="Times New Roman"/>
                <w:sz w:val="18"/>
                <w:szCs w:val="18"/>
              </w:rPr>
              <w:t>4</w:t>
            </w:r>
          </w:p>
        </w:tc>
        <w:tc>
          <w:tcPr>
            <w:tcW w:w="2250" w:type="dxa"/>
            <w:hideMark/>
          </w:tcPr>
          <w:p w14:paraId="236F6245" w14:textId="77777777" w:rsidR="008F6BC1" w:rsidRPr="008F6BC1" w:rsidRDefault="008F6BC1" w:rsidP="00E47AD4">
            <w:pPr>
              <w:rPr>
                <w:rFonts w:cs="Times New Roman"/>
                <w:sz w:val="18"/>
                <w:szCs w:val="18"/>
              </w:rPr>
            </w:pPr>
            <w:r w:rsidRPr="008F6BC1">
              <w:rPr>
                <w:rFonts w:cs="Times New Roman"/>
                <w:sz w:val="18"/>
                <w:szCs w:val="18"/>
              </w:rPr>
              <w:t xml:space="preserve">Updated gender disaggregated statistics to inform fiscal policy </w:t>
            </w:r>
          </w:p>
        </w:tc>
        <w:tc>
          <w:tcPr>
            <w:tcW w:w="1080" w:type="dxa"/>
            <w:hideMark/>
          </w:tcPr>
          <w:p w14:paraId="0319BEB2"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0DB56D09" w14:textId="77777777" w:rsidR="008F6BC1" w:rsidRPr="008F6BC1" w:rsidRDefault="008F6BC1" w:rsidP="00E47AD4">
            <w:pPr>
              <w:rPr>
                <w:rFonts w:cs="Times New Roman"/>
                <w:sz w:val="18"/>
                <w:szCs w:val="18"/>
              </w:rPr>
            </w:pPr>
            <w:r w:rsidRPr="008F6BC1">
              <w:rPr>
                <w:rFonts w:cs="Times New Roman"/>
                <w:sz w:val="18"/>
                <w:szCs w:val="18"/>
              </w:rPr>
              <w:t>No recent data on household income/expenditures</w:t>
            </w:r>
          </w:p>
        </w:tc>
        <w:tc>
          <w:tcPr>
            <w:tcW w:w="1345" w:type="dxa"/>
            <w:hideMark/>
          </w:tcPr>
          <w:p w14:paraId="0424B8DC" w14:textId="77777777" w:rsidR="008F6BC1" w:rsidRPr="008F6BC1" w:rsidRDefault="008F6BC1" w:rsidP="00E47AD4">
            <w:pPr>
              <w:rPr>
                <w:rFonts w:cs="Times New Roman"/>
                <w:sz w:val="18"/>
                <w:szCs w:val="18"/>
              </w:rPr>
            </w:pPr>
            <w:r w:rsidRPr="008F6BC1">
              <w:rPr>
                <w:rFonts w:cs="Times New Roman"/>
                <w:sz w:val="18"/>
                <w:szCs w:val="18"/>
              </w:rPr>
              <w:t>Findings from HHIES have been published</w:t>
            </w:r>
          </w:p>
        </w:tc>
        <w:tc>
          <w:tcPr>
            <w:tcW w:w="1093" w:type="dxa"/>
            <w:hideMark/>
          </w:tcPr>
          <w:p w14:paraId="0FD47816" w14:textId="77777777" w:rsidR="008F6BC1" w:rsidRPr="008F6BC1" w:rsidRDefault="008F6BC1" w:rsidP="00E47AD4">
            <w:pPr>
              <w:rPr>
                <w:rFonts w:cs="Times New Roman"/>
                <w:sz w:val="18"/>
                <w:szCs w:val="18"/>
              </w:rPr>
            </w:pPr>
            <w:r w:rsidRPr="008F6BC1">
              <w:rPr>
                <w:rFonts w:cs="Times New Roman"/>
                <w:sz w:val="18"/>
                <w:szCs w:val="18"/>
              </w:rPr>
              <w:t>Ongoing. Results of the HHIES expected Sept 2020</w:t>
            </w:r>
          </w:p>
        </w:tc>
        <w:tc>
          <w:tcPr>
            <w:tcW w:w="866" w:type="dxa"/>
            <w:hideMark/>
          </w:tcPr>
          <w:p w14:paraId="650FA541"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24439079"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2A329213" w14:textId="77777777" w:rsidTr="008F6BC1">
        <w:trPr>
          <w:trHeight w:val="960"/>
        </w:trPr>
        <w:tc>
          <w:tcPr>
            <w:tcW w:w="450" w:type="dxa"/>
            <w:hideMark/>
          </w:tcPr>
          <w:p w14:paraId="54929641" w14:textId="77777777" w:rsidR="008F6BC1" w:rsidRPr="008F6BC1" w:rsidRDefault="008F6BC1" w:rsidP="00E47AD4">
            <w:pPr>
              <w:rPr>
                <w:rFonts w:cs="Times New Roman"/>
                <w:sz w:val="18"/>
                <w:szCs w:val="18"/>
              </w:rPr>
            </w:pPr>
            <w:r w:rsidRPr="008F6BC1">
              <w:rPr>
                <w:rFonts w:cs="Times New Roman"/>
                <w:sz w:val="18"/>
                <w:szCs w:val="18"/>
              </w:rPr>
              <w:t>5</w:t>
            </w:r>
          </w:p>
        </w:tc>
        <w:tc>
          <w:tcPr>
            <w:tcW w:w="2250" w:type="dxa"/>
            <w:hideMark/>
          </w:tcPr>
          <w:p w14:paraId="169B0B91" w14:textId="77777777" w:rsidR="008F6BC1" w:rsidRPr="008F6BC1" w:rsidRDefault="008F6BC1" w:rsidP="00E47AD4">
            <w:pPr>
              <w:rPr>
                <w:rFonts w:cs="Times New Roman"/>
                <w:sz w:val="18"/>
                <w:szCs w:val="18"/>
              </w:rPr>
            </w:pPr>
            <w:r w:rsidRPr="008F6BC1">
              <w:rPr>
                <w:rFonts w:cs="Times New Roman"/>
                <w:sz w:val="18"/>
                <w:szCs w:val="18"/>
              </w:rPr>
              <w:t xml:space="preserve">Improved asset management </w:t>
            </w:r>
          </w:p>
        </w:tc>
        <w:tc>
          <w:tcPr>
            <w:tcW w:w="1080" w:type="dxa"/>
            <w:hideMark/>
          </w:tcPr>
          <w:p w14:paraId="551765E2"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7DAC6F62" w14:textId="77777777" w:rsidR="008F6BC1" w:rsidRPr="008F6BC1" w:rsidRDefault="008F6BC1" w:rsidP="00E47AD4">
            <w:pPr>
              <w:rPr>
                <w:rFonts w:cs="Times New Roman"/>
                <w:sz w:val="18"/>
                <w:szCs w:val="18"/>
              </w:rPr>
            </w:pPr>
            <w:r w:rsidRPr="008F6BC1">
              <w:rPr>
                <w:rFonts w:cs="Times New Roman"/>
                <w:sz w:val="18"/>
                <w:szCs w:val="18"/>
              </w:rPr>
              <w:t>Asset registry not annexed to AFS</w:t>
            </w:r>
          </w:p>
        </w:tc>
        <w:tc>
          <w:tcPr>
            <w:tcW w:w="1345" w:type="dxa"/>
            <w:hideMark/>
          </w:tcPr>
          <w:p w14:paraId="5B39EC19" w14:textId="77777777" w:rsidR="008F6BC1" w:rsidRPr="008F6BC1" w:rsidRDefault="008F6BC1" w:rsidP="00E47AD4">
            <w:pPr>
              <w:rPr>
                <w:rFonts w:cs="Times New Roman"/>
                <w:sz w:val="18"/>
                <w:szCs w:val="18"/>
              </w:rPr>
            </w:pPr>
            <w:r w:rsidRPr="008F6BC1">
              <w:rPr>
                <w:rFonts w:cs="Times New Roman"/>
                <w:sz w:val="18"/>
                <w:szCs w:val="18"/>
              </w:rPr>
              <w:t>End year Financial Statements with asset registry</w:t>
            </w:r>
          </w:p>
        </w:tc>
        <w:tc>
          <w:tcPr>
            <w:tcW w:w="1093" w:type="dxa"/>
            <w:hideMark/>
          </w:tcPr>
          <w:p w14:paraId="582371B1" w14:textId="77777777" w:rsidR="008F6BC1" w:rsidRPr="008F6BC1" w:rsidRDefault="008F6BC1" w:rsidP="00E47AD4">
            <w:pPr>
              <w:rPr>
                <w:rFonts w:cs="Times New Roman"/>
                <w:sz w:val="18"/>
                <w:szCs w:val="18"/>
              </w:rPr>
            </w:pPr>
            <w:r w:rsidRPr="008F6BC1">
              <w:rPr>
                <w:rFonts w:cs="Times New Roman"/>
                <w:sz w:val="18"/>
                <w:szCs w:val="18"/>
              </w:rPr>
              <w:t xml:space="preserve">Asset portal has been developed and is currently being rolled out. Asset registry is compiled through the portal.  </w:t>
            </w:r>
          </w:p>
        </w:tc>
        <w:tc>
          <w:tcPr>
            <w:tcW w:w="866" w:type="dxa"/>
            <w:hideMark/>
          </w:tcPr>
          <w:p w14:paraId="62CD81BE"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00F74C31"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2F3AFFC8" w14:textId="77777777" w:rsidTr="008F6BC1">
        <w:trPr>
          <w:trHeight w:val="480"/>
        </w:trPr>
        <w:tc>
          <w:tcPr>
            <w:tcW w:w="450" w:type="dxa"/>
            <w:noWrap/>
            <w:hideMark/>
          </w:tcPr>
          <w:p w14:paraId="711AA510" w14:textId="77777777" w:rsidR="008F6BC1" w:rsidRPr="008F6BC1" w:rsidRDefault="008F6BC1" w:rsidP="00E47AD4">
            <w:pPr>
              <w:rPr>
                <w:rFonts w:cs="Times New Roman"/>
                <w:sz w:val="18"/>
                <w:szCs w:val="18"/>
              </w:rPr>
            </w:pPr>
            <w:r w:rsidRPr="008F6BC1">
              <w:rPr>
                <w:rFonts w:cs="Times New Roman"/>
                <w:sz w:val="18"/>
                <w:szCs w:val="18"/>
              </w:rPr>
              <w:t>6</w:t>
            </w:r>
          </w:p>
        </w:tc>
        <w:tc>
          <w:tcPr>
            <w:tcW w:w="2250" w:type="dxa"/>
            <w:hideMark/>
          </w:tcPr>
          <w:p w14:paraId="263B4B11" w14:textId="77777777" w:rsidR="008F6BC1" w:rsidRPr="008F6BC1" w:rsidRDefault="008F6BC1" w:rsidP="00E47AD4">
            <w:pPr>
              <w:rPr>
                <w:rFonts w:cs="Times New Roman"/>
                <w:sz w:val="18"/>
                <w:szCs w:val="18"/>
              </w:rPr>
            </w:pPr>
            <w:r w:rsidRPr="008F6BC1">
              <w:rPr>
                <w:rFonts w:cs="Times New Roman"/>
                <w:sz w:val="18"/>
                <w:szCs w:val="18"/>
              </w:rPr>
              <w:t xml:space="preserve">Inclusion of CPA techniques in Performance Audit </w:t>
            </w:r>
          </w:p>
        </w:tc>
        <w:tc>
          <w:tcPr>
            <w:tcW w:w="1080" w:type="dxa"/>
            <w:hideMark/>
          </w:tcPr>
          <w:p w14:paraId="4BBB8ACA"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noWrap/>
            <w:hideMark/>
          </w:tcPr>
          <w:p w14:paraId="74C84963" w14:textId="77777777" w:rsidR="008F6BC1" w:rsidRPr="008F6BC1" w:rsidRDefault="008F6BC1" w:rsidP="00E47AD4">
            <w:pPr>
              <w:rPr>
                <w:rFonts w:cs="Times New Roman"/>
                <w:sz w:val="18"/>
                <w:szCs w:val="18"/>
              </w:rPr>
            </w:pPr>
            <w:r w:rsidRPr="008F6BC1">
              <w:rPr>
                <w:rFonts w:cs="Times New Roman"/>
                <w:sz w:val="18"/>
                <w:szCs w:val="18"/>
              </w:rPr>
              <w:t>No use of CPA</w:t>
            </w:r>
          </w:p>
        </w:tc>
        <w:tc>
          <w:tcPr>
            <w:tcW w:w="1345" w:type="dxa"/>
            <w:hideMark/>
          </w:tcPr>
          <w:p w14:paraId="42B44B48" w14:textId="77777777" w:rsidR="008F6BC1" w:rsidRPr="008F6BC1" w:rsidRDefault="008F6BC1" w:rsidP="00E47AD4">
            <w:pPr>
              <w:rPr>
                <w:rFonts w:cs="Times New Roman"/>
                <w:sz w:val="18"/>
                <w:szCs w:val="18"/>
              </w:rPr>
            </w:pPr>
            <w:r w:rsidRPr="008F6BC1">
              <w:rPr>
                <w:rFonts w:cs="Times New Roman"/>
                <w:sz w:val="18"/>
                <w:szCs w:val="18"/>
              </w:rPr>
              <w:t>Two pilot Performance Audits conducted using CPA</w:t>
            </w:r>
          </w:p>
        </w:tc>
        <w:tc>
          <w:tcPr>
            <w:tcW w:w="1093" w:type="dxa"/>
            <w:hideMark/>
          </w:tcPr>
          <w:p w14:paraId="19B8EDCA" w14:textId="779EEBB2" w:rsidR="008F6BC1" w:rsidRPr="008F6BC1" w:rsidRDefault="008F6BC1" w:rsidP="00E47AD4">
            <w:pPr>
              <w:rPr>
                <w:rFonts w:cs="Times New Roman"/>
                <w:sz w:val="18"/>
                <w:szCs w:val="18"/>
              </w:rPr>
            </w:pPr>
            <w:r w:rsidRPr="008F6BC1">
              <w:rPr>
                <w:rFonts w:cs="Times New Roman"/>
                <w:sz w:val="18"/>
                <w:szCs w:val="18"/>
              </w:rPr>
              <w:t xml:space="preserve">Not done. </w:t>
            </w:r>
            <w:proofErr w:type="spellStart"/>
            <w:r>
              <w:rPr>
                <w:rFonts w:cs="Times New Roman"/>
                <w:sz w:val="18"/>
                <w:szCs w:val="18"/>
              </w:rPr>
              <w:t>ToR</w:t>
            </w:r>
            <w:proofErr w:type="spellEnd"/>
            <w:r>
              <w:rPr>
                <w:rFonts w:cs="Times New Roman"/>
                <w:sz w:val="18"/>
                <w:szCs w:val="18"/>
              </w:rPr>
              <w:t xml:space="preserve"> has been</w:t>
            </w:r>
            <w:r w:rsidRPr="008F6BC1">
              <w:rPr>
                <w:rFonts w:cs="Times New Roman"/>
                <w:sz w:val="18"/>
                <w:szCs w:val="18"/>
              </w:rPr>
              <w:t xml:space="preserve"> developed</w:t>
            </w:r>
          </w:p>
        </w:tc>
        <w:tc>
          <w:tcPr>
            <w:tcW w:w="866" w:type="dxa"/>
            <w:hideMark/>
          </w:tcPr>
          <w:p w14:paraId="66870FAF"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66719A58"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741765D1" w14:textId="77777777" w:rsidTr="008F6BC1">
        <w:trPr>
          <w:trHeight w:val="720"/>
        </w:trPr>
        <w:tc>
          <w:tcPr>
            <w:tcW w:w="450" w:type="dxa"/>
            <w:hideMark/>
          </w:tcPr>
          <w:p w14:paraId="05735F05" w14:textId="77777777" w:rsidR="008F6BC1" w:rsidRPr="008F6BC1" w:rsidRDefault="008F6BC1" w:rsidP="00E47AD4">
            <w:pPr>
              <w:rPr>
                <w:rFonts w:cs="Times New Roman"/>
                <w:sz w:val="18"/>
                <w:szCs w:val="18"/>
              </w:rPr>
            </w:pPr>
            <w:r w:rsidRPr="008F6BC1">
              <w:rPr>
                <w:rFonts w:cs="Times New Roman"/>
                <w:sz w:val="18"/>
                <w:szCs w:val="18"/>
              </w:rPr>
              <w:t>7</w:t>
            </w:r>
          </w:p>
        </w:tc>
        <w:tc>
          <w:tcPr>
            <w:tcW w:w="2250" w:type="dxa"/>
            <w:hideMark/>
          </w:tcPr>
          <w:p w14:paraId="3611019B" w14:textId="77777777" w:rsidR="008F6BC1" w:rsidRPr="008F6BC1" w:rsidRDefault="008F6BC1" w:rsidP="00E47AD4">
            <w:pPr>
              <w:rPr>
                <w:rFonts w:cs="Times New Roman"/>
                <w:sz w:val="18"/>
                <w:szCs w:val="18"/>
              </w:rPr>
            </w:pPr>
            <w:r w:rsidRPr="008F6BC1">
              <w:rPr>
                <w:rFonts w:cs="Times New Roman"/>
                <w:sz w:val="18"/>
                <w:szCs w:val="18"/>
              </w:rPr>
              <w:t xml:space="preserve">Increased capacity on debt and cash management </w:t>
            </w:r>
          </w:p>
        </w:tc>
        <w:tc>
          <w:tcPr>
            <w:tcW w:w="1080" w:type="dxa"/>
            <w:hideMark/>
          </w:tcPr>
          <w:p w14:paraId="45777964"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1378C241" w14:textId="77777777" w:rsidR="008F6BC1" w:rsidRPr="008F6BC1" w:rsidRDefault="008F6BC1" w:rsidP="00E47AD4">
            <w:pPr>
              <w:rPr>
                <w:rFonts w:cs="Times New Roman"/>
                <w:sz w:val="18"/>
                <w:szCs w:val="18"/>
              </w:rPr>
            </w:pPr>
            <w:r w:rsidRPr="008F6BC1">
              <w:rPr>
                <w:rFonts w:cs="Times New Roman"/>
                <w:sz w:val="18"/>
                <w:szCs w:val="18"/>
              </w:rPr>
              <w:t>Credible DMS does not exist.</w:t>
            </w:r>
          </w:p>
        </w:tc>
        <w:tc>
          <w:tcPr>
            <w:tcW w:w="1345" w:type="dxa"/>
            <w:hideMark/>
          </w:tcPr>
          <w:p w14:paraId="1AC0F1AF" w14:textId="77777777" w:rsidR="008F6BC1" w:rsidRPr="008F6BC1" w:rsidRDefault="008F6BC1" w:rsidP="00E47AD4">
            <w:pPr>
              <w:rPr>
                <w:rFonts w:cs="Times New Roman"/>
                <w:sz w:val="18"/>
                <w:szCs w:val="18"/>
              </w:rPr>
            </w:pPr>
            <w:r w:rsidRPr="008F6BC1">
              <w:rPr>
                <w:rFonts w:cs="Times New Roman"/>
                <w:sz w:val="18"/>
                <w:szCs w:val="18"/>
              </w:rPr>
              <w:t>Debt management strategy produced</w:t>
            </w:r>
          </w:p>
        </w:tc>
        <w:tc>
          <w:tcPr>
            <w:tcW w:w="1093" w:type="dxa"/>
            <w:hideMark/>
          </w:tcPr>
          <w:p w14:paraId="770497A5" w14:textId="26C50965" w:rsidR="008F6BC1" w:rsidRPr="008F6BC1" w:rsidRDefault="008F6BC1" w:rsidP="00E47AD4">
            <w:pPr>
              <w:rPr>
                <w:rFonts w:cs="Times New Roman"/>
                <w:sz w:val="18"/>
                <w:szCs w:val="18"/>
              </w:rPr>
            </w:pPr>
            <w:r w:rsidRPr="008F6BC1">
              <w:rPr>
                <w:rFonts w:cs="Times New Roman"/>
                <w:sz w:val="18"/>
                <w:szCs w:val="18"/>
              </w:rPr>
              <w:t xml:space="preserve">Rolling MTDS produced and published for 2020-2022 </w:t>
            </w:r>
          </w:p>
        </w:tc>
        <w:tc>
          <w:tcPr>
            <w:tcW w:w="866" w:type="dxa"/>
            <w:hideMark/>
          </w:tcPr>
          <w:p w14:paraId="063A8351"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0DCC5CF9"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23B1BD1F" w14:textId="77777777" w:rsidTr="008F6BC1">
        <w:trPr>
          <w:trHeight w:val="1680"/>
        </w:trPr>
        <w:tc>
          <w:tcPr>
            <w:tcW w:w="450" w:type="dxa"/>
            <w:noWrap/>
            <w:hideMark/>
          </w:tcPr>
          <w:p w14:paraId="40A9E6F5" w14:textId="77777777" w:rsidR="008F6BC1" w:rsidRPr="008F6BC1" w:rsidRDefault="008F6BC1" w:rsidP="00E47AD4">
            <w:pPr>
              <w:rPr>
                <w:rFonts w:cs="Times New Roman"/>
                <w:sz w:val="18"/>
                <w:szCs w:val="18"/>
              </w:rPr>
            </w:pPr>
            <w:r w:rsidRPr="008F6BC1">
              <w:rPr>
                <w:rFonts w:cs="Times New Roman"/>
                <w:sz w:val="18"/>
                <w:szCs w:val="18"/>
              </w:rPr>
              <w:t>8</w:t>
            </w:r>
          </w:p>
        </w:tc>
        <w:tc>
          <w:tcPr>
            <w:tcW w:w="2250" w:type="dxa"/>
            <w:hideMark/>
          </w:tcPr>
          <w:p w14:paraId="510E0B5C" w14:textId="77777777" w:rsidR="008F6BC1" w:rsidRPr="008F6BC1" w:rsidRDefault="008F6BC1" w:rsidP="00E47AD4">
            <w:pPr>
              <w:rPr>
                <w:rFonts w:cs="Times New Roman"/>
                <w:sz w:val="18"/>
                <w:szCs w:val="18"/>
              </w:rPr>
            </w:pPr>
            <w:r w:rsidRPr="008F6BC1">
              <w:rPr>
                <w:rFonts w:cs="Times New Roman"/>
                <w:sz w:val="18"/>
                <w:szCs w:val="18"/>
              </w:rPr>
              <w:t xml:space="preserve">Timely preparation of annual financial statements </w:t>
            </w:r>
          </w:p>
        </w:tc>
        <w:tc>
          <w:tcPr>
            <w:tcW w:w="1080" w:type="dxa"/>
            <w:hideMark/>
          </w:tcPr>
          <w:p w14:paraId="22D6B7C4"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2254B0E6" w14:textId="77777777" w:rsidR="008F6BC1" w:rsidRPr="008F6BC1" w:rsidRDefault="008F6BC1" w:rsidP="00E47AD4">
            <w:pPr>
              <w:rPr>
                <w:rFonts w:cs="Times New Roman"/>
                <w:sz w:val="18"/>
                <w:szCs w:val="18"/>
              </w:rPr>
            </w:pPr>
            <w:r w:rsidRPr="008F6BC1">
              <w:rPr>
                <w:rFonts w:cs="Times New Roman"/>
                <w:sz w:val="18"/>
                <w:szCs w:val="18"/>
              </w:rPr>
              <w:t>AFS not accepted by audit as complete and ready for audit.</w:t>
            </w:r>
          </w:p>
        </w:tc>
        <w:tc>
          <w:tcPr>
            <w:tcW w:w="1345" w:type="dxa"/>
            <w:hideMark/>
          </w:tcPr>
          <w:p w14:paraId="2613211A" w14:textId="77777777" w:rsidR="008F6BC1" w:rsidRPr="008F6BC1" w:rsidRDefault="008F6BC1" w:rsidP="00E47AD4">
            <w:pPr>
              <w:rPr>
                <w:rFonts w:cs="Times New Roman"/>
                <w:sz w:val="18"/>
                <w:szCs w:val="18"/>
              </w:rPr>
            </w:pPr>
            <w:r w:rsidRPr="008F6BC1">
              <w:rPr>
                <w:rFonts w:cs="Times New Roman"/>
                <w:sz w:val="18"/>
                <w:szCs w:val="18"/>
              </w:rPr>
              <w:t>System-generated AFS submitted to audit within 4 months from year end.</w:t>
            </w:r>
          </w:p>
        </w:tc>
        <w:tc>
          <w:tcPr>
            <w:tcW w:w="1093" w:type="dxa"/>
            <w:hideMark/>
          </w:tcPr>
          <w:p w14:paraId="46E9A91A" w14:textId="77777777" w:rsidR="008F6BC1" w:rsidRPr="008F6BC1" w:rsidRDefault="008F6BC1" w:rsidP="00E47AD4">
            <w:pPr>
              <w:rPr>
                <w:rFonts w:cs="Times New Roman"/>
                <w:sz w:val="18"/>
                <w:szCs w:val="18"/>
              </w:rPr>
            </w:pPr>
            <w:r w:rsidRPr="008F6BC1">
              <w:rPr>
                <w:rFonts w:cs="Times New Roman"/>
                <w:sz w:val="18"/>
                <w:szCs w:val="18"/>
              </w:rPr>
              <w:t>AFS 2018 was submitted within four months on April 2019, working towards IPSAS compliance. Task force on accrual accounting established for IPSAS and working on a roadmap.</w:t>
            </w:r>
          </w:p>
        </w:tc>
        <w:tc>
          <w:tcPr>
            <w:tcW w:w="866" w:type="dxa"/>
            <w:hideMark/>
          </w:tcPr>
          <w:p w14:paraId="0D092F4D"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3468632E" w14:textId="77777777" w:rsidR="008F6BC1" w:rsidRPr="008F6BC1" w:rsidRDefault="008F6BC1" w:rsidP="00E47AD4">
            <w:pPr>
              <w:rPr>
                <w:rFonts w:cs="Times New Roman"/>
                <w:sz w:val="18"/>
                <w:szCs w:val="18"/>
              </w:rPr>
            </w:pPr>
            <w:r w:rsidRPr="008F6BC1">
              <w:rPr>
                <w:rFonts w:cs="Times New Roman"/>
                <w:sz w:val="18"/>
                <w:szCs w:val="18"/>
              </w:rPr>
              <w:t> </w:t>
            </w:r>
          </w:p>
        </w:tc>
      </w:tr>
      <w:tr w:rsidR="008F6BC1" w:rsidRPr="008F6BC1" w14:paraId="24A18D97" w14:textId="77777777" w:rsidTr="008F6BC1">
        <w:trPr>
          <w:trHeight w:val="2640"/>
        </w:trPr>
        <w:tc>
          <w:tcPr>
            <w:tcW w:w="450" w:type="dxa"/>
            <w:hideMark/>
          </w:tcPr>
          <w:p w14:paraId="74B106D4" w14:textId="77777777" w:rsidR="008F6BC1" w:rsidRPr="008F6BC1" w:rsidRDefault="008F6BC1" w:rsidP="00E47AD4">
            <w:pPr>
              <w:rPr>
                <w:rFonts w:cs="Times New Roman"/>
                <w:sz w:val="18"/>
                <w:szCs w:val="18"/>
              </w:rPr>
            </w:pPr>
            <w:r w:rsidRPr="008F6BC1">
              <w:rPr>
                <w:rFonts w:cs="Times New Roman"/>
                <w:sz w:val="18"/>
                <w:szCs w:val="18"/>
              </w:rPr>
              <w:t>9</w:t>
            </w:r>
          </w:p>
        </w:tc>
        <w:tc>
          <w:tcPr>
            <w:tcW w:w="2250" w:type="dxa"/>
            <w:hideMark/>
          </w:tcPr>
          <w:p w14:paraId="465FF88A" w14:textId="77777777" w:rsidR="008F6BC1" w:rsidRPr="008F6BC1" w:rsidRDefault="008F6BC1" w:rsidP="00E47AD4">
            <w:pPr>
              <w:rPr>
                <w:rFonts w:cs="Times New Roman"/>
                <w:sz w:val="18"/>
                <w:szCs w:val="18"/>
              </w:rPr>
            </w:pPr>
            <w:r w:rsidRPr="008F6BC1">
              <w:rPr>
                <w:rFonts w:cs="Times New Roman"/>
                <w:sz w:val="18"/>
                <w:szCs w:val="18"/>
              </w:rPr>
              <w:t xml:space="preserve">Improved communication of PFM reforms </w:t>
            </w:r>
          </w:p>
        </w:tc>
        <w:tc>
          <w:tcPr>
            <w:tcW w:w="1080" w:type="dxa"/>
            <w:hideMark/>
          </w:tcPr>
          <w:p w14:paraId="6ACE93FB" w14:textId="77777777" w:rsidR="008F6BC1" w:rsidRPr="008F6BC1" w:rsidRDefault="008F6BC1" w:rsidP="00E47AD4">
            <w:pPr>
              <w:rPr>
                <w:rFonts w:cs="Times New Roman"/>
                <w:sz w:val="18"/>
                <w:szCs w:val="18"/>
              </w:rPr>
            </w:pPr>
            <w:r w:rsidRPr="008F6BC1">
              <w:rPr>
                <w:rFonts w:cs="Times New Roman"/>
                <w:sz w:val="18"/>
                <w:szCs w:val="18"/>
              </w:rPr>
              <w:t>Text</w:t>
            </w:r>
          </w:p>
        </w:tc>
        <w:tc>
          <w:tcPr>
            <w:tcW w:w="1792" w:type="dxa"/>
            <w:hideMark/>
          </w:tcPr>
          <w:p w14:paraId="120FF9D3" w14:textId="77777777" w:rsidR="008F6BC1" w:rsidRPr="008F6BC1" w:rsidRDefault="008F6BC1" w:rsidP="00E47AD4">
            <w:pPr>
              <w:rPr>
                <w:rFonts w:cs="Times New Roman"/>
                <w:sz w:val="18"/>
                <w:szCs w:val="18"/>
              </w:rPr>
            </w:pPr>
            <w:r w:rsidRPr="008F6BC1">
              <w:rPr>
                <w:rFonts w:cs="Times New Roman"/>
                <w:sz w:val="18"/>
                <w:szCs w:val="18"/>
              </w:rPr>
              <w:t>No PFM communication strategy</w:t>
            </w:r>
          </w:p>
        </w:tc>
        <w:tc>
          <w:tcPr>
            <w:tcW w:w="1345" w:type="dxa"/>
            <w:hideMark/>
          </w:tcPr>
          <w:p w14:paraId="09EFCE06" w14:textId="77777777" w:rsidR="008F6BC1" w:rsidRPr="008F6BC1" w:rsidRDefault="008F6BC1" w:rsidP="00E47AD4">
            <w:pPr>
              <w:rPr>
                <w:rFonts w:cs="Times New Roman"/>
                <w:sz w:val="18"/>
                <w:szCs w:val="18"/>
              </w:rPr>
            </w:pPr>
            <w:r w:rsidRPr="008F6BC1">
              <w:rPr>
                <w:rFonts w:cs="Times New Roman"/>
                <w:sz w:val="18"/>
                <w:szCs w:val="18"/>
              </w:rPr>
              <w:t>Communication strategy exists</w:t>
            </w:r>
            <w:r w:rsidRPr="008F6BC1">
              <w:rPr>
                <w:rFonts w:cs="Times New Roman"/>
                <w:sz w:val="18"/>
                <w:szCs w:val="18"/>
              </w:rPr>
              <w:br/>
            </w:r>
            <w:r w:rsidRPr="008F6BC1">
              <w:rPr>
                <w:rFonts w:cs="Times New Roman"/>
                <w:sz w:val="18"/>
                <w:szCs w:val="18"/>
              </w:rPr>
              <w:br/>
              <w:t>All planned consultation workshops held for legal and business process review</w:t>
            </w:r>
            <w:r w:rsidRPr="008F6BC1">
              <w:rPr>
                <w:rFonts w:cs="Times New Roman"/>
                <w:sz w:val="18"/>
                <w:szCs w:val="18"/>
              </w:rPr>
              <w:br/>
            </w:r>
            <w:r w:rsidRPr="008F6BC1">
              <w:rPr>
                <w:rFonts w:cs="Times New Roman"/>
                <w:sz w:val="18"/>
                <w:szCs w:val="18"/>
              </w:rPr>
              <w:br/>
              <w:t>Fifteen change management workshops for key stakeholders held in total by end of FY5.</w:t>
            </w:r>
            <w:r w:rsidRPr="008F6BC1">
              <w:rPr>
                <w:rFonts w:cs="Times New Roman"/>
                <w:sz w:val="18"/>
                <w:szCs w:val="18"/>
              </w:rPr>
              <w:br/>
              <w:t>stakeholders held in total by end of FY5.</w:t>
            </w:r>
          </w:p>
        </w:tc>
        <w:tc>
          <w:tcPr>
            <w:tcW w:w="1093" w:type="dxa"/>
            <w:hideMark/>
          </w:tcPr>
          <w:p w14:paraId="4FBF82C3" w14:textId="77777777" w:rsidR="008F6BC1" w:rsidRPr="008F6BC1" w:rsidRDefault="008F6BC1" w:rsidP="00E47AD4">
            <w:pPr>
              <w:rPr>
                <w:rFonts w:cs="Times New Roman"/>
                <w:sz w:val="18"/>
                <w:szCs w:val="18"/>
              </w:rPr>
            </w:pPr>
            <w:r w:rsidRPr="008F6BC1">
              <w:rPr>
                <w:rFonts w:cs="Times New Roman"/>
                <w:sz w:val="18"/>
                <w:szCs w:val="18"/>
              </w:rPr>
              <w:t>Change management strategy with a Communication plan. The change management strategy is yet to be developed and will be submitted by November 18, 2019</w:t>
            </w:r>
          </w:p>
        </w:tc>
        <w:tc>
          <w:tcPr>
            <w:tcW w:w="866" w:type="dxa"/>
            <w:hideMark/>
          </w:tcPr>
          <w:p w14:paraId="010850BB" w14:textId="77777777" w:rsidR="008F6BC1" w:rsidRPr="008F6BC1" w:rsidRDefault="008F6BC1" w:rsidP="00E47AD4">
            <w:pPr>
              <w:rPr>
                <w:rFonts w:cs="Times New Roman"/>
                <w:sz w:val="18"/>
                <w:szCs w:val="18"/>
              </w:rPr>
            </w:pPr>
            <w:r w:rsidRPr="008F6BC1">
              <w:rPr>
                <w:rFonts w:cs="Times New Roman"/>
                <w:sz w:val="18"/>
                <w:szCs w:val="18"/>
              </w:rPr>
              <w:t> </w:t>
            </w:r>
          </w:p>
        </w:tc>
        <w:tc>
          <w:tcPr>
            <w:tcW w:w="2284" w:type="dxa"/>
            <w:noWrap/>
            <w:hideMark/>
          </w:tcPr>
          <w:p w14:paraId="370DB9E6" w14:textId="77777777" w:rsidR="008F6BC1" w:rsidRPr="008F6BC1" w:rsidRDefault="008F6BC1" w:rsidP="00E47AD4">
            <w:pPr>
              <w:rPr>
                <w:rFonts w:cs="Times New Roman"/>
                <w:sz w:val="18"/>
                <w:szCs w:val="18"/>
              </w:rPr>
            </w:pPr>
            <w:r w:rsidRPr="008F6BC1">
              <w:rPr>
                <w:rFonts w:cs="Times New Roman"/>
                <w:sz w:val="18"/>
                <w:szCs w:val="18"/>
              </w:rPr>
              <w:t> </w:t>
            </w:r>
          </w:p>
        </w:tc>
      </w:tr>
    </w:tbl>
    <w:p w14:paraId="22CAB331" w14:textId="77777777" w:rsidR="008F6BC1" w:rsidRDefault="008F6BC1" w:rsidP="003925CE">
      <w:pPr>
        <w:jc w:val="center"/>
        <w:rPr>
          <w:rFonts w:eastAsia="Calibri" w:cs="Times New Roman"/>
          <w:szCs w:val="24"/>
        </w:rPr>
      </w:pPr>
    </w:p>
    <w:p w14:paraId="27B48D67" w14:textId="77777777" w:rsidR="00F7126B" w:rsidRDefault="00F7126B" w:rsidP="003925CE">
      <w:pPr>
        <w:jc w:val="center"/>
        <w:rPr>
          <w:rFonts w:eastAsia="Calibri" w:cs="Times New Roman"/>
          <w:szCs w:val="24"/>
        </w:rPr>
        <w:sectPr w:rsidR="00F7126B" w:rsidSect="00C463DC">
          <w:footerReference w:type="default" r:id="rId43"/>
          <w:pgSz w:w="12240" w:h="15840"/>
          <w:pgMar w:top="1440" w:right="1440" w:bottom="1440" w:left="1440" w:header="720" w:footer="720" w:gutter="0"/>
          <w:cols w:space="720"/>
          <w:docGrid w:linePitch="360"/>
        </w:sectPr>
      </w:pPr>
    </w:p>
    <w:p w14:paraId="7AFA9C48" w14:textId="7A6CAF53" w:rsidR="00A23562" w:rsidRPr="008E07B0" w:rsidRDefault="008F6BC1" w:rsidP="008E07B0">
      <w:pPr>
        <w:spacing w:after="0"/>
        <w:jc w:val="center"/>
        <w:rPr>
          <w:rFonts w:eastAsia="Calibri" w:cs="Times New Roman"/>
          <w:b/>
          <w:szCs w:val="24"/>
        </w:rPr>
      </w:pPr>
      <w:r w:rsidRPr="008E07B0">
        <w:rPr>
          <w:rFonts w:eastAsia="Calibri" w:cs="Times New Roman"/>
          <w:b/>
          <w:szCs w:val="24"/>
        </w:rPr>
        <w:t xml:space="preserve">Table 2: </w:t>
      </w:r>
      <w:r w:rsidR="00A23562" w:rsidRPr="008E07B0">
        <w:rPr>
          <w:rFonts w:eastAsia="Calibri" w:cs="Times New Roman"/>
          <w:b/>
          <w:szCs w:val="24"/>
        </w:rPr>
        <w:t>DLIs</w:t>
      </w:r>
    </w:p>
    <w:tbl>
      <w:tblPr>
        <w:tblW w:w="13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9"/>
        <w:gridCol w:w="1511"/>
        <w:gridCol w:w="1620"/>
        <w:gridCol w:w="1975"/>
        <w:gridCol w:w="1980"/>
        <w:gridCol w:w="1530"/>
        <w:gridCol w:w="3177"/>
      </w:tblGrid>
      <w:tr w:rsidR="00F7126B" w:rsidRPr="0042034A" w14:paraId="13E9719B" w14:textId="77777777" w:rsidTr="002C6BA3">
        <w:trPr>
          <w:trHeight w:val="437"/>
          <w:tblHeader/>
          <w:jc w:val="center"/>
        </w:trPr>
        <w:tc>
          <w:tcPr>
            <w:tcW w:w="1819" w:type="dxa"/>
            <w:tcBorders>
              <w:bottom w:val="single" w:sz="4" w:space="0" w:color="auto"/>
            </w:tcBorders>
            <w:shd w:val="clear" w:color="auto" w:fill="FFFFFF" w:themeFill="background1"/>
            <w:vAlign w:val="center"/>
            <w:hideMark/>
          </w:tcPr>
          <w:p w14:paraId="4DEBB6B0" w14:textId="77777777" w:rsidR="00F7126B" w:rsidRPr="0042034A" w:rsidRDefault="00F7126B" w:rsidP="002C6BA3">
            <w:pPr>
              <w:spacing w:after="120"/>
              <w:jc w:val="center"/>
              <w:rPr>
                <w:rFonts w:eastAsia="Times New Roman" w:cs="Times New Roman"/>
                <w:b/>
                <w:sz w:val="20"/>
                <w:szCs w:val="20"/>
              </w:rPr>
            </w:pPr>
            <w:r w:rsidRPr="0042034A">
              <w:rPr>
                <w:rFonts w:eastAsia="Times New Roman" w:cs="Times New Roman"/>
                <w:b/>
                <w:bCs/>
                <w:sz w:val="20"/>
                <w:szCs w:val="20"/>
              </w:rPr>
              <w:t>DLI Indicators</w:t>
            </w:r>
          </w:p>
        </w:tc>
        <w:tc>
          <w:tcPr>
            <w:tcW w:w="1511" w:type="dxa"/>
            <w:tcBorders>
              <w:bottom w:val="single" w:sz="4" w:space="0" w:color="auto"/>
            </w:tcBorders>
            <w:shd w:val="clear" w:color="auto" w:fill="FFFFFF" w:themeFill="background1"/>
            <w:vAlign w:val="center"/>
            <w:hideMark/>
          </w:tcPr>
          <w:p w14:paraId="66CC6AA8" w14:textId="77777777" w:rsidR="00F7126B" w:rsidRPr="0042034A" w:rsidRDefault="00F7126B" w:rsidP="002C6BA3">
            <w:pPr>
              <w:spacing w:after="120"/>
              <w:jc w:val="center"/>
              <w:rPr>
                <w:rFonts w:eastAsia="Times New Roman" w:cs="Times New Roman"/>
                <w:b/>
                <w:sz w:val="20"/>
                <w:szCs w:val="20"/>
              </w:rPr>
            </w:pPr>
            <w:r w:rsidRPr="0042034A">
              <w:rPr>
                <w:rFonts w:eastAsia="Times New Roman" w:cs="Times New Roman"/>
                <w:b/>
                <w:bCs/>
                <w:sz w:val="20"/>
                <w:szCs w:val="20"/>
              </w:rPr>
              <w:t>Baseline</w:t>
            </w:r>
          </w:p>
        </w:tc>
        <w:tc>
          <w:tcPr>
            <w:tcW w:w="1620" w:type="dxa"/>
            <w:tcBorders>
              <w:bottom w:val="single" w:sz="4" w:space="0" w:color="auto"/>
            </w:tcBorders>
            <w:shd w:val="clear" w:color="auto" w:fill="FFFFFF" w:themeFill="background1"/>
            <w:vAlign w:val="center"/>
          </w:tcPr>
          <w:p w14:paraId="4B249E60" w14:textId="77777777" w:rsidR="00F7126B" w:rsidRPr="0042034A" w:rsidRDefault="00F7126B" w:rsidP="002C6BA3">
            <w:pPr>
              <w:spacing w:after="120"/>
              <w:jc w:val="center"/>
              <w:rPr>
                <w:rFonts w:eastAsia="Times New Roman" w:cs="Times New Roman"/>
                <w:b/>
                <w:sz w:val="20"/>
                <w:szCs w:val="20"/>
              </w:rPr>
            </w:pPr>
            <w:r w:rsidRPr="0042034A">
              <w:rPr>
                <w:rFonts w:eastAsia="Times New Roman" w:cs="Times New Roman"/>
                <w:b/>
                <w:bCs/>
                <w:sz w:val="20"/>
                <w:szCs w:val="20"/>
              </w:rPr>
              <w:t>Results to be achieved by June 30, 2018</w:t>
            </w:r>
          </w:p>
        </w:tc>
        <w:tc>
          <w:tcPr>
            <w:tcW w:w="1975" w:type="dxa"/>
            <w:tcBorders>
              <w:bottom w:val="single" w:sz="4" w:space="0" w:color="auto"/>
            </w:tcBorders>
            <w:shd w:val="clear" w:color="auto" w:fill="FFFFFF" w:themeFill="background1"/>
            <w:vAlign w:val="center"/>
          </w:tcPr>
          <w:p w14:paraId="56DC9F91" w14:textId="77777777" w:rsidR="00F7126B" w:rsidRPr="0042034A" w:rsidRDefault="00F7126B" w:rsidP="002C6BA3">
            <w:pPr>
              <w:spacing w:after="120"/>
              <w:jc w:val="center"/>
              <w:rPr>
                <w:rFonts w:eastAsia="Times New Roman" w:cs="Times New Roman"/>
                <w:b/>
                <w:sz w:val="20"/>
                <w:szCs w:val="20"/>
              </w:rPr>
            </w:pPr>
            <w:r w:rsidRPr="0042034A">
              <w:rPr>
                <w:rFonts w:eastAsia="Times New Roman" w:cs="Times New Roman"/>
                <w:b/>
                <w:bCs/>
                <w:sz w:val="20"/>
                <w:szCs w:val="20"/>
              </w:rPr>
              <w:t>Results to be achieved by June 30, 2019</w:t>
            </w:r>
          </w:p>
        </w:tc>
        <w:tc>
          <w:tcPr>
            <w:tcW w:w="1980" w:type="dxa"/>
            <w:tcBorders>
              <w:bottom w:val="single" w:sz="4" w:space="0" w:color="auto"/>
            </w:tcBorders>
            <w:shd w:val="clear" w:color="auto" w:fill="FFFFFF" w:themeFill="background1"/>
            <w:vAlign w:val="center"/>
          </w:tcPr>
          <w:p w14:paraId="68E25D95" w14:textId="77777777" w:rsidR="00F7126B" w:rsidRPr="0042034A" w:rsidRDefault="00F7126B" w:rsidP="002C6BA3">
            <w:pPr>
              <w:spacing w:after="120"/>
              <w:jc w:val="center"/>
              <w:rPr>
                <w:rFonts w:eastAsia="Times New Roman" w:cs="Times New Roman"/>
                <w:b/>
                <w:sz w:val="20"/>
                <w:szCs w:val="20"/>
              </w:rPr>
            </w:pPr>
            <w:r w:rsidRPr="0042034A">
              <w:rPr>
                <w:rFonts w:eastAsia="Times New Roman" w:cs="Times New Roman"/>
                <w:b/>
                <w:bCs/>
                <w:sz w:val="20"/>
                <w:szCs w:val="20"/>
              </w:rPr>
              <w:t>Results to be achieved by June 30, 2020</w:t>
            </w:r>
          </w:p>
        </w:tc>
        <w:tc>
          <w:tcPr>
            <w:tcW w:w="1530" w:type="dxa"/>
            <w:tcBorders>
              <w:bottom w:val="single" w:sz="4" w:space="0" w:color="auto"/>
            </w:tcBorders>
            <w:shd w:val="clear" w:color="auto" w:fill="FFFFFF" w:themeFill="background1"/>
            <w:vAlign w:val="center"/>
          </w:tcPr>
          <w:p w14:paraId="4F2D0A26" w14:textId="77777777" w:rsidR="00F7126B" w:rsidRPr="0042034A" w:rsidRDefault="00F7126B" w:rsidP="002C6BA3">
            <w:pPr>
              <w:spacing w:after="120"/>
              <w:jc w:val="center"/>
              <w:rPr>
                <w:rFonts w:eastAsia="Times New Roman" w:cs="Times New Roman"/>
                <w:b/>
                <w:sz w:val="20"/>
                <w:szCs w:val="20"/>
              </w:rPr>
            </w:pPr>
            <w:r w:rsidRPr="0042034A">
              <w:rPr>
                <w:rFonts w:eastAsia="Times New Roman" w:cs="Times New Roman"/>
                <w:b/>
                <w:bCs/>
                <w:sz w:val="20"/>
                <w:szCs w:val="20"/>
              </w:rPr>
              <w:t>Results to be achieved by June 30, 2021</w:t>
            </w:r>
          </w:p>
        </w:tc>
        <w:tc>
          <w:tcPr>
            <w:tcW w:w="3177" w:type="dxa"/>
            <w:tcBorders>
              <w:bottom w:val="single" w:sz="4" w:space="0" w:color="auto"/>
            </w:tcBorders>
            <w:shd w:val="clear" w:color="auto" w:fill="FFFFFF" w:themeFill="background1"/>
            <w:vAlign w:val="center"/>
          </w:tcPr>
          <w:p w14:paraId="0DEB38A9" w14:textId="77777777" w:rsidR="00F7126B" w:rsidRPr="0042034A" w:rsidRDefault="00F7126B" w:rsidP="002C6BA3">
            <w:pPr>
              <w:spacing w:after="120"/>
              <w:jc w:val="center"/>
              <w:rPr>
                <w:rFonts w:eastAsia="Times New Roman" w:cs="Times New Roman"/>
                <w:b/>
                <w:bCs/>
                <w:sz w:val="20"/>
                <w:szCs w:val="20"/>
              </w:rPr>
            </w:pPr>
            <w:r w:rsidRPr="0042034A">
              <w:rPr>
                <w:rFonts w:eastAsia="Times New Roman" w:cs="Times New Roman"/>
                <w:b/>
                <w:bCs/>
                <w:sz w:val="20"/>
                <w:szCs w:val="20"/>
              </w:rPr>
              <w:t>Status Update</w:t>
            </w:r>
          </w:p>
        </w:tc>
      </w:tr>
      <w:tr w:rsidR="00F7126B" w:rsidRPr="0042034A" w14:paraId="1C858C9B" w14:textId="77777777" w:rsidTr="002C6BA3">
        <w:trPr>
          <w:trHeight w:val="2096"/>
          <w:jc w:val="center"/>
        </w:trPr>
        <w:tc>
          <w:tcPr>
            <w:tcW w:w="1819" w:type="dxa"/>
            <w:shd w:val="clear" w:color="auto" w:fill="auto"/>
          </w:tcPr>
          <w:p w14:paraId="7DB80259" w14:textId="77777777" w:rsidR="00F7126B" w:rsidRPr="0042034A" w:rsidRDefault="00F7126B" w:rsidP="002C6BA3">
            <w:pPr>
              <w:spacing w:after="120"/>
              <w:rPr>
                <w:rFonts w:eastAsia="Times New Roman" w:cs="Times New Roman"/>
                <w:sz w:val="20"/>
                <w:szCs w:val="20"/>
              </w:rPr>
            </w:pPr>
            <w:r w:rsidRPr="0042034A">
              <w:rPr>
                <w:rFonts w:eastAsia="Times New Roman" w:cs="Times New Roman"/>
                <w:sz w:val="20"/>
                <w:szCs w:val="20"/>
                <w:highlight w:val="cyan"/>
              </w:rPr>
              <w:t>DLI # 1</w:t>
            </w:r>
            <w:r w:rsidRPr="0042034A">
              <w:rPr>
                <w:rFonts w:eastAsia="Times New Roman" w:cs="Times New Roman"/>
                <w:sz w:val="20"/>
                <w:szCs w:val="20"/>
              </w:rPr>
              <w:t xml:space="preserve">: Increased sustainability of PFM reforms and key </w:t>
            </w:r>
            <w:proofErr w:type="spellStart"/>
            <w:r w:rsidRPr="0042034A">
              <w:rPr>
                <w:rFonts w:eastAsia="Times New Roman" w:cs="Times New Roman"/>
                <w:sz w:val="20"/>
                <w:szCs w:val="20"/>
              </w:rPr>
              <w:t>MoFT</w:t>
            </w:r>
            <w:proofErr w:type="spellEnd"/>
            <w:r w:rsidRPr="0042034A">
              <w:rPr>
                <w:rFonts w:eastAsia="Times New Roman" w:cs="Times New Roman"/>
                <w:sz w:val="20"/>
                <w:szCs w:val="20"/>
              </w:rPr>
              <w:t xml:space="preserve"> functions through establishment of a PFDS.</w:t>
            </w:r>
          </w:p>
        </w:tc>
        <w:tc>
          <w:tcPr>
            <w:tcW w:w="1511" w:type="dxa"/>
            <w:shd w:val="clear" w:color="auto" w:fill="auto"/>
          </w:tcPr>
          <w:p w14:paraId="173F15A2" w14:textId="77777777" w:rsidR="00F7126B" w:rsidRPr="0042034A" w:rsidRDefault="00F7126B" w:rsidP="002C6BA3">
            <w:pPr>
              <w:spacing w:after="120"/>
              <w:rPr>
                <w:rFonts w:eastAsia="Times New Roman" w:cs="Times New Roman"/>
                <w:sz w:val="20"/>
                <w:szCs w:val="20"/>
              </w:rPr>
            </w:pPr>
            <w:r w:rsidRPr="0042034A">
              <w:rPr>
                <w:rFonts w:eastAsia="Times New Roman" w:cs="Times New Roman"/>
                <w:sz w:val="20"/>
                <w:szCs w:val="20"/>
              </w:rPr>
              <w:t>No PFDS established. Ongoing hemorrhage of key personnel.</w:t>
            </w:r>
          </w:p>
        </w:tc>
        <w:tc>
          <w:tcPr>
            <w:tcW w:w="1620" w:type="dxa"/>
            <w:shd w:val="clear" w:color="auto" w:fill="auto"/>
          </w:tcPr>
          <w:p w14:paraId="6A2DA0B8" w14:textId="5249EE6B" w:rsidR="00F7126B" w:rsidRDefault="00F7126B" w:rsidP="002C6BA3">
            <w:pPr>
              <w:spacing w:after="120"/>
              <w:rPr>
                <w:rFonts w:eastAsia="Times New Roman" w:cs="Times New Roman"/>
                <w:sz w:val="20"/>
                <w:szCs w:val="20"/>
              </w:rPr>
            </w:pPr>
            <w:r w:rsidRPr="0042034A">
              <w:rPr>
                <w:rFonts w:eastAsia="Times New Roman" w:cs="Times New Roman"/>
                <w:sz w:val="20"/>
                <w:szCs w:val="20"/>
              </w:rPr>
              <w:t>Governance structure and organogram of the PFDS has been approved by Decision of the Minister of Finance.</w:t>
            </w:r>
          </w:p>
          <w:p w14:paraId="737BADE0" w14:textId="77777777" w:rsidR="00F7126B" w:rsidRPr="0042034A" w:rsidRDefault="00F7126B" w:rsidP="002C6BA3">
            <w:pPr>
              <w:spacing w:after="120"/>
              <w:rPr>
                <w:rFonts w:eastAsia="Times New Roman" w:cs="Times New Roman"/>
                <w:sz w:val="20"/>
                <w:szCs w:val="20"/>
              </w:rPr>
            </w:pPr>
          </w:p>
          <w:p w14:paraId="6ACA4DF4" w14:textId="77777777" w:rsidR="00F7126B" w:rsidRPr="0042034A" w:rsidRDefault="00F7126B" w:rsidP="002C6BA3">
            <w:pPr>
              <w:spacing w:after="120"/>
              <w:rPr>
                <w:rFonts w:eastAsia="Times New Roman" w:cs="Times New Roman"/>
                <w:sz w:val="20"/>
                <w:szCs w:val="20"/>
              </w:rPr>
            </w:pPr>
          </w:p>
          <w:p w14:paraId="6E1D72EA" w14:textId="77777777" w:rsidR="00F7126B" w:rsidRPr="0042034A" w:rsidRDefault="00F7126B" w:rsidP="002C6BA3">
            <w:pPr>
              <w:spacing w:after="120"/>
              <w:rPr>
                <w:rFonts w:eastAsia="Times New Roman" w:cs="Times New Roman"/>
                <w:sz w:val="20"/>
                <w:szCs w:val="20"/>
              </w:rPr>
            </w:pPr>
          </w:p>
          <w:p w14:paraId="7ACE5CC9" w14:textId="77777777" w:rsidR="00F7126B" w:rsidRPr="0042034A" w:rsidRDefault="00F7126B" w:rsidP="002C6BA3">
            <w:pPr>
              <w:spacing w:after="120"/>
              <w:rPr>
                <w:rFonts w:eastAsia="Times New Roman" w:cs="Times New Roman"/>
                <w:sz w:val="20"/>
                <w:szCs w:val="20"/>
              </w:rPr>
            </w:pPr>
          </w:p>
          <w:p w14:paraId="59CA8CDE" w14:textId="77777777" w:rsidR="00F7126B" w:rsidRPr="0042034A" w:rsidRDefault="00F7126B" w:rsidP="002C6BA3">
            <w:pPr>
              <w:spacing w:after="120"/>
              <w:rPr>
                <w:rFonts w:eastAsia="Times New Roman" w:cs="Times New Roman"/>
                <w:sz w:val="20"/>
                <w:szCs w:val="20"/>
              </w:rPr>
            </w:pPr>
          </w:p>
          <w:p w14:paraId="4A8B189C" w14:textId="77777777" w:rsidR="00F7126B" w:rsidRPr="0042034A" w:rsidRDefault="00F7126B" w:rsidP="002C6BA3">
            <w:pPr>
              <w:spacing w:after="120"/>
              <w:rPr>
                <w:rFonts w:eastAsia="Times New Roman" w:cs="Times New Roman"/>
                <w:sz w:val="20"/>
                <w:szCs w:val="20"/>
              </w:rPr>
            </w:pPr>
          </w:p>
          <w:p w14:paraId="553BEB18" w14:textId="77777777" w:rsidR="00F7126B" w:rsidRPr="0042034A" w:rsidRDefault="00F7126B" w:rsidP="002C6BA3">
            <w:pPr>
              <w:spacing w:after="120"/>
              <w:rPr>
                <w:rFonts w:eastAsia="Times New Roman" w:cs="Times New Roman"/>
                <w:sz w:val="20"/>
                <w:szCs w:val="20"/>
              </w:rPr>
            </w:pPr>
          </w:p>
          <w:p w14:paraId="76B6CA10" w14:textId="77777777" w:rsidR="00F7126B" w:rsidRPr="0042034A" w:rsidRDefault="00F7126B" w:rsidP="002C6BA3">
            <w:pPr>
              <w:spacing w:after="120"/>
              <w:rPr>
                <w:rFonts w:eastAsia="Times New Roman" w:cs="Times New Roman"/>
                <w:sz w:val="20"/>
                <w:szCs w:val="20"/>
              </w:rPr>
            </w:pPr>
          </w:p>
          <w:p w14:paraId="5D72B98D" w14:textId="77777777" w:rsidR="00F7126B" w:rsidRPr="0042034A" w:rsidRDefault="00F7126B" w:rsidP="002C6BA3">
            <w:pPr>
              <w:spacing w:after="120"/>
              <w:rPr>
                <w:rFonts w:eastAsia="Times New Roman" w:cs="Times New Roman"/>
                <w:sz w:val="20"/>
                <w:szCs w:val="20"/>
              </w:rPr>
            </w:pPr>
          </w:p>
        </w:tc>
        <w:tc>
          <w:tcPr>
            <w:tcW w:w="1975" w:type="dxa"/>
            <w:shd w:val="clear" w:color="auto" w:fill="auto"/>
            <w:noWrap/>
          </w:tcPr>
          <w:p w14:paraId="15454C3D" w14:textId="61FF5047" w:rsidR="00F7126B" w:rsidRPr="0042034A" w:rsidRDefault="00F7126B" w:rsidP="002C6BA3">
            <w:pPr>
              <w:spacing w:after="120"/>
              <w:rPr>
                <w:rFonts w:eastAsia="Times New Roman" w:cs="Times New Roman"/>
                <w:sz w:val="20"/>
                <w:szCs w:val="20"/>
              </w:rPr>
            </w:pPr>
            <w:r w:rsidRPr="0042034A">
              <w:rPr>
                <w:rFonts w:eastAsia="Times New Roman" w:cs="Times New Roman"/>
                <w:sz w:val="20"/>
                <w:szCs w:val="20"/>
              </w:rPr>
              <w:t xml:space="preserve">10 out of the 16 vacant PFDS positions are filled based on job descriptions and in a transparent manner.  </w:t>
            </w:r>
          </w:p>
          <w:p w14:paraId="1E8A76DC" w14:textId="77777777" w:rsidR="00F7126B" w:rsidRPr="0042034A" w:rsidRDefault="00F7126B" w:rsidP="002C6BA3">
            <w:pPr>
              <w:spacing w:after="120"/>
              <w:rPr>
                <w:rFonts w:eastAsia="Times New Roman" w:cs="Times New Roman"/>
                <w:sz w:val="20"/>
                <w:szCs w:val="20"/>
              </w:rPr>
            </w:pPr>
          </w:p>
          <w:p w14:paraId="40FEA053" w14:textId="77777777" w:rsidR="00F7126B" w:rsidRPr="0042034A" w:rsidRDefault="00F7126B" w:rsidP="002C6BA3">
            <w:pPr>
              <w:spacing w:after="120"/>
              <w:rPr>
                <w:rFonts w:eastAsia="Times New Roman" w:cs="Times New Roman"/>
                <w:sz w:val="20"/>
                <w:szCs w:val="20"/>
              </w:rPr>
            </w:pPr>
          </w:p>
          <w:p w14:paraId="03597828" w14:textId="77777777" w:rsidR="00F7126B" w:rsidRPr="0042034A" w:rsidRDefault="00F7126B" w:rsidP="002C6BA3">
            <w:pPr>
              <w:spacing w:after="120"/>
              <w:rPr>
                <w:rFonts w:eastAsia="Times New Roman" w:cs="Times New Roman"/>
                <w:sz w:val="20"/>
                <w:szCs w:val="20"/>
              </w:rPr>
            </w:pPr>
          </w:p>
          <w:p w14:paraId="1A634E81" w14:textId="77777777" w:rsidR="00F7126B" w:rsidRPr="0042034A" w:rsidRDefault="00F7126B" w:rsidP="002C6BA3">
            <w:pPr>
              <w:spacing w:after="120"/>
              <w:rPr>
                <w:rFonts w:eastAsia="Times New Roman" w:cs="Times New Roman"/>
                <w:sz w:val="20"/>
                <w:szCs w:val="20"/>
              </w:rPr>
            </w:pPr>
          </w:p>
          <w:p w14:paraId="6EC778A3" w14:textId="31F7B217" w:rsidR="00F7126B" w:rsidRPr="0042034A" w:rsidRDefault="00F7126B" w:rsidP="002C6BA3">
            <w:pPr>
              <w:spacing w:after="120"/>
              <w:rPr>
                <w:rFonts w:eastAsia="Times New Roman" w:cs="Times New Roman"/>
                <w:sz w:val="20"/>
                <w:szCs w:val="20"/>
              </w:rPr>
            </w:pPr>
            <w:r w:rsidRPr="0042034A">
              <w:rPr>
                <w:rFonts w:eastAsia="Times New Roman" w:cs="Times New Roman"/>
                <w:sz w:val="20"/>
                <w:szCs w:val="20"/>
              </w:rPr>
              <w:t>Formula:  SDR 240,000 once at least 10 of the 16 vacancies are fulfilled and SDR 18333.33 for every additional vacancy filled in the PFDS thereafter.</w:t>
            </w:r>
          </w:p>
        </w:tc>
        <w:tc>
          <w:tcPr>
            <w:tcW w:w="1980" w:type="dxa"/>
            <w:shd w:val="clear" w:color="auto" w:fill="auto"/>
            <w:noWrap/>
          </w:tcPr>
          <w:p w14:paraId="756BF3E2" w14:textId="77777777" w:rsidR="00F7126B" w:rsidRPr="0042034A" w:rsidRDefault="00F7126B" w:rsidP="002C6BA3">
            <w:pPr>
              <w:spacing w:after="120"/>
              <w:rPr>
                <w:rFonts w:eastAsia="Times New Roman" w:cs="Times New Roman"/>
                <w:sz w:val="20"/>
                <w:szCs w:val="20"/>
              </w:rPr>
            </w:pPr>
            <w:r w:rsidRPr="0042034A">
              <w:rPr>
                <w:rFonts w:eastAsia="Times New Roman" w:cs="Times New Roman"/>
                <w:sz w:val="20"/>
                <w:szCs w:val="20"/>
              </w:rPr>
              <w:t xml:space="preserve">2019 PFDS performance report, including client/ beneficiary feedback is published on </w:t>
            </w:r>
            <w:proofErr w:type="spellStart"/>
            <w:r w:rsidRPr="0042034A">
              <w:rPr>
                <w:rFonts w:eastAsia="Times New Roman" w:cs="Times New Roman"/>
                <w:sz w:val="20"/>
                <w:szCs w:val="20"/>
              </w:rPr>
              <w:t>MoFT</w:t>
            </w:r>
            <w:proofErr w:type="spellEnd"/>
            <w:r w:rsidRPr="0042034A">
              <w:rPr>
                <w:rFonts w:eastAsia="Times New Roman" w:cs="Times New Roman"/>
                <w:sz w:val="20"/>
                <w:szCs w:val="20"/>
              </w:rPr>
              <w:t xml:space="preserve"> website. </w:t>
            </w:r>
          </w:p>
        </w:tc>
        <w:tc>
          <w:tcPr>
            <w:tcW w:w="1530" w:type="dxa"/>
            <w:shd w:val="clear" w:color="auto" w:fill="D9D9D9" w:themeFill="background1" w:themeFillShade="D9"/>
            <w:noWrap/>
          </w:tcPr>
          <w:p w14:paraId="497809E1" w14:textId="77777777" w:rsidR="00F7126B" w:rsidRPr="0042034A" w:rsidRDefault="00F7126B" w:rsidP="002C6BA3">
            <w:pPr>
              <w:spacing w:after="120"/>
              <w:rPr>
                <w:rFonts w:eastAsia="Times New Roman" w:cs="Times New Roman"/>
                <w:sz w:val="20"/>
                <w:szCs w:val="20"/>
              </w:rPr>
            </w:pPr>
            <w:r w:rsidRPr="0042034A">
              <w:rPr>
                <w:rFonts w:eastAsia="Times New Roman" w:cs="Times New Roman"/>
                <w:sz w:val="20"/>
                <w:szCs w:val="20"/>
              </w:rPr>
              <w:t>N.A.</w:t>
            </w:r>
          </w:p>
        </w:tc>
        <w:tc>
          <w:tcPr>
            <w:tcW w:w="3177" w:type="dxa"/>
            <w:shd w:val="clear" w:color="auto" w:fill="auto"/>
          </w:tcPr>
          <w:p w14:paraId="1D1FE26B" w14:textId="77777777" w:rsidR="00F7126B" w:rsidRPr="0042034A" w:rsidRDefault="00F7126B" w:rsidP="00F7126B">
            <w:pPr>
              <w:pStyle w:val="ListParagraph"/>
              <w:numPr>
                <w:ilvl w:val="0"/>
                <w:numId w:val="13"/>
              </w:numPr>
              <w:spacing w:after="120"/>
              <w:ind w:left="314"/>
              <w:rPr>
                <w:rFonts w:eastAsia="Times New Roman" w:cs="Times New Roman"/>
                <w:sz w:val="20"/>
                <w:szCs w:val="20"/>
              </w:rPr>
            </w:pPr>
            <w:r w:rsidRPr="0042034A">
              <w:rPr>
                <w:rFonts w:eastAsia="Times New Roman" w:cs="Times New Roman"/>
                <w:sz w:val="20"/>
                <w:szCs w:val="20"/>
              </w:rPr>
              <w:t>PFDS was formed by Ministerial decision on 7</w:t>
            </w:r>
            <w:r w:rsidRPr="0042034A">
              <w:rPr>
                <w:rFonts w:eastAsia="Times New Roman" w:cs="Times New Roman"/>
                <w:sz w:val="20"/>
                <w:szCs w:val="20"/>
                <w:vertAlign w:val="superscript"/>
              </w:rPr>
              <w:t>th</w:t>
            </w:r>
            <w:r w:rsidRPr="0042034A">
              <w:rPr>
                <w:rFonts w:eastAsia="Times New Roman" w:cs="Times New Roman"/>
                <w:sz w:val="20"/>
                <w:szCs w:val="20"/>
              </w:rPr>
              <w:t xml:space="preserve"> February 2018. Reference: MEMO (13-HR/13/2018/190)</w:t>
            </w:r>
            <w:r w:rsidRPr="0042034A">
              <w:rPr>
                <w:rFonts w:eastAsia="Times New Roman" w:cs="Times New Roman"/>
                <w:sz w:val="20"/>
                <w:szCs w:val="20"/>
              </w:rPr>
              <w:br/>
            </w:r>
          </w:p>
          <w:p w14:paraId="6B3DE900" w14:textId="4FD79443" w:rsidR="00F7126B" w:rsidRPr="00A103B6" w:rsidRDefault="00F7126B" w:rsidP="009D030D">
            <w:pPr>
              <w:pStyle w:val="ListParagraph"/>
              <w:numPr>
                <w:ilvl w:val="0"/>
                <w:numId w:val="13"/>
              </w:numPr>
              <w:spacing w:after="120"/>
              <w:ind w:left="314"/>
              <w:rPr>
                <w:rFonts w:eastAsia="Times New Roman" w:cs="Times New Roman"/>
                <w:sz w:val="20"/>
                <w:szCs w:val="20"/>
              </w:rPr>
            </w:pPr>
            <w:r w:rsidRPr="0042034A">
              <w:rPr>
                <w:rFonts w:eastAsia="Times New Roman" w:cs="Times New Roman"/>
                <w:sz w:val="20"/>
                <w:szCs w:val="20"/>
              </w:rPr>
              <w:t>14 out of 16 staff has been hired as at 20</w:t>
            </w:r>
            <w:r w:rsidRPr="0042034A">
              <w:rPr>
                <w:rFonts w:eastAsia="Times New Roman" w:cs="Times New Roman"/>
                <w:sz w:val="20"/>
                <w:szCs w:val="20"/>
                <w:vertAlign w:val="superscript"/>
              </w:rPr>
              <w:t>th</w:t>
            </w:r>
            <w:r w:rsidRPr="0042034A">
              <w:rPr>
                <w:rFonts w:eastAsia="Times New Roman" w:cs="Times New Roman"/>
                <w:sz w:val="20"/>
                <w:szCs w:val="20"/>
              </w:rPr>
              <w:t xml:space="preserve"> November 2019</w:t>
            </w:r>
            <w:r w:rsidR="0022477A">
              <w:rPr>
                <w:rFonts w:eastAsia="Times New Roman" w:cs="Times New Roman"/>
                <w:sz w:val="20"/>
                <w:szCs w:val="20"/>
              </w:rPr>
              <w:t xml:space="preserve"> </w:t>
            </w:r>
            <w:r w:rsidR="0080797A" w:rsidRPr="00A103B6">
              <w:rPr>
                <w:rFonts w:eastAsia="Times New Roman" w:cs="Times New Roman"/>
                <w:sz w:val="20"/>
                <w:szCs w:val="20"/>
              </w:rPr>
              <w:t>and 8 have been trained and certified in use of specific SAP modules</w:t>
            </w:r>
            <w:r w:rsidR="00126C06" w:rsidRPr="00A103B6">
              <w:rPr>
                <w:rFonts w:eastAsia="Times New Roman" w:cs="Times New Roman"/>
                <w:sz w:val="20"/>
                <w:szCs w:val="20"/>
              </w:rPr>
              <w:t xml:space="preserve"> </w:t>
            </w:r>
            <w:r w:rsidR="009D030D" w:rsidRPr="009D030D">
              <w:rPr>
                <w:rFonts w:eastAsia="Times New Roman" w:cs="Times New Roman"/>
                <w:i/>
                <w:sz w:val="20"/>
                <w:szCs w:val="20"/>
              </w:rPr>
              <w:t>(</w:t>
            </w:r>
            <w:r w:rsidR="009D030D">
              <w:rPr>
                <w:rFonts w:eastAsia="Times New Roman" w:cs="Times New Roman"/>
                <w:i/>
                <w:sz w:val="20"/>
                <w:szCs w:val="20"/>
              </w:rPr>
              <w:t>S</w:t>
            </w:r>
            <w:r w:rsidR="009D030D" w:rsidRPr="009D030D">
              <w:rPr>
                <w:rFonts w:eastAsia="Times New Roman" w:cs="Times New Roman"/>
                <w:i/>
                <w:sz w:val="20"/>
                <w:szCs w:val="20"/>
              </w:rPr>
              <w:t>ee annex 5)</w:t>
            </w:r>
          </w:p>
          <w:p w14:paraId="4120A5CD" w14:textId="77777777" w:rsidR="00F7126B" w:rsidRPr="0042034A" w:rsidRDefault="00F7126B" w:rsidP="00F7126B">
            <w:pPr>
              <w:pStyle w:val="ListParagraph"/>
              <w:numPr>
                <w:ilvl w:val="0"/>
                <w:numId w:val="13"/>
              </w:numPr>
              <w:spacing w:after="120"/>
              <w:ind w:left="314"/>
              <w:rPr>
                <w:rFonts w:eastAsia="Times New Roman" w:cs="Times New Roman"/>
                <w:sz w:val="20"/>
                <w:szCs w:val="20"/>
              </w:rPr>
            </w:pPr>
            <w:r w:rsidRPr="0042034A">
              <w:rPr>
                <w:rFonts w:eastAsia="Times New Roman" w:cs="Times New Roman"/>
                <w:sz w:val="20"/>
                <w:szCs w:val="20"/>
              </w:rPr>
              <w:t>Development of format for performance report, including client/ beneficiary feedback has been included in the TOR for Institutional Development Consultant (TOR to be finalized in November 2019)</w:t>
            </w:r>
          </w:p>
        </w:tc>
      </w:tr>
      <w:tr w:rsidR="00F7126B" w:rsidRPr="0042034A" w14:paraId="28A0088A" w14:textId="77777777" w:rsidTr="002C6BA3">
        <w:trPr>
          <w:jc w:val="center"/>
        </w:trPr>
        <w:tc>
          <w:tcPr>
            <w:tcW w:w="1819" w:type="dxa"/>
            <w:shd w:val="clear" w:color="auto" w:fill="auto"/>
            <w:vAlign w:val="center"/>
          </w:tcPr>
          <w:p w14:paraId="4A6FD5B3" w14:textId="77777777" w:rsidR="00F7126B" w:rsidRPr="0042034A" w:rsidRDefault="00F7126B" w:rsidP="002C6BA3">
            <w:pPr>
              <w:spacing w:after="120"/>
              <w:rPr>
                <w:rFonts w:eastAsia="Times New Roman" w:cs="Times New Roman"/>
                <w:b/>
                <w:sz w:val="20"/>
                <w:szCs w:val="20"/>
              </w:rPr>
            </w:pPr>
            <w:r w:rsidRPr="0042034A">
              <w:rPr>
                <w:rFonts w:eastAsia="Times New Roman" w:cs="Times New Roman"/>
                <w:b/>
                <w:sz w:val="20"/>
                <w:szCs w:val="20"/>
              </w:rPr>
              <w:t>DLI #1 Value</w:t>
            </w:r>
            <w:r w:rsidRPr="0042034A">
              <w:rPr>
                <w:rFonts w:eastAsia="Times New Roman" w:cs="Times New Roman"/>
                <w:b/>
                <w:bCs/>
                <w:sz w:val="20"/>
                <w:szCs w:val="20"/>
              </w:rPr>
              <w:t>: 1.05 Mio. SDR</w:t>
            </w:r>
          </w:p>
        </w:tc>
        <w:tc>
          <w:tcPr>
            <w:tcW w:w="1511" w:type="dxa"/>
            <w:shd w:val="clear" w:color="auto" w:fill="D9D9D9" w:themeFill="background1" w:themeFillShade="D9"/>
            <w:vAlign w:val="center"/>
          </w:tcPr>
          <w:p w14:paraId="3F660121" w14:textId="77777777" w:rsidR="00F7126B" w:rsidRPr="0042034A" w:rsidRDefault="00F7126B" w:rsidP="002C6BA3">
            <w:pPr>
              <w:spacing w:after="120"/>
              <w:jc w:val="center"/>
              <w:rPr>
                <w:rFonts w:eastAsia="Times New Roman" w:cs="Times New Roman"/>
                <w:b/>
                <w:sz w:val="20"/>
                <w:szCs w:val="20"/>
              </w:rPr>
            </w:pPr>
          </w:p>
        </w:tc>
        <w:tc>
          <w:tcPr>
            <w:tcW w:w="1620" w:type="dxa"/>
            <w:shd w:val="clear" w:color="auto" w:fill="92D050"/>
            <w:vAlign w:val="center"/>
          </w:tcPr>
          <w:p w14:paraId="4746254E" w14:textId="77777777" w:rsidR="00F7126B" w:rsidRPr="0042034A" w:rsidRDefault="00F7126B" w:rsidP="002C6BA3">
            <w:pPr>
              <w:jc w:val="center"/>
              <w:rPr>
                <w:rFonts w:eastAsia="Times New Roman" w:cs="Times New Roman"/>
                <w:b/>
                <w:sz w:val="20"/>
                <w:szCs w:val="20"/>
              </w:rPr>
            </w:pPr>
            <w:r w:rsidRPr="0042034A">
              <w:rPr>
                <w:rFonts w:eastAsia="Times New Roman" w:cs="Times New Roman"/>
                <w:b/>
                <w:bCs/>
                <w:sz w:val="20"/>
                <w:szCs w:val="20"/>
              </w:rPr>
              <w:t>350 000 SDR</w:t>
            </w:r>
          </w:p>
        </w:tc>
        <w:tc>
          <w:tcPr>
            <w:tcW w:w="1975" w:type="dxa"/>
            <w:shd w:val="clear" w:color="auto" w:fill="92D050"/>
            <w:noWrap/>
            <w:vAlign w:val="center"/>
          </w:tcPr>
          <w:p w14:paraId="691204C3" w14:textId="77777777" w:rsidR="00F7126B" w:rsidRPr="0042034A" w:rsidRDefault="00F7126B" w:rsidP="002C6BA3">
            <w:pPr>
              <w:jc w:val="center"/>
              <w:rPr>
                <w:rFonts w:eastAsia="Times New Roman" w:cs="Times New Roman"/>
                <w:b/>
                <w:sz w:val="20"/>
                <w:szCs w:val="20"/>
              </w:rPr>
            </w:pPr>
            <w:r w:rsidRPr="0042034A">
              <w:rPr>
                <w:rFonts w:eastAsia="Times New Roman" w:cs="Times New Roman"/>
                <w:b/>
                <w:bCs/>
                <w:sz w:val="20"/>
                <w:szCs w:val="20"/>
              </w:rPr>
              <w:t>350 000 SDR</w:t>
            </w:r>
          </w:p>
        </w:tc>
        <w:tc>
          <w:tcPr>
            <w:tcW w:w="1980" w:type="dxa"/>
            <w:shd w:val="clear" w:color="auto" w:fill="F4B083" w:themeFill="accent2" w:themeFillTint="99"/>
            <w:noWrap/>
            <w:vAlign w:val="center"/>
          </w:tcPr>
          <w:p w14:paraId="734DAE77" w14:textId="77777777" w:rsidR="00F7126B" w:rsidRPr="0042034A" w:rsidRDefault="00F7126B" w:rsidP="002C6BA3">
            <w:pPr>
              <w:jc w:val="center"/>
              <w:rPr>
                <w:rFonts w:eastAsia="Times New Roman" w:cs="Times New Roman"/>
                <w:b/>
                <w:kern w:val="24"/>
                <w:sz w:val="20"/>
                <w:szCs w:val="20"/>
              </w:rPr>
            </w:pPr>
            <w:r w:rsidRPr="0042034A">
              <w:rPr>
                <w:rFonts w:eastAsia="Times New Roman" w:cs="Times New Roman"/>
                <w:b/>
                <w:bCs/>
                <w:sz w:val="20"/>
                <w:szCs w:val="20"/>
              </w:rPr>
              <w:t>350 000 SDR</w:t>
            </w:r>
          </w:p>
        </w:tc>
        <w:tc>
          <w:tcPr>
            <w:tcW w:w="1530" w:type="dxa"/>
            <w:shd w:val="clear" w:color="auto" w:fill="D9D9D9" w:themeFill="background1" w:themeFillShade="D9"/>
            <w:noWrap/>
          </w:tcPr>
          <w:p w14:paraId="062AEE37" w14:textId="77777777" w:rsidR="00F7126B" w:rsidRPr="0042034A" w:rsidRDefault="00F7126B" w:rsidP="002C6BA3">
            <w:pPr>
              <w:jc w:val="center"/>
              <w:rPr>
                <w:rFonts w:eastAsia="Times New Roman" w:cs="Times New Roman"/>
                <w:b/>
                <w:sz w:val="20"/>
                <w:szCs w:val="20"/>
              </w:rPr>
            </w:pPr>
          </w:p>
        </w:tc>
        <w:tc>
          <w:tcPr>
            <w:tcW w:w="3177" w:type="dxa"/>
            <w:shd w:val="clear" w:color="auto" w:fill="D9D9D9" w:themeFill="background1" w:themeFillShade="D9"/>
          </w:tcPr>
          <w:p w14:paraId="38016582" w14:textId="77777777" w:rsidR="00F7126B" w:rsidRPr="0042034A" w:rsidRDefault="00F7126B" w:rsidP="002C6BA3">
            <w:pPr>
              <w:jc w:val="center"/>
              <w:rPr>
                <w:rFonts w:eastAsia="Times New Roman" w:cs="Times New Roman"/>
                <w:b/>
                <w:sz w:val="20"/>
                <w:szCs w:val="20"/>
              </w:rPr>
            </w:pPr>
          </w:p>
        </w:tc>
      </w:tr>
      <w:tr w:rsidR="00F7126B" w:rsidRPr="0042034A" w14:paraId="555063D0" w14:textId="77777777" w:rsidTr="002C6BA3">
        <w:trPr>
          <w:jc w:val="center"/>
        </w:trPr>
        <w:tc>
          <w:tcPr>
            <w:tcW w:w="1819" w:type="dxa"/>
            <w:shd w:val="clear" w:color="auto" w:fill="auto"/>
            <w:vAlign w:val="center"/>
          </w:tcPr>
          <w:p w14:paraId="1E746795" w14:textId="77777777" w:rsidR="00F7126B" w:rsidRPr="0042034A" w:rsidRDefault="00F7126B" w:rsidP="002C6BA3">
            <w:pPr>
              <w:spacing w:after="120"/>
              <w:rPr>
                <w:rFonts w:eastAsia="Times New Roman" w:cs="Times New Roman"/>
                <w:b/>
                <w:sz w:val="20"/>
                <w:szCs w:val="20"/>
              </w:rPr>
            </w:pPr>
            <w:r w:rsidRPr="0042034A">
              <w:rPr>
                <w:rFonts w:eastAsia="Times New Roman" w:cs="Times New Roman"/>
                <w:b/>
                <w:sz w:val="20"/>
                <w:szCs w:val="20"/>
              </w:rPr>
              <w:t>Status</w:t>
            </w:r>
          </w:p>
        </w:tc>
        <w:tc>
          <w:tcPr>
            <w:tcW w:w="1511" w:type="dxa"/>
            <w:shd w:val="clear" w:color="auto" w:fill="D9D9D9" w:themeFill="background1" w:themeFillShade="D9"/>
            <w:vAlign w:val="center"/>
          </w:tcPr>
          <w:p w14:paraId="72B6839C" w14:textId="77777777" w:rsidR="00F7126B" w:rsidRPr="0042034A" w:rsidRDefault="00F7126B" w:rsidP="002C6BA3">
            <w:pPr>
              <w:spacing w:after="120"/>
              <w:jc w:val="center"/>
              <w:rPr>
                <w:rFonts w:eastAsia="Times New Roman" w:cs="Times New Roman"/>
                <w:b/>
                <w:sz w:val="20"/>
                <w:szCs w:val="20"/>
              </w:rPr>
            </w:pPr>
          </w:p>
        </w:tc>
        <w:tc>
          <w:tcPr>
            <w:tcW w:w="1620" w:type="dxa"/>
            <w:shd w:val="clear" w:color="auto" w:fill="92D050"/>
            <w:vAlign w:val="center"/>
          </w:tcPr>
          <w:p w14:paraId="5EE3F89F" w14:textId="77777777" w:rsidR="00F7126B" w:rsidRPr="0042034A" w:rsidRDefault="00F7126B" w:rsidP="002C6BA3">
            <w:pPr>
              <w:jc w:val="center"/>
              <w:rPr>
                <w:rFonts w:eastAsia="Times New Roman" w:cs="Times New Roman"/>
                <w:b/>
                <w:bCs/>
                <w:sz w:val="20"/>
                <w:szCs w:val="20"/>
              </w:rPr>
            </w:pPr>
            <w:r w:rsidRPr="0042034A">
              <w:rPr>
                <w:rFonts w:eastAsia="Times New Roman" w:cs="Times New Roman"/>
                <w:b/>
                <w:bCs/>
                <w:sz w:val="20"/>
                <w:szCs w:val="20"/>
              </w:rPr>
              <w:t>Achieved</w:t>
            </w:r>
          </w:p>
        </w:tc>
        <w:tc>
          <w:tcPr>
            <w:tcW w:w="1975" w:type="dxa"/>
            <w:shd w:val="clear" w:color="auto" w:fill="92D050"/>
            <w:noWrap/>
            <w:vAlign w:val="center"/>
          </w:tcPr>
          <w:p w14:paraId="6AC5DCD4" w14:textId="77777777" w:rsidR="00F7126B" w:rsidRPr="0042034A" w:rsidRDefault="00F7126B" w:rsidP="002C6BA3">
            <w:pPr>
              <w:jc w:val="center"/>
              <w:rPr>
                <w:rFonts w:eastAsia="Times New Roman" w:cs="Times New Roman"/>
                <w:b/>
                <w:bCs/>
                <w:sz w:val="20"/>
                <w:szCs w:val="20"/>
              </w:rPr>
            </w:pPr>
            <w:r w:rsidRPr="0042034A">
              <w:rPr>
                <w:rFonts w:eastAsia="Times New Roman" w:cs="Times New Roman"/>
                <w:b/>
                <w:bCs/>
                <w:sz w:val="20"/>
                <w:szCs w:val="20"/>
              </w:rPr>
              <w:t>Achieved</w:t>
            </w:r>
          </w:p>
        </w:tc>
        <w:tc>
          <w:tcPr>
            <w:tcW w:w="1980" w:type="dxa"/>
            <w:shd w:val="clear" w:color="auto" w:fill="F4B083" w:themeFill="accent2" w:themeFillTint="99"/>
            <w:noWrap/>
            <w:vAlign w:val="center"/>
          </w:tcPr>
          <w:p w14:paraId="43B58E87" w14:textId="77777777" w:rsidR="00F7126B" w:rsidRPr="0042034A" w:rsidRDefault="00F7126B" w:rsidP="002C6BA3">
            <w:pPr>
              <w:jc w:val="center"/>
              <w:rPr>
                <w:rFonts w:eastAsia="Times New Roman" w:cs="Times New Roman"/>
                <w:b/>
                <w:bCs/>
                <w:sz w:val="20"/>
                <w:szCs w:val="20"/>
              </w:rPr>
            </w:pPr>
            <w:r w:rsidRPr="0042034A">
              <w:rPr>
                <w:rFonts w:eastAsia="Times New Roman" w:cs="Times New Roman"/>
                <w:b/>
                <w:bCs/>
                <w:sz w:val="20"/>
                <w:szCs w:val="20"/>
              </w:rPr>
              <w:t>Pending</w:t>
            </w:r>
          </w:p>
        </w:tc>
        <w:tc>
          <w:tcPr>
            <w:tcW w:w="1530" w:type="dxa"/>
            <w:shd w:val="clear" w:color="auto" w:fill="D9D9D9" w:themeFill="background1" w:themeFillShade="D9"/>
            <w:noWrap/>
          </w:tcPr>
          <w:p w14:paraId="27299EE5" w14:textId="77777777" w:rsidR="00F7126B" w:rsidRPr="0042034A" w:rsidRDefault="00F7126B" w:rsidP="002C6BA3">
            <w:pPr>
              <w:jc w:val="center"/>
              <w:rPr>
                <w:rFonts w:eastAsia="Times New Roman" w:cs="Times New Roman"/>
                <w:b/>
                <w:sz w:val="20"/>
                <w:szCs w:val="20"/>
              </w:rPr>
            </w:pPr>
          </w:p>
        </w:tc>
        <w:tc>
          <w:tcPr>
            <w:tcW w:w="3177" w:type="dxa"/>
            <w:shd w:val="clear" w:color="auto" w:fill="D9D9D9" w:themeFill="background1" w:themeFillShade="D9"/>
          </w:tcPr>
          <w:p w14:paraId="02C18678" w14:textId="77777777" w:rsidR="00F7126B" w:rsidRPr="0042034A" w:rsidRDefault="00F7126B" w:rsidP="002C6BA3">
            <w:pPr>
              <w:jc w:val="center"/>
              <w:rPr>
                <w:rFonts w:eastAsia="Times New Roman" w:cs="Times New Roman"/>
                <w:b/>
                <w:sz w:val="20"/>
                <w:szCs w:val="20"/>
              </w:rPr>
            </w:pPr>
          </w:p>
        </w:tc>
      </w:tr>
    </w:tbl>
    <w:p w14:paraId="137C3BE9" w14:textId="4D51CB5F" w:rsidR="00DD0FBA" w:rsidRPr="0042034A" w:rsidRDefault="00DD0FBA" w:rsidP="00DD0FBA">
      <w:pPr>
        <w:spacing w:after="120"/>
        <w:rPr>
          <w:rFonts w:eastAsia="Times New Roman" w:cs="Times New Roman"/>
          <w:sz w:val="20"/>
          <w:szCs w:val="20"/>
        </w:rPr>
      </w:pPr>
      <w:r>
        <w:rPr>
          <w:rFonts w:eastAsia="Times New Roman" w:cs="Times New Roman"/>
          <w:sz w:val="20"/>
          <w:szCs w:val="20"/>
        </w:rPr>
        <w:t xml:space="preserve">16 </w:t>
      </w:r>
      <w:r w:rsidRPr="0042034A">
        <w:rPr>
          <w:rFonts w:eastAsia="Times New Roman" w:cs="Times New Roman"/>
          <w:sz w:val="20"/>
          <w:szCs w:val="20"/>
        </w:rPr>
        <w:t>PFDS</w:t>
      </w:r>
      <w:r>
        <w:rPr>
          <w:rFonts w:eastAsia="Times New Roman" w:cs="Times New Roman"/>
          <w:sz w:val="20"/>
          <w:szCs w:val="20"/>
        </w:rPr>
        <w:t xml:space="preserve"> positions: </w:t>
      </w:r>
      <w:r w:rsidRPr="0042034A">
        <w:rPr>
          <w:rFonts w:eastAsia="Times New Roman" w:cs="Times New Roman"/>
          <w:sz w:val="20"/>
          <w:szCs w:val="20"/>
        </w:rPr>
        <w:t xml:space="preserve"> </w:t>
      </w:r>
      <w:r w:rsidRPr="00FF24F2">
        <w:rPr>
          <w:rFonts w:eastAsia="Times New Roman" w:cs="Times New Roman"/>
          <w:sz w:val="20"/>
          <w:szCs w:val="20"/>
        </w:rPr>
        <w:t>5 SAP functional experts under the authority of the Finance Controller and 4 IT technical experts, under the authority of a Chief Information Officer (CIO). Other experts will support public expenditure management, legal, internal audit, economic and fiscal, debt</w:t>
      </w:r>
      <w:r>
        <w:rPr>
          <w:rFonts w:eastAsia="Times New Roman" w:cs="Times New Roman"/>
          <w:sz w:val="20"/>
          <w:szCs w:val="20"/>
        </w:rPr>
        <w:t xml:space="preserve"> </w:t>
      </w:r>
      <w:r w:rsidRPr="00FF24F2">
        <w:rPr>
          <w:rFonts w:eastAsia="Times New Roman" w:cs="Times New Roman"/>
          <w:sz w:val="20"/>
        </w:rPr>
        <w:t>and asset management</w:t>
      </w:r>
      <w:r w:rsidRPr="00FF24F2">
        <w:rPr>
          <w:rFonts w:eastAsia="Times New Roman" w:cs="Times New Roman"/>
          <w:szCs w:val="20"/>
        </w:rPr>
        <w:t>.</w:t>
      </w:r>
    </w:p>
    <w:p w14:paraId="409921A1" w14:textId="77777777" w:rsidR="00454C4D" w:rsidRDefault="00454C4D" w:rsidP="003925CE">
      <w:pPr>
        <w:jc w:val="center"/>
        <w:rPr>
          <w:rFonts w:eastAsia="Calibri" w:cs="Times New Roman"/>
          <w:szCs w:val="24"/>
        </w:rPr>
      </w:pPr>
    </w:p>
    <w:tbl>
      <w:tblPr>
        <w:tblW w:w="13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9"/>
        <w:gridCol w:w="1511"/>
        <w:gridCol w:w="1620"/>
        <w:gridCol w:w="1975"/>
        <w:gridCol w:w="1980"/>
        <w:gridCol w:w="1530"/>
        <w:gridCol w:w="3177"/>
      </w:tblGrid>
      <w:tr w:rsidR="00F86F43" w:rsidRPr="000502E1" w14:paraId="046D0B63" w14:textId="77777777" w:rsidTr="002C6BA3">
        <w:trPr>
          <w:jc w:val="center"/>
        </w:trPr>
        <w:tc>
          <w:tcPr>
            <w:tcW w:w="1819" w:type="dxa"/>
            <w:shd w:val="clear" w:color="auto" w:fill="auto"/>
            <w:vAlign w:val="center"/>
          </w:tcPr>
          <w:p w14:paraId="7D6487E6" w14:textId="77777777" w:rsidR="00F86F43" w:rsidRPr="000502E1" w:rsidRDefault="00F86F43" w:rsidP="002C6BA3">
            <w:pPr>
              <w:spacing w:after="120"/>
              <w:jc w:val="center"/>
              <w:rPr>
                <w:rFonts w:eastAsia="Times New Roman" w:cs="Times New Roman"/>
                <w:sz w:val="20"/>
                <w:szCs w:val="20"/>
              </w:rPr>
            </w:pPr>
            <w:r w:rsidRPr="000502E1">
              <w:rPr>
                <w:rFonts w:eastAsia="Times New Roman" w:cs="Times New Roman"/>
                <w:b/>
                <w:bCs/>
                <w:sz w:val="20"/>
                <w:szCs w:val="20"/>
              </w:rPr>
              <w:t>DLI Indicators</w:t>
            </w:r>
          </w:p>
        </w:tc>
        <w:tc>
          <w:tcPr>
            <w:tcW w:w="1511" w:type="dxa"/>
            <w:shd w:val="clear" w:color="auto" w:fill="auto"/>
            <w:vAlign w:val="center"/>
          </w:tcPr>
          <w:p w14:paraId="14BE6F81" w14:textId="77777777" w:rsidR="00F86F43" w:rsidRPr="000502E1" w:rsidRDefault="00F86F43" w:rsidP="002C6BA3">
            <w:pPr>
              <w:spacing w:after="120"/>
              <w:jc w:val="center"/>
              <w:rPr>
                <w:rFonts w:eastAsia="Times New Roman" w:cs="Times New Roman"/>
                <w:sz w:val="20"/>
                <w:szCs w:val="20"/>
              </w:rPr>
            </w:pPr>
            <w:r w:rsidRPr="000502E1">
              <w:rPr>
                <w:rFonts w:eastAsia="Times New Roman" w:cs="Times New Roman"/>
                <w:b/>
                <w:bCs/>
                <w:sz w:val="20"/>
                <w:szCs w:val="20"/>
              </w:rPr>
              <w:t>Baseline</w:t>
            </w:r>
          </w:p>
        </w:tc>
        <w:tc>
          <w:tcPr>
            <w:tcW w:w="1620" w:type="dxa"/>
            <w:shd w:val="clear" w:color="auto" w:fill="auto"/>
            <w:vAlign w:val="center"/>
          </w:tcPr>
          <w:p w14:paraId="68C85F88" w14:textId="77777777" w:rsidR="00F86F43" w:rsidRPr="000502E1" w:rsidRDefault="00F86F43" w:rsidP="002C6BA3">
            <w:pPr>
              <w:jc w:val="center"/>
              <w:rPr>
                <w:rFonts w:eastAsia="Times New Roman" w:cs="Times New Roman"/>
                <w:sz w:val="20"/>
                <w:szCs w:val="20"/>
              </w:rPr>
            </w:pPr>
            <w:r w:rsidRPr="000502E1">
              <w:rPr>
                <w:rFonts w:eastAsia="Times New Roman" w:cs="Times New Roman"/>
                <w:b/>
                <w:bCs/>
                <w:sz w:val="20"/>
                <w:szCs w:val="20"/>
              </w:rPr>
              <w:t>Results to be achieved by June 30, 2018</w:t>
            </w:r>
          </w:p>
        </w:tc>
        <w:tc>
          <w:tcPr>
            <w:tcW w:w="1975" w:type="dxa"/>
            <w:shd w:val="clear" w:color="auto" w:fill="auto"/>
            <w:noWrap/>
            <w:vAlign w:val="center"/>
          </w:tcPr>
          <w:p w14:paraId="6A05E308" w14:textId="77777777" w:rsidR="00F86F43" w:rsidRPr="000502E1" w:rsidRDefault="00F86F43" w:rsidP="002C6BA3">
            <w:pPr>
              <w:jc w:val="center"/>
              <w:rPr>
                <w:rFonts w:eastAsia="Times New Roman" w:cs="Times New Roman"/>
                <w:sz w:val="20"/>
                <w:szCs w:val="20"/>
              </w:rPr>
            </w:pPr>
            <w:r w:rsidRPr="000502E1">
              <w:rPr>
                <w:rFonts w:eastAsia="Times New Roman" w:cs="Times New Roman"/>
                <w:b/>
                <w:bCs/>
                <w:sz w:val="20"/>
                <w:szCs w:val="20"/>
              </w:rPr>
              <w:t>Results to be achieved by June 30, 2019</w:t>
            </w:r>
          </w:p>
        </w:tc>
        <w:tc>
          <w:tcPr>
            <w:tcW w:w="1980" w:type="dxa"/>
            <w:shd w:val="clear" w:color="auto" w:fill="auto"/>
            <w:noWrap/>
            <w:vAlign w:val="center"/>
          </w:tcPr>
          <w:p w14:paraId="7EE3A90E" w14:textId="77777777" w:rsidR="00F86F43" w:rsidRPr="000502E1" w:rsidRDefault="00F86F43" w:rsidP="002C6BA3">
            <w:pPr>
              <w:jc w:val="center"/>
              <w:rPr>
                <w:rFonts w:eastAsia="Times New Roman" w:cs="Times New Roman"/>
                <w:sz w:val="20"/>
                <w:szCs w:val="20"/>
              </w:rPr>
            </w:pPr>
            <w:r w:rsidRPr="000502E1">
              <w:rPr>
                <w:rFonts w:eastAsia="Times New Roman" w:cs="Times New Roman"/>
                <w:b/>
                <w:bCs/>
                <w:sz w:val="20"/>
                <w:szCs w:val="20"/>
              </w:rPr>
              <w:t>Results to be achieved by June 30, 2020</w:t>
            </w:r>
          </w:p>
        </w:tc>
        <w:tc>
          <w:tcPr>
            <w:tcW w:w="1530" w:type="dxa"/>
            <w:shd w:val="clear" w:color="auto" w:fill="auto"/>
            <w:noWrap/>
            <w:vAlign w:val="center"/>
          </w:tcPr>
          <w:p w14:paraId="7ED987A7" w14:textId="77777777" w:rsidR="00F86F43" w:rsidRPr="000502E1" w:rsidRDefault="00F86F43" w:rsidP="002C6BA3">
            <w:pPr>
              <w:spacing w:after="120"/>
              <w:jc w:val="center"/>
              <w:rPr>
                <w:rFonts w:eastAsia="Times New Roman" w:cs="Times New Roman"/>
                <w:sz w:val="20"/>
                <w:szCs w:val="20"/>
              </w:rPr>
            </w:pPr>
            <w:r w:rsidRPr="000502E1">
              <w:rPr>
                <w:rFonts w:eastAsia="Times New Roman" w:cs="Times New Roman"/>
                <w:b/>
                <w:bCs/>
                <w:sz w:val="20"/>
                <w:szCs w:val="20"/>
              </w:rPr>
              <w:t>Results to be achieved by June 30, 2021</w:t>
            </w:r>
          </w:p>
        </w:tc>
        <w:tc>
          <w:tcPr>
            <w:tcW w:w="3177" w:type="dxa"/>
            <w:vAlign w:val="center"/>
          </w:tcPr>
          <w:p w14:paraId="7A35FE63" w14:textId="77777777" w:rsidR="00F86F43" w:rsidRPr="000502E1" w:rsidRDefault="00F86F43" w:rsidP="002C6BA3">
            <w:pPr>
              <w:spacing w:after="120"/>
              <w:jc w:val="center"/>
              <w:rPr>
                <w:rFonts w:eastAsia="Times New Roman" w:cs="Times New Roman"/>
                <w:sz w:val="20"/>
                <w:szCs w:val="20"/>
              </w:rPr>
            </w:pPr>
            <w:r w:rsidRPr="000502E1">
              <w:rPr>
                <w:rFonts w:eastAsia="Times New Roman" w:cs="Times New Roman"/>
                <w:b/>
                <w:bCs/>
                <w:sz w:val="20"/>
                <w:szCs w:val="20"/>
              </w:rPr>
              <w:t>Status Update</w:t>
            </w:r>
          </w:p>
        </w:tc>
      </w:tr>
      <w:tr w:rsidR="00F86F43" w:rsidRPr="000502E1" w14:paraId="5034DB69" w14:textId="77777777" w:rsidTr="002C6BA3">
        <w:trPr>
          <w:jc w:val="center"/>
        </w:trPr>
        <w:tc>
          <w:tcPr>
            <w:tcW w:w="1819" w:type="dxa"/>
            <w:shd w:val="clear" w:color="auto" w:fill="auto"/>
          </w:tcPr>
          <w:p w14:paraId="665A8C56" w14:textId="77777777" w:rsidR="00F86F43" w:rsidRPr="000502E1" w:rsidRDefault="00F86F43" w:rsidP="002C6BA3">
            <w:pPr>
              <w:spacing w:after="120"/>
              <w:rPr>
                <w:rFonts w:eastAsia="Times New Roman" w:cs="Times New Roman"/>
                <w:sz w:val="20"/>
                <w:szCs w:val="20"/>
              </w:rPr>
            </w:pPr>
            <w:r w:rsidRPr="000502E1">
              <w:rPr>
                <w:rFonts w:eastAsia="Times New Roman" w:cs="Times New Roman"/>
                <w:sz w:val="20"/>
                <w:szCs w:val="20"/>
                <w:highlight w:val="cyan"/>
              </w:rPr>
              <w:t>DLI#2:</w:t>
            </w:r>
            <w:r w:rsidRPr="000502E1">
              <w:rPr>
                <w:rFonts w:eastAsia="Times New Roman" w:cs="Times New Roman"/>
                <w:sz w:val="20"/>
                <w:szCs w:val="20"/>
              </w:rPr>
              <w:t xml:space="preserve"> Strengthen control of the wage bill and staffing of core financial functions</w:t>
            </w:r>
          </w:p>
        </w:tc>
        <w:tc>
          <w:tcPr>
            <w:tcW w:w="1511" w:type="dxa"/>
            <w:shd w:val="clear" w:color="auto" w:fill="auto"/>
          </w:tcPr>
          <w:p w14:paraId="3AC6A200" w14:textId="77777777" w:rsidR="00F86F43" w:rsidRPr="000502E1" w:rsidRDefault="00F86F43" w:rsidP="002C6BA3">
            <w:pPr>
              <w:spacing w:after="120"/>
              <w:rPr>
                <w:rFonts w:eastAsia="Times New Roman" w:cs="Times New Roman"/>
                <w:sz w:val="20"/>
                <w:szCs w:val="20"/>
              </w:rPr>
            </w:pPr>
            <w:r w:rsidRPr="000502E1">
              <w:rPr>
                <w:rFonts w:eastAsia="Times New Roman" w:cs="Times New Roman"/>
                <w:sz w:val="20"/>
                <w:szCs w:val="20"/>
              </w:rPr>
              <w:t>Limited wage bill data and no specific cadres nor pay schemes for critical finance functions.</w:t>
            </w:r>
          </w:p>
        </w:tc>
        <w:tc>
          <w:tcPr>
            <w:tcW w:w="1620" w:type="dxa"/>
            <w:shd w:val="clear" w:color="auto" w:fill="auto"/>
          </w:tcPr>
          <w:p w14:paraId="71419CE9" w14:textId="77777777" w:rsidR="00F86F43" w:rsidRPr="000502E1" w:rsidRDefault="00F86F43" w:rsidP="002C6BA3">
            <w:pPr>
              <w:jc w:val="center"/>
              <w:rPr>
                <w:rFonts w:eastAsia="Times New Roman" w:cs="Times New Roman"/>
                <w:sz w:val="20"/>
                <w:szCs w:val="20"/>
              </w:rPr>
            </w:pPr>
            <w:r w:rsidRPr="000502E1">
              <w:rPr>
                <w:rFonts w:eastAsia="Times New Roman" w:cs="Times New Roman"/>
                <w:sz w:val="20"/>
                <w:szCs w:val="20"/>
              </w:rPr>
              <w:t>N.A.</w:t>
            </w:r>
          </w:p>
        </w:tc>
        <w:tc>
          <w:tcPr>
            <w:tcW w:w="1975" w:type="dxa"/>
            <w:shd w:val="clear" w:color="auto" w:fill="auto"/>
            <w:noWrap/>
          </w:tcPr>
          <w:p w14:paraId="7D2D7859" w14:textId="77777777" w:rsidR="00F86F43" w:rsidRPr="000502E1" w:rsidRDefault="00F86F43" w:rsidP="002C6BA3">
            <w:pPr>
              <w:rPr>
                <w:rFonts w:eastAsia="Times New Roman" w:cs="Times New Roman"/>
                <w:sz w:val="20"/>
                <w:szCs w:val="20"/>
              </w:rPr>
            </w:pPr>
            <w:r w:rsidRPr="000502E1">
              <w:rPr>
                <w:rFonts w:eastAsia="Times New Roman" w:cs="Times New Roman"/>
                <w:sz w:val="20"/>
                <w:szCs w:val="20"/>
              </w:rPr>
              <w:t xml:space="preserve">Establishment of civil service registry by the NPC with gender disaggregated data on personnel and wages. </w:t>
            </w:r>
          </w:p>
        </w:tc>
        <w:tc>
          <w:tcPr>
            <w:tcW w:w="1980" w:type="dxa"/>
            <w:shd w:val="clear" w:color="auto" w:fill="auto"/>
            <w:noWrap/>
          </w:tcPr>
          <w:p w14:paraId="546EE923" w14:textId="77777777" w:rsidR="00F86F43" w:rsidRPr="000502E1" w:rsidRDefault="00F86F43" w:rsidP="002C6BA3">
            <w:pPr>
              <w:rPr>
                <w:rFonts w:eastAsia="Times New Roman" w:cs="Times New Roman"/>
                <w:sz w:val="20"/>
                <w:szCs w:val="20"/>
              </w:rPr>
            </w:pPr>
            <w:r w:rsidRPr="000502E1">
              <w:rPr>
                <w:rFonts w:eastAsia="Times New Roman" w:cs="Times New Roman"/>
                <w:sz w:val="20"/>
                <w:szCs w:val="20"/>
              </w:rPr>
              <w:t>Approval by the NPC by way of resolution of a standardized pay classification structure for finance cadres.</w:t>
            </w:r>
          </w:p>
        </w:tc>
        <w:tc>
          <w:tcPr>
            <w:tcW w:w="1530" w:type="dxa"/>
            <w:shd w:val="clear" w:color="auto" w:fill="auto"/>
            <w:noWrap/>
          </w:tcPr>
          <w:p w14:paraId="3DF2D8D4" w14:textId="77777777" w:rsidR="00F86F43" w:rsidRPr="000502E1" w:rsidRDefault="00F86F43" w:rsidP="002C6BA3">
            <w:pPr>
              <w:spacing w:after="120"/>
              <w:rPr>
                <w:rFonts w:eastAsia="Times New Roman" w:cs="Times New Roman"/>
                <w:sz w:val="20"/>
                <w:szCs w:val="20"/>
              </w:rPr>
            </w:pPr>
            <w:r w:rsidRPr="000502E1">
              <w:rPr>
                <w:rFonts w:eastAsia="Times New Roman" w:cs="Times New Roman"/>
                <w:sz w:val="20"/>
                <w:szCs w:val="20"/>
              </w:rPr>
              <w:t xml:space="preserve">100% of new </w:t>
            </w:r>
            <w:proofErr w:type="spellStart"/>
            <w:r w:rsidRPr="000502E1">
              <w:rPr>
                <w:rFonts w:eastAsia="Times New Roman" w:cs="Times New Roman"/>
                <w:sz w:val="20"/>
                <w:szCs w:val="20"/>
              </w:rPr>
              <w:t>MoFT</w:t>
            </w:r>
            <w:proofErr w:type="spellEnd"/>
            <w:r w:rsidRPr="000502E1">
              <w:rPr>
                <w:rFonts w:eastAsia="Times New Roman" w:cs="Times New Roman"/>
                <w:sz w:val="20"/>
                <w:szCs w:val="20"/>
              </w:rPr>
              <w:t xml:space="preserve"> cadre recruited are subject to the revised pay structure for finance cadres. </w:t>
            </w:r>
          </w:p>
        </w:tc>
        <w:tc>
          <w:tcPr>
            <w:tcW w:w="3177" w:type="dxa"/>
          </w:tcPr>
          <w:p w14:paraId="2875132F" w14:textId="77777777" w:rsidR="00F86F43" w:rsidRPr="000502E1" w:rsidRDefault="00F86F43" w:rsidP="00F86F43">
            <w:pPr>
              <w:pStyle w:val="ListParagraph"/>
              <w:numPr>
                <w:ilvl w:val="0"/>
                <w:numId w:val="14"/>
              </w:numPr>
              <w:spacing w:after="120"/>
              <w:ind w:left="314"/>
              <w:rPr>
                <w:rFonts w:eastAsia="Times New Roman" w:cs="Times New Roman"/>
                <w:sz w:val="20"/>
                <w:szCs w:val="20"/>
              </w:rPr>
            </w:pPr>
            <w:r w:rsidRPr="000502E1">
              <w:rPr>
                <w:rFonts w:eastAsia="Times New Roman" w:cs="Times New Roman"/>
                <w:sz w:val="20"/>
                <w:szCs w:val="20"/>
              </w:rPr>
              <w:t>CSR is referred to as the Payroll Register within MoF. The application for this register “</w:t>
            </w:r>
            <w:proofErr w:type="spellStart"/>
            <w:r w:rsidRPr="000502E1">
              <w:rPr>
                <w:rFonts w:eastAsia="Times New Roman" w:cs="Times New Roman"/>
                <w:sz w:val="20"/>
                <w:szCs w:val="20"/>
              </w:rPr>
              <w:t>Bandeyri</w:t>
            </w:r>
            <w:proofErr w:type="spellEnd"/>
            <w:r w:rsidRPr="000502E1">
              <w:rPr>
                <w:rFonts w:eastAsia="Times New Roman" w:cs="Times New Roman"/>
                <w:sz w:val="20"/>
                <w:szCs w:val="20"/>
              </w:rPr>
              <w:t xml:space="preserve"> Portal” (which includes multiple areas in addition to civil service) was launched in June 2019. </w:t>
            </w:r>
            <w:r w:rsidRPr="000502E1">
              <w:rPr>
                <w:rFonts w:eastAsia="Times New Roman" w:cs="Times New Roman"/>
                <w:sz w:val="20"/>
                <w:szCs w:val="20"/>
              </w:rPr>
              <w:br/>
            </w:r>
          </w:p>
          <w:p w14:paraId="2E6DC792" w14:textId="77777777" w:rsidR="00F86F43" w:rsidRPr="000502E1" w:rsidRDefault="00F86F43" w:rsidP="00F86F43">
            <w:pPr>
              <w:pStyle w:val="ListParagraph"/>
              <w:numPr>
                <w:ilvl w:val="0"/>
                <w:numId w:val="14"/>
              </w:numPr>
              <w:spacing w:after="120"/>
              <w:ind w:left="314"/>
              <w:rPr>
                <w:rFonts w:eastAsia="Times New Roman" w:cs="Times New Roman"/>
                <w:sz w:val="20"/>
                <w:szCs w:val="20"/>
              </w:rPr>
            </w:pPr>
            <w:r w:rsidRPr="000502E1">
              <w:rPr>
                <w:rFonts w:eastAsia="Times New Roman" w:cs="Times New Roman"/>
                <w:sz w:val="20"/>
                <w:szCs w:val="20"/>
              </w:rPr>
              <w:t>Establishment of registry with gender disaggregated data on personnel and wages will be confirmed by NPC by 30</w:t>
            </w:r>
            <w:r w:rsidRPr="000502E1">
              <w:rPr>
                <w:rFonts w:eastAsia="Times New Roman" w:cs="Times New Roman"/>
                <w:sz w:val="20"/>
                <w:szCs w:val="20"/>
                <w:vertAlign w:val="superscript"/>
              </w:rPr>
              <w:t>th</w:t>
            </w:r>
            <w:r w:rsidRPr="000502E1">
              <w:rPr>
                <w:rFonts w:eastAsia="Times New Roman" w:cs="Times New Roman"/>
                <w:sz w:val="20"/>
                <w:szCs w:val="20"/>
              </w:rPr>
              <w:t xml:space="preserve"> November 2019 through issuance of a circular. </w:t>
            </w:r>
            <w:r w:rsidRPr="000502E1">
              <w:rPr>
                <w:rFonts w:eastAsia="Times New Roman" w:cs="Times New Roman"/>
                <w:sz w:val="20"/>
                <w:szCs w:val="20"/>
              </w:rPr>
              <w:br/>
            </w:r>
          </w:p>
          <w:p w14:paraId="448DE92E" w14:textId="77777777" w:rsidR="00F86F43" w:rsidRPr="000502E1" w:rsidRDefault="00F86F43" w:rsidP="00F86F43">
            <w:pPr>
              <w:pStyle w:val="ListParagraph"/>
              <w:numPr>
                <w:ilvl w:val="0"/>
                <w:numId w:val="14"/>
              </w:numPr>
              <w:spacing w:after="120"/>
              <w:ind w:left="314"/>
              <w:rPr>
                <w:rFonts w:eastAsia="Times New Roman" w:cs="Times New Roman"/>
                <w:sz w:val="20"/>
                <w:szCs w:val="20"/>
              </w:rPr>
            </w:pPr>
            <w:r w:rsidRPr="000502E1">
              <w:rPr>
                <w:rFonts w:eastAsia="Times New Roman" w:cs="Times New Roman"/>
                <w:sz w:val="20"/>
                <w:szCs w:val="20"/>
              </w:rPr>
              <w:t xml:space="preserve">Work towards developing a standardized pay classification structure for finance cadres is ongoing inhouse. </w:t>
            </w:r>
            <w:r w:rsidRPr="000502E1">
              <w:rPr>
                <w:rFonts w:eastAsia="Times New Roman" w:cs="Times New Roman"/>
                <w:sz w:val="20"/>
                <w:szCs w:val="20"/>
              </w:rPr>
              <w:br/>
              <w:t xml:space="preserve">Areas of pay classification and job families have been completed. </w:t>
            </w:r>
            <w:r w:rsidRPr="000502E1">
              <w:rPr>
                <w:rFonts w:eastAsia="Times New Roman" w:cs="Times New Roman"/>
                <w:sz w:val="20"/>
                <w:szCs w:val="20"/>
              </w:rPr>
              <w:br/>
              <w:t>Pay structure area is remaining. Target to complete this task is end of June 2020.</w:t>
            </w:r>
          </w:p>
          <w:p w14:paraId="13376BF2" w14:textId="77777777" w:rsidR="00F86F43" w:rsidRPr="000502E1" w:rsidRDefault="00F86F43" w:rsidP="00F86F43">
            <w:pPr>
              <w:pStyle w:val="ListParagraph"/>
              <w:numPr>
                <w:ilvl w:val="0"/>
                <w:numId w:val="14"/>
              </w:numPr>
              <w:spacing w:after="120"/>
              <w:ind w:left="314"/>
              <w:rPr>
                <w:rFonts w:eastAsia="Times New Roman" w:cs="Times New Roman"/>
                <w:sz w:val="20"/>
                <w:szCs w:val="20"/>
              </w:rPr>
            </w:pPr>
            <w:r w:rsidRPr="000502E1">
              <w:rPr>
                <w:rFonts w:eastAsia="Times New Roman" w:cs="Times New Roman"/>
                <w:sz w:val="20"/>
                <w:szCs w:val="20"/>
              </w:rPr>
              <w:t xml:space="preserve">MoF cadre being subject to new pay structure is dependent upon completion of target 2. </w:t>
            </w:r>
          </w:p>
        </w:tc>
      </w:tr>
      <w:tr w:rsidR="00F86F43" w:rsidRPr="000502E1" w14:paraId="6E2007EF" w14:textId="77777777" w:rsidTr="003A0F40">
        <w:trPr>
          <w:trHeight w:val="485"/>
          <w:jc w:val="center"/>
        </w:trPr>
        <w:tc>
          <w:tcPr>
            <w:tcW w:w="1819" w:type="dxa"/>
            <w:shd w:val="clear" w:color="auto" w:fill="auto"/>
          </w:tcPr>
          <w:p w14:paraId="16D22357" w14:textId="77777777" w:rsidR="00F86F43" w:rsidRPr="000502E1" w:rsidRDefault="00F86F43" w:rsidP="002C6BA3">
            <w:pPr>
              <w:spacing w:after="120"/>
              <w:rPr>
                <w:rFonts w:eastAsia="Times New Roman" w:cs="Times New Roman"/>
                <w:sz w:val="20"/>
                <w:szCs w:val="20"/>
              </w:rPr>
            </w:pPr>
            <w:r w:rsidRPr="000502E1">
              <w:rPr>
                <w:rFonts w:eastAsia="Times New Roman" w:cs="Times New Roman"/>
                <w:b/>
                <w:sz w:val="20"/>
                <w:szCs w:val="20"/>
              </w:rPr>
              <w:t>DLI #2 Value: 1.05 Mio SDR</w:t>
            </w:r>
          </w:p>
        </w:tc>
        <w:tc>
          <w:tcPr>
            <w:tcW w:w="1511" w:type="dxa"/>
            <w:shd w:val="clear" w:color="auto" w:fill="D9D9D9" w:themeFill="background1" w:themeFillShade="D9"/>
          </w:tcPr>
          <w:p w14:paraId="16A26C11" w14:textId="77777777" w:rsidR="00F86F43" w:rsidRPr="000502E1" w:rsidRDefault="00F86F43" w:rsidP="002C6BA3">
            <w:pPr>
              <w:spacing w:after="120"/>
              <w:rPr>
                <w:rFonts w:eastAsia="Times New Roman" w:cs="Times New Roman"/>
                <w:sz w:val="20"/>
                <w:szCs w:val="20"/>
              </w:rPr>
            </w:pPr>
          </w:p>
        </w:tc>
        <w:tc>
          <w:tcPr>
            <w:tcW w:w="1620" w:type="dxa"/>
            <w:shd w:val="clear" w:color="auto" w:fill="D9D9D9" w:themeFill="background1" w:themeFillShade="D9"/>
          </w:tcPr>
          <w:p w14:paraId="70188923" w14:textId="77777777" w:rsidR="00F86F43" w:rsidRPr="000502E1" w:rsidRDefault="00F86F43" w:rsidP="002C6BA3">
            <w:pPr>
              <w:jc w:val="center"/>
              <w:rPr>
                <w:rFonts w:eastAsia="Times New Roman" w:cs="Times New Roman"/>
                <w:sz w:val="20"/>
                <w:szCs w:val="20"/>
              </w:rPr>
            </w:pPr>
          </w:p>
        </w:tc>
        <w:tc>
          <w:tcPr>
            <w:tcW w:w="1975" w:type="dxa"/>
            <w:shd w:val="clear" w:color="auto" w:fill="F4B083" w:themeFill="accent2" w:themeFillTint="99"/>
            <w:noWrap/>
          </w:tcPr>
          <w:p w14:paraId="7851F00F" w14:textId="77777777" w:rsidR="00F86F43" w:rsidRPr="000502E1" w:rsidRDefault="00F86F43" w:rsidP="002C6BA3">
            <w:pPr>
              <w:rPr>
                <w:rFonts w:eastAsia="Times New Roman" w:cs="Times New Roman"/>
                <w:sz w:val="20"/>
                <w:szCs w:val="20"/>
              </w:rPr>
            </w:pPr>
            <w:r w:rsidRPr="000502E1">
              <w:rPr>
                <w:rFonts w:eastAsia="Times New Roman" w:cs="Times New Roman"/>
                <w:b/>
                <w:bCs/>
                <w:sz w:val="20"/>
                <w:szCs w:val="20"/>
              </w:rPr>
              <w:t>350 000 SDR</w:t>
            </w:r>
          </w:p>
        </w:tc>
        <w:tc>
          <w:tcPr>
            <w:tcW w:w="1980" w:type="dxa"/>
            <w:shd w:val="clear" w:color="auto" w:fill="F4B083" w:themeFill="accent2" w:themeFillTint="99"/>
            <w:noWrap/>
          </w:tcPr>
          <w:p w14:paraId="7A736276" w14:textId="77777777" w:rsidR="00F86F43" w:rsidRPr="000502E1" w:rsidRDefault="00F86F43" w:rsidP="002C6BA3">
            <w:pPr>
              <w:rPr>
                <w:rFonts w:eastAsia="Times New Roman" w:cs="Times New Roman"/>
                <w:sz w:val="20"/>
                <w:szCs w:val="20"/>
              </w:rPr>
            </w:pPr>
            <w:r w:rsidRPr="000502E1">
              <w:rPr>
                <w:rFonts w:eastAsia="Times New Roman" w:cs="Times New Roman"/>
                <w:b/>
                <w:bCs/>
                <w:sz w:val="20"/>
                <w:szCs w:val="20"/>
              </w:rPr>
              <w:t>350 000 SDR</w:t>
            </w:r>
          </w:p>
        </w:tc>
        <w:tc>
          <w:tcPr>
            <w:tcW w:w="1530" w:type="dxa"/>
            <w:shd w:val="clear" w:color="auto" w:fill="F4B083" w:themeFill="accent2" w:themeFillTint="99"/>
            <w:noWrap/>
          </w:tcPr>
          <w:p w14:paraId="3795422D" w14:textId="77777777" w:rsidR="00F86F43" w:rsidRPr="000502E1" w:rsidRDefault="00F86F43" w:rsidP="002C6BA3">
            <w:pPr>
              <w:spacing w:after="120"/>
              <w:rPr>
                <w:rFonts w:eastAsia="Times New Roman" w:cs="Times New Roman"/>
                <w:sz w:val="20"/>
                <w:szCs w:val="20"/>
              </w:rPr>
            </w:pPr>
            <w:r w:rsidRPr="000502E1">
              <w:rPr>
                <w:rFonts w:eastAsia="Times New Roman" w:cs="Times New Roman"/>
                <w:b/>
                <w:bCs/>
                <w:sz w:val="20"/>
                <w:szCs w:val="20"/>
              </w:rPr>
              <w:t>350 000 SDR</w:t>
            </w:r>
          </w:p>
        </w:tc>
        <w:tc>
          <w:tcPr>
            <w:tcW w:w="3177" w:type="dxa"/>
            <w:shd w:val="clear" w:color="auto" w:fill="D9D9D9" w:themeFill="background1" w:themeFillShade="D9"/>
          </w:tcPr>
          <w:p w14:paraId="7418952E" w14:textId="77777777" w:rsidR="00F86F43" w:rsidRPr="000502E1" w:rsidRDefault="00F86F43" w:rsidP="002C6BA3">
            <w:pPr>
              <w:spacing w:after="120"/>
              <w:rPr>
                <w:rFonts w:eastAsia="Times New Roman" w:cs="Times New Roman"/>
                <w:b/>
                <w:bCs/>
                <w:sz w:val="20"/>
                <w:szCs w:val="20"/>
              </w:rPr>
            </w:pPr>
          </w:p>
        </w:tc>
      </w:tr>
      <w:tr w:rsidR="00F86F43" w:rsidRPr="000502E1" w14:paraId="3C892300" w14:textId="77777777" w:rsidTr="002C6BA3">
        <w:trPr>
          <w:jc w:val="center"/>
        </w:trPr>
        <w:tc>
          <w:tcPr>
            <w:tcW w:w="1819" w:type="dxa"/>
            <w:shd w:val="clear" w:color="auto" w:fill="auto"/>
          </w:tcPr>
          <w:p w14:paraId="5DDD5056" w14:textId="77777777" w:rsidR="00F86F43" w:rsidRPr="000502E1" w:rsidRDefault="00F86F43" w:rsidP="002C6BA3">
            <w:pPr>
              <w:spacing w:after="120"/>
              <w:rPr>
                <w:rFonts w:eastAsia="Times New Roman" w:cs="Times New Roman"/>
                <w:b/>
                <w:sz w:val="20"/>
                <w:szCs w:val="20"/>
              </w:rPr>
            </w:pPr>
            <w:r w:rsidRPr="000502E1">
              <w:rPr>
                <w:rFonts w:eastAsia="Times New Roman" w:cs="Times New Roman"/>
                <w:b/>
                <w:sz w:val="20"/>
                <w:szCs w:val="20"/>
              </w:rPr>
              <w:t>Status</w:t>
            </w:r>
          </w:p>
        </w:tc>
        <w:tc>
          <w:tcPr>
            <w:tcW w:w="1511" w:type="dxa"/>
            <w:shd w:val="clear" w:color="auto" w:fill="D9D9D9" w:themeFill="background1" w:themeFillShade="D9"/>
          </w:tcPr>
          <w:p w14:paraId="0E5FDE78" w14:textId="77777777" w:rsidR="00F86F43" w:rsidRPr="000502E1" w:rsidRDefault="00F86F43" w:rsidP="002C6BA3">
            <w:pPr>
              <w:spacing w:after="120"/>
              <w:rPr>
                <w:rFonts w:eastAsia="Times New Roman" w:cs="Times New Roman"/>
                <w:sz w:val="20"/>
                <w:szCs w:val="20"/>
              </w:rPr>
            </w:pPr>
          </w:p>
        </w:tc>
        <w:tc>
          <w:tcPr>
            <w:tcW w:w="1620" w:type="dxa"/>
            <w:shd w:val="clear" w:color="auto" w:fill="D9D9D9" w:themeFill="background1" w:themeFillShade="D9"/>
          </w:tcPr>
          <w:p w14:paraId="0EE6524D" w14:textId="77777777" w:rsidR="00F86F43" w:rsidRPr="000502E1" w:rsidRDefault="00F86F43" w:rsidP="002C6BA3">
            <w:pPr>
              <w:jc w:val="center"/>
              <w:rPr>
                <w:rFonts w:eastAsia="Times New Roman" w:cs="Times New Roman"/>
                <w:sz w:val="20"/>
                <w:szCs w:val="20"/>
              </w:rPr>
            </w:pPr>
          </w:p>
        </w:tc>
        <w:tc>
          <w:tcPr>
            <w:tcW w:w="1975" w:type="dxa"/>
            <w:shd w:val="clear" w:color="auto" w:fill="F4B083" w:themeFill="accent2" w:themeFillTint="99"/>
            <w:noWrap/>
          </w:tcPr>
          <w:p w14:paraId="34F009FF" w14:textId="77777777" w:rsidR="00F86F43" w:rsidRPr="000502E1" w:rsidRDefault="00F86F43" w:rsidP="002C6BA3">
            <w:pPr>
              <w:rPr>
                <w:rFonts w:eastAsia="Times New Roman" w:cs="Times New Roman"/>
                <w:b/>
                <w:bCs/>
                <w:sz w:val="20"/>
                <w:szCs w:val="20"/>
              </w:rPr>
            </w:pPr>
            <w:r w:rsidRPr="000502E1">
              <w:rPr>
                <w:rFonts w:eastAsia="Times New Roman" w:cs="Times New Roman"/>
                <w:b/>
                <w:bCs/>
                <w:sz w:val="20"/>
                <w:szCs w:val="20"/>
              </w:rPr>
              <w:t>Pending</w:t>
            </w:r>
          </w:p>
        </w:tc>
        <w:tc>
          <w:tcPr>
            <w:tcW w:w="1980" w:type="dxa"/>
            <w:shd w:val="clear" w:color="auto" w:fill="F4B083" w:themeFill="accent2" w:themeFillTint="99"/>
            <w:noWrap/>
          </w:tcPr>
          <w:p w14:paraId="77BC540D" w14:textId="77777777" w:rsidR="00F86F43" w:rsidRPr="000502E1" w:rsidRDefault="00F86F43" w:rsidP="002C6BA3">
            <w:pPr>
              <w:rPr>
                <w:rFonts w:eastAsia="Times New Roman" w:cs="Times New Roman"/>
                <w:b/>
                <w:bCs/>
                <w:sz w:val="20"/>
                <w:szCs w:val="20"/>
              </w:rPr>
            </w:pPr>
            <w:r w:rsidRPr="000502E1">
              <w:rPr>
                <w:rFonts w:eastAsia="Times New Roman" w:cs="Times New Roman"/>
                <w:b/>
                <w:bCs/>
                <w:sz w:val="20"/>
                <w:szCs w:val="20"/>
              </w:rPr>
              <w:t>Pending</w:t>
            </w:r>
          </w:p>
        </w:tc>
        <w:tc>
          <w:tcPr>
            <w:tcW w:w="1530" w:type="dxa"/>
            <w:shd w:val="clear" w:color="auto" w:fill="F4B083" w:themeFill="accent2" w:themeFillTint="99"/>
            <w:noWrap/>
          </w:tcPr>
          <w:p w14:paraId="0EF15D74" w14:textId="77777777" w:rsidR="00F86F43" w:rsidRPr="000502E1" w:rsidRDefault="00F86F43" w:rsidP="002C6BA3">
            <w:pPr>
              <w:spacing w:after="120"/>
              <w:rPr>
                <w:rFonts w:eastAsia="Times New Roman" w:cs="Times New Roman"/>
                <w:b/>
                <w:bCs/>
                <w:sz w:val="20"/>
                <w:szCs w:val="20"/>
              </w:rPr>
            </w:pPr>
            <w:r w:rsidRPr="000502E1">
              <w:rPr>
                <w:rFonts w:eastAsia="Times New Roman" w:cs="Times New Roman"/>
                <w:b/>
                <w:bCs/>
                <w:sz w:val="20"/>
                <w:szCs w:val="20"/>
              </w:rPr>
              <w:t>Pending</w:t>
            </w:r>
          </w:p>
        </w:tc>
        <w:tc>
          <w:tcPr>
            <w:tcW w:w="3177" w:type="dxa"/>
            <w:shd w:val="clear" w:color="auto" w:fill="D9D9D9" w:themeFill="background1" w:themeFillShade="D9"/>
          </w:tcPr>
          <w:p w14:paraId="5C9ADFD0" w14:textId="77777777" w:rsidR="00F86F43" w:rsidRPr="000502E1" w:rsidRDefault="00F86F43" w:rsidP="002C6BA3">
            <w:pPr>
              <w:spacing w:after="120"/>
              <w:rPr>
                <w:rFonts w:eastAsia="Times New Roman" w:cs="Times New Roman"/>
                <w:b/>
                <w:bCs/>
                <w:sz w:val="20"/>
                <w:szCs w:val="20"/>
              </w:rPr>
            </w:pPr>
          </w:p>
        </w:tc>
      </w:tr>
    </w:tbl>
    <w:p w14:paraId="480043C8" w14:textId="77777777" w:rsidR="00F86F43" w:rsidRDefault="00F86F43" w:rsidP="003925CE">
      <w:pPr>
        <w:jc w:val="center"/>
        <w:rPr>
          <w:rFonts w:eastAsia="Calibri" w:cs="Times New Roman"/>
          <w:szCs w:val="24"/>
        </w:rPr>
      </w:pPr>
    </w:p>
    <w:tbl>
      <w:tblPr>
        <w:tblW w:w="13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9"/>
        <w:gridCol w:w="1511"/>
        <w:gridCol w:w="1620"/>
        <w:gridCol w:w="1975"/>
        <w:gridCol w:w="1980"/>
        <w:gridCol w:w="1530"/>
        <w:gridCol w:w="3177"/>
      </w:tblGrid>
      <w:tr w:rsidR="002C5B74" w:rsidRPr="000502E1" w14:paraId="0CAAA000" w14:textId="77777777" w:rsidTr="002C6BA3">
        <w:trPr>
          <w:jc w:val="center"/>
        </w:trPr>
        <w:tc>
          <w:tcPr>
            <w:tcW w:w="1819" w:type="dxa"/>
            <w:shd w:val="clear" w:color="auto" w:fill="auto"/>
            <w:vAlign w:val="center"/>
          </w:tcPr>
          <w:p w14:paraId="370329E6" w14:textId="77777777" w:rsidR="002C5B74" w:rsidRPr="000502E1" w:rsidRDefault="002C5B74" w:rsidP="002C6BA3">
            <w:pPr>
              <w:spacing w:after="120"/>
              <w:jc w:val="center"/>
              <w:rPr>
                <w:rFonts w:eastAsia="Times New Roman" w:cs="Times New Roman"/>
                <w:sz w:val="20"/>
                <w:szCs w:val="20"/>
              </w:rPr>
            </w:pPr>
            <w:r w:rsidRPr="000502E1">
              <w:rPr>
                <w:rFonts w:eastAsia="Times New Roman" w:cs="Times New Roman"/>
                <w:b/>
                <w:bCs/>
                <w:sz w:val="20"/>
                <w:szCs w:val="20"/>
              </w:rPr>
              <w:t>DLI Indicators</w:t>
            </w:r>
          </w:p>
        </w:tc>
        <w:tc>
          <w:tcPr>
            <w:tcW w:w="1511" w:type="dxa"/>
            <w:shd w:val="clear" w:color="auto" w:fill="auto"/>
            <w:vAlign w:val="center"/>
          </w:tcPr>
          <w:p w14:paraId="0F6B326D" w14:textId="77777777" w:rsidR="002C5B74" w:rsidRPr="000502E1" w:rsidRDefault="002C5B74" w:rsidP="002C6BA3">
            <w:pPr>
              <w:spacing w:after="120"/>
              <w:jc w:val="center"/>
              <w:rPr>
                <w:rFonts w:eastAsia="Times New Roman" w:cs="Times New Roman"/>
                <w:sz w:val="20"/>
                <w:szCs w:val="20"/>
              </w:rPr>
            </w:pPr>
            <w:r w:rsidRPr="000502E1">
              <w:rPr>
                <w:rFonts w:eastAsia="Times New Roman" w:cs="Times New Roman"/>
                <w:b/>
                <w:bCs/>
                <w:sz w:val="20"/>
                <w:szCs w:val="20"/>
              </w:rPr>
              <w:t>Baseline</w:t>
            </w:r>
          </w:p>
        </w:tc>
        <w:tc>
          <w:tcPr>
            <w:tcW w:w="1620" w:type="dxa"/>
            <w:shd w:val="clear" w:color="auto" w:fill="auto"/>
            <w:vAlign w:val="center"/>
          </w:tcPr>
          <w:p w14:paraId="1E7A3938" w14:textId="77777777" w:rsidR="002C5B74" w:rsidRPr="000502E1" w:rsidRDefault="002C5B74" w:rsidP="002C6BA3">
            <w:pPr>
              <w:jc w:val="center"/>
              <w:rPr>
                <w:rFonts w:eastAsia="Times New Roman" w:cs="Times New Roman"/>
                <w:sz w:val="20"/>
                <w:szCs w:val="20"/>
              </w:rPr>
            </w:pPr>
            <w:r w:rsidRPr="000502E1">
              <w:rPr>
                <w:rFonts w:eastAsia="Times New Roman" w:cs="Times New Roman"/>
                <w:b/>
                <w:bCs/>
                <w:sz w:val="20"/>
                <w:szCs w:val="20"/>
              </w:rPr>
              <w:t>Results to be achieved by June 30, 2018</w:t>
            </w:r>
          </w:p>
        </w:tc>
        <w:tc>
          <w:tcPr>
            <w:tcW w:w="1975" w:type="dxa"/>
            <w:shd w:val="clear" w:color="auto" w:fill="auto"/>
            <w:noWrap/>
            <w:vAlign w:val="center"/>
          </w:tcPr>
          <w:p w14:paraId="51F1E6F8" w14:textId="77777777" w:rsidR="002C5B74" w:rsidRPr="000502E1" w:rsidRDefault="002C5B74" w:rsidP="002C6BA3">
            <w:pPr>
              <w:jc w:val="center"/>
              <w:rPr>
                <w:rFonts w:eastAsia="Times New Roman" w:cs="Times New Roman"/>
                <w:sz w:val="20"/>
                <w:szCs w:val="20"/>
              </w:rPr>
            </w:pPr>
            <w:r w:rsidRPr="000502E1">
              <w:rPr>
                <w:rFonts w:eastAsia="Times New Roman" w:cs="Times New Roman"/>
                <w:b/>
                <w:bCs/>
                <w:sz w:val="20"/>
                <w:szCs w:val="20"/>
              </w:rPr>
              <w:t>Results to be achieved by June 30, 2019</w:t>
            </w:r>
          </w:p>
        </w:tc>
        <w:tc>
          <w:tcPr>
            <w:tcW w:w="1980" w:type="dxa"/>
            <w:shd w:val="clear" w:color="auto" w:fill="auto"/>
            <w:noWrap/>
            <w:vAlign w:val="center"/>
          </w:tcPr>
          <w:p w14:paraId="483698D3" w14:textId="77777777" w:rsidR="002C5B74" w:rsidRPr="000502E1" w:rsidRDefault="002C5B74" w:rsidP="002C6BA3">
            <w:pPr>
              <w:jc w:val="center"/>
              <w:rPr>
                <w:rFonts w:eastAsia="Times New Roman" w:cs="Times New Roman"/>
                <w:sz w:val="20"/>
                <w:szCs w:val="20"/>
              </w:rPr>
            </w:pPr>
            <w:r w:rsidRPr="000502E1">
              <w:rPr>
                <w:rFonts w:eastAsia="Times New Roman" w:cs="Times New Roman"/>
                <w:b/>
                <w:bCs/>
                <w:sz w:val="20"/>
                <w:szCs w:val="20"/>
              </w:rPr>
              <w:t>Results to be achieved by June 30, 2020</w:t>
            </w:r>
          </w:p>
        </w:tc>
        <w:tc>
          <w:tcPr>
            <w:tcW w:w="1530" w:type="dxa"/>
            <w:shd w:val="clear" w:color="auto" w:fill="auto"/>
            <w:noWrap/>
            <w:vAlign w:val="center"/>
          </w:tcPr>
          <w:p w14:paraId="7191C398" w14:textId="77777777" w:rsidR="002C5B74" w:rsidRPr="000502E1" w:rsidRDefault="002C5B74" w:rsidP="002C6BA3">
            <w:pPr>
              <w:jc w:val="center"/>
              <w:rPr>
                <w:rFonts w:eastAsia="Times New Roman" w:cs="Times New Roman"/>
                <w:b/>
                <w:kern w:val="24"/>
                <w:sz w:val="20"/>
                <w:szCs w:val="20"/>
              </w:rPr>
            </w:pPr>
            <w:r w:rsidRPr="000502E1">
              <w:rPr>
                <w:rFonts w:eastAsia="Times New Roman" w:cs="Times New Roman"/>
                <w:b/>
                <w:bCs/>
                <w:sz w:val="20"/>
                <w:szCs w:val="20"/>
              </w:rPr>
              <w:t>Results to be achieved by June 30, 2021</w:t>
            </w:r>
          </w:p>
        </w:tc>
        <w:tc>
          <w:tcPr>
            <w:tcW w:w="3177" w:type="dxa"/>
            <w:vAlign w:val="center"/>
          </w:tcPr>
          <w:p w14:paraId="0009A279" w14:textId="77777777" w:rsidR="002C5B74" w:rsidRPr="000502E1" w:rsidRDefault="002C5B74" w:rsidP="002C6BA3">
            <w:pPr>
              <w:pStyle w:val="ListParagraph"/>
              <w:ind w:left="227"/>
              <w:jc w:val="center"/>
              <w:rPr>
                <w:rFonts w:eastAsia="Times New Roman" w:cs="Times New Roman"/>
                <w:kern w:val="24"/>
                <w:sz w:val="20"/>
                <w:szCs w:val="20"/>
              </w:rPr>
            </w:pPr>
            <w:r w:rsidRPr="000502E1">
              <w:rPr>
                <w:rFonts w:eastAsia="Times New Roman" w:cs="Times New Roman"/>
                <w:b/>
                <w:bCs/>
                <w:sz w:val="20"/>
                <w:szCs w:val="20"/>
              </w:rPr>
              <w:t>Status Update</w:t>
            </w:r>
          </w:p>
        </w:tc>
      </w:tr>
      <w:tr w:rsidR="002C5B74" w:rsidRPr="000502E1" w14:paraId="098D5F4B" w14:textId="77777777" w:rsidTr="002C6BA3">
        <w:trPr>
          <w:jc w:val="center"/>
        </w:trPr>
        <w:tc>
          <w:tcPr>
            <w:tcW w:w="1819" w:type="dxa"/>
            <w:shd w:val="clear" w:color="auto" w:fill="auto"/>
          </w:tcPr>
          <w:p w14:paraId="08C8E1A4" w14:textId="77777777" w:rsidR="002C5B74" w:rsidRPr="000502E1" w:rsidRDefault="002C5B74" w:rsidP="002C6BA3">
            <w:pPr>
              <w:spacing w:after="120"/>
              <w:rPr>
                <w:rFonts w:eastAsia="Times New Roman" w:cs="Times New Roman"/>
                <w:sz w:val="20"/>
                <w:szCs w:val="20"/>
              </w:rPr>
            </w:pPr>
            <w:r w:rsidRPr="000502E1">
              <w:rPr>
                <w:rFonts w:eastAsia="Times New Roman" w:cs="Times New Roman"/>
                <w:sz w:val="20"/>
                <w:szCs w:val="20"/>
                <w:highlight w:val="cyan"/>
              </w:rPr>
              <w:t>DLI #3:</w:t>
            </w:r>
            <w:r w:rsidRPr="000502E1">
              <w:rPr>
                <w:rFonts w:eastAsia="Times New Roman" w:cs="Times New Roman"/>
                <w:sz w:val="20"/>
                <w:szCs w:val="20"/>
              </w:rPr>
              <w:t xml:space="preserve"> Improve oversight and monitoring of SOEs</w:t>
            </w:r>
          </w:p>
        </w:tc>
        <w:tc>
          <w:tcPr>
            <w:tcW w:w="1511" w:type="dxa"/>
            <w:shd w:val="clear" w:color="auto" w:fill="auto"/>
          </w:tcPr>
          <w:p w14:paraId="1D851635" w14:textId="5E40A5B1" w:rsidR="002C5B74" w:rsidRPr="000502E1" w:rsidRDefault="002C5B74" w:rsidP="002C6BA3">
            <w:pPr>
              <w:spacing w:after="120"/>
              <w:rPr>
                <w:rFonts w:eastAsia="Times New Roman" w:cs="Times New Roman"/>
                <w:sz w:val="20"/>
                <w:szCs w:val="20"/>
              </w:rPr>
            </w:pPr>
            <w:r w:rsidRPr="000502E1">
              <w:rPr>
                <w:rFonts w:eastAsia="Times New Roman" w:cs="Times New Roman"/>
                <w:sz w:val="20"/>
                <w:szCs w:val="20"/>
              </w:rPr>
              <w:t xml:space="preserve">SOE oversight and monitoring is overseen by the Privatization and </w:t>
            </w:r>
            <w:r w:rsidR="003A0F40" w:rsidRPr="000502E1">
              <w:rPr>
                <w:rFonts w:eastAsia="Times New Roman" w:cs="Times New Roman"/>
                <w:sz w:val="20"/>
                <w:szCs w:val="20"/>
              </w:rPr>
              <w:t>Corporatization</w:t>
            </w:r>
            <w:r w:rsidRPr="000502E1">
              <w:rPr>
                <w:rFonts w:eastAsia="Times New Roman" w:cs="Times New Roman"/>
                <w:sz w:val="20"/>
                <w:szCs w:val="20"/>
              </w:rPr>
              <w:t xml:space="preserve"> Board (PCB) Act but not fully functional.</w:t>
            </w:r>
          </w:p>
        </w:tc>
        <w:tc>
          <w:tcPr>
            <w:tcW w:w="1620" w:type="dxa"/>
            <w:shd w:val="clear" w:color="auto" w:fill="auto"/>
          </w:tcPr>
          <w:p w14:paraId="15B1B76E" w14:textId="77777777" w:rsidR="002C5B74" w:rsidRPr="000502E1" w:rsidRDefault="002C5B74" w:rsidP="002C6BA3">
            <w:pPr>
              <w:rPr>
                <w:rFonts w:eastAsia="Times New Roman" w:cs="Times New Roman"/>
                <w:sz w:val="20"/>
                <w:szCs w:val="20"/>
              </w:rPr>
            </w:pPr>
            <w:r w:rsidRPr="000502E1">
              <w:rPr>
                <w:rFonts w:eastAsia="Times New Roman" w:cs="Times New Roman"/>
                <w:sz w:val="20"/>
                <w:szCs w:val="20"/>
              </w:rPr>
              <w:t>PCB secretariat at MoF staffed with a corporate governance specialist</w:t>
            </w:r>
          </w:p>
        </w:tc>
        <w:tc>
          <w:tcPr>
            <w:tcW w:w="1975" w:type="dxa"/>
            <w:shd w:val="clear" w:color="auto" w:fill="auto"/>
            <w:noWrap/>
          </w:tcPr>
          <w:p w14:paraId="5DD6C5DC" w14:textId="77777777" w:rsidR="002C5B74" w:rsidRPr="000502E1" w:rsidRDefault="002C5B74" w:rsidP="002C6BA3">
            <w:pPr>
              <w:rPr>
                <w:rFonts w:eastAsia="Times New Roman" w:cs="Times New Roman"/>
                <w:sz w:val="20"/>
                <w:szCs w:val="20"/>
              </w:rPr>
            </w:pPr>
            <w:r w:rsidRPr="000502E1">
              <w:rPr>
                <w:rFonts w:eastAsia="Times New Roman" w:cs="Times New Roman"/>
                <w:sz w:val="20"/>
                <w:szCs w:val="20"/>
              </w:rPr>
              <w:t xml:space="preserve">Joint performance monitoring framework for SOEs has been signed between the Minister of Finance and the president of the PCB. </w:t>
            </w:r>
          </w:p>
        </w:tc>
        <w:tc>
          <w:tcPr>
            <w:tcW w:w="1980" w:type="dxa"/>
            <w:shd w:val="clear" w:color="auto" w:fill="auto"/>
            <w:noWrap/>
          </w:tcPr>
          <w:p w14:paraId="13716D07" w14:textId="77777777" w:rsidR="002C5B74" w:rsidRPr="000502E1" w:rsidRDefault="002C5B74" w:rsidP="002C6BA3">
            <w:pPr>
              <w:rPr>
                <w:rFonts w:eastAsia="Times New Roman" w:cs="Times New Roman"/>
                <w:sz w:val="20"/>
                <w:szCs w:val="20"/>
              </w:rPr>
            </w:pPr>
            <w:r w:rsidRPr="000502E1">
              <w:rPr>
                <w:rFonts w:eastAsia="Times New Roman" w:cs="Times New Roman"/>
                <w:sz w:val="20"/>
                <w:szCs w:val="20"/>
              </w:rPr>
              <w:t>(i) The Board of Directors of the largest 10 SOE adopted procurement guidelines issued by PCB.</w:t>
            </w:r>
          </w:p>
          <w:p w14:paraId="017072CC" w14:textId="77777777" w:rsidR="002C5B74" w:rsidRPr="000502E1" w:rsidRDefault="002C5B74" w:rsidP="002C6BA3">
            <w:pPr>
              <w:rPr>
                <w:rFonts w:eastAsia="Times New Roman" w:cs="Times New Roman"/>
                <w:sz w:val="20"/>
                <w:szCs w:val="20"/>
              </w:rPr>
            </w:pPr>
            <w:r w:rsidRPr="000502E1">
              <w:rPr>
                <w:rFonts w:eastAsia="Times New Roman" w:cs="Times New Roman"/>
                <w:sz w:val="20"/>
                <w:szCs w:val="20"/>
              </w:rPr>
              <w:t>Formula- SDR 280,000 once at least 8 SOEs adopts the new procurement guidelines, and SDR 35000 for every SOE that adopts the same.</w:t>
            </w:r>
          </w:p>
          <w:p w14:paraId="51F0BA00" w14:textId="77777777" w:rsidR="002C5B74" w:rsidRPr="000502E1" w:rsidRDefault="002C5B74" w:rsidP="002C6BA3">
            <w:pPr>
              <w:rPr>
                <w:rFonts w:eastAsia="Times New Roman" w:cs="Times New Roman"/>
                <w:sz w:val="20"/>
                <w:szCs w:val="20"/>
              </w:rPr>
            </w:pPr>
          </w:p>
          <w:p w14:paraId="1B1C6D31" w14:textId="77777777" w:rsidR="002C5B74" w:rsidRPr="000502E1" w:rsidRDefault="002C5B74" w:rsidP="002C6BA3">
            <w:pPr>
              <w:rPr>
                <w:rFonts w:eastAsia="Times New Roman" w:cs="Times New Roman"/>
                <w:sz w:val="20"/>
                <w:szCs w:val="20"/>
              </w:rPr>
            </w:pPr>
            <w:r w:rsidRPr="000502E1">
              <w:rPr>
                <w:rFonts w:eastAsia="Times New Roman" w:cs="Times New Roman"/>
                <w:sz w:val="20"/>
                <w:szCs w:val="20"/>
              </w:rPr>
              <w:t>(ii) The Board of Directors of the five (5) largest SOEs adopted the new corporate governance code.</w:t>
            </w:r>
          </w:p>
        </w:tc>
        <w:tc>
          <w:tcPr>
            <w:tcW w:w="1530" w:type="dxa"/>
            <w:shd w:val="clear" w:color="auto" w:fill="auto"/>
            <w:noWrap/>
          </w:tcPr>
          <w:p w14:paraId="2C95B1EA" w14:textId="77777777" w:rsidR="002C5B74" w:rsidRPr="000502E1" w:rsidRDefault="002C5B74" w:rsidP="002C6BA3">
            <w:pPr>
              <w:jc w:val="center"/>
              <w:rPr>
                <w:rFonts w:eastAsia="Times New Roman" w:cs="Times New Roman"/>
                <w:b/>
                <w:kern w:val="24"/>
                <w:sz w:val="20"/>
                <w:szCs w:val="20"/>
              </w:rPr>
            </w:pPr>
          </w:p>
        </w:tc>
        <w:tc>
          <w:tcPr>
            <w:tcW w:w="3177" w:type="dxa"/>
          </w:tcPr>
          <w:p w14:paraId="05D731EE" w14:textId="77777777" w:rsidR="002C5B74" w:rsidRPr="000502E1" w:rsidRDefault="002C5B74" w:rsidP="002C5B74">
            <w:pPr>
              <w:pStyle w:val="ListParagraph"/>
              <w:numPr>
                <w:ilvl w:val="0"/>
                <w:numId w:val="15"/>
              </w:numPr>
              <w:ind w:left="227" w:hanging="270"/>
              <w:rPr>
                <w:rFonts w:eastAsia="Times New Roman" w:cs="Times New Roman"/>
                <w:kern w:val="24"/>
                <w:sz w:val="20"/>
                <w:szCs w:val="20"/>
              </w:rPr>
            </w:pPr>
            <w:r w:rsidRPr="000502E1">
              <w:rPr>
                <w:rFonts w:eastAsia="Times New Roman" w:cs="Times New Roman"/>
                <w:kern w:val="24"/>
                <w:sz w:val="20"/>
                <w:szCs w:val="20"/>
              </w:rPr>
              <w:t xml:space="preserve">Circular for JPMF was signed between Minister and President of PCB in Q2 2019. </w:t>
            </w:r>
            <w:r w:rsidRPr="000502E1">
              <w:rPr>
                <w:rFonts w:eastAsia="Times New Roman" w:cs="Times New Roman"/>
                <w:kern w:val="24"/>
                <w:sz w:val="20"/>
                <w:szCs w:val="20"/>
              </w:rPr>
              <w:br/>
            </w:r>
          </w:p>
          <w:p w14:paraId="2BA33BB9" w14:textId="77777777" w:rsidR="002C5B74" w:rsidRPr="000502E1" w:rsidRDefault="002C5B74" w:rsidP="002C5B74">
            <w:pPr>
              <w:pStyle w:val="ListParagraph"/>
              <w:numPr>
                <w:ilvl w:val="0"/>
                <w:numId w:val="15"/>
              </w:numPr>
              <w:ind w:left="227" w:hanging="270"/>
              <w:rPr>
                <w:rFonts w:eastAsia="Times New Roman" w:cs="Times New Roman"/>
                <w:kern w:val="24"/>
                <w:sz w:val="20"/>
                <w:szCs w:val="20"/>
              </w:rPr>
            </w:pPr>
            <w:r w:rsidRPr="000502E1">
              <w:rPr>
                <w:rFonts w:eastAsia="Times New Roman" w:cs="Times New Roman"/>
                <w:kern w:val="24"/>
                <w:sz w:val="20"/>
                <w:szCs w:val="20"/>
              </w:rPr>
              <w:t xml:space="preserve">10 largest SOE’s for the purpose of the DLI are: STO, MACL, IAS, STELCO, MTCC, </w:t>
            </w:r>
            <w:proofErr w:type="spellStart"/>
            <w:r w:rsidRPr="000502E1">
              <w:rPr>
                <w:rFonts w:eastAsia="Times New Roman" w:cs="Times New Roman"/>
                <w:kern w:val="24"/>
                <w:sz w:val="20"/>
                <w:szCs w:val="20"/>
              </w:rPr>
              <w:t>Fenaka</w:t>
            </w:r>
            <w:proofErr w:type="spellEnd"/>
            <w:r w:rsidRPr="000502E1">
              <w:rPr>
                <w:rFonts w:eastAsia="Times New Roman" w:cs="Times New Roman"/>
                <w:kern w:val="24"/>
                <w:sz w:val="20"/>
                <w:szCs w:val="20"/>
              </w:rPr>
              <w:t xml:space="preserve">, MWSC, MPA, HDC and </w:t>
            </w:r>
            <w:proofErr w:type="spellStart"/>
            <w:r w:rsidRPr="000502E1">
              <w:rPr>
                <w:rFonts w:eastAsia="Times New Roman" w:cs="Times New Roman"/>
                <w:kern w:val="24"/>
                <w:sz w:val="20"/>
                <w:szCs w:val="20"/>
              </w:rPr>
              <w:t>Wamco</w:t>
            </w:r>
            <w:proofErr w:type="spellEnd"/>
            <w:r w:rsidRPr="000502E1">
              <w:rPr>
                <w:rFonts w:eastAsia="Times New Roman" w:cs="Times New Roman"/>
                <w:kern w:val="24"/>
                <w:sz w:val="20"/>
                <w:szCs w:val="20"/>
              </w:rPr>
              <w:t>.</w:t>
            </w:r>
          </w:p>
          <w:p w14:paraId="3036EDE4" w14:textId="77777777" w:rsidR="002C5B74" w:rsidRPr="000502E1" w:rsidRDefault="002C5B74" w:rsidP="002C6BA3">
            <w:pPr>
              <w:pStyle w:val="ListParagraph"/>
              <w:ind w:left="227"/>
              <w:rPr>
                <w:rFonts w:eastAsia="Times New Roman" w:cs="Times New Roman"/>
                <w:kern w:val="24"/>
                <w:sz w:val="20"/>
                <w:szCs w:val="20"/>
              </w:rPr>
            </w:pPr>
            <w:r w:rsidRPr="000502E1">
              <w:rPr>
                <w:rFonts w:eastAsia="Times New Roman" w:cs="Times New Roman"/>
                <w:kern w:val="24"/>
                <w:sz w:val="20"/>
                <w:szCs w:val="20"/>
              </w:rPr>
              <w:t>To prepare the procurement guidelines, contract with selected firm is expected to be signed by 30</w:t>
            </w:r>
            <w:r w:rsidRPr="000502E1">
              <w:rPr>
                <w:rFonts w:eastAsia="Times New Roman" w:cs="Times New Roman"/>
                <w:kern w:val="24"/>
                <w:sz w:val="20"/>
                <w:szCs w:val="20"/>
                <w:vertAlign w:val="superscript"/>
              </w:rPr>
              <w:t>th</w:t>
            </w:r>
            <w:r w:rsidRPr="000502E1">
              <w:rPr>
                <w:rFonts w:eastAsia="Times New Roman" w:cs="Times New Roman"/>
                <w:kern w:val="24"/>
                <w:sz w:val="20"/>
                <w:szCs w:val="20"/>
              </w:rPr>
              <w:t xml:space="preserve"> November 2019. </w:t>
            </w:r>
            <w:r w:rsidRPr="000502E1">
              <w:rPr>
                <w:rFonts w:eastAsia="Times New Roman" w:cs="Times New Roman"/>
                <w:kern w:val="24"/>
                <w:sz w:val="20"/>
                <w:szCs w:val="20"/>
              </w:rPr>
              <w:br/>
            </w:r>
          </w:p>
          <w:p w14:paraId="46511AD2" w14:textId="77777777" w:rsidR="002C5B74" w:rsidRPr="000502E1" w:rsidRDefault="002C5B74" w:rsidP="002C5B74">
            <w:pPr>
              <w:pStyle w:val="ListParagraph"/>
              <w:numPr>
                <w:ilvl w:val="0"/>
                <w:numId w:val="15"/>
              </w:numPr>
              <w:ind w:left="227" w:hanging="270"/>
              <w:rPr>
                <w:rFonts w:eastAsia="Times New Roman" w:cs="Times New Roman"/>
                <w:kern w:val="24"/>
                <w:sz w:val="20"/>
                <w:szCs w:val="20"/>
              </w:rPr>
            </w:pPr>
            <w:r w:rsidRPr="000502E1">
              <w:rPr>
                <w:rFonts w:eastAsia="Times New Roman" w:cs="Times New Roman"/>
                <w:kern w:val="24"/>
                <w:sz w:val="20"/>
                <w:szCs w:val="20"/>
              </w:rPr>
              <w:t xml:space="preserve">5 largest SOE’s for the purpose of DLIs are MACL, IAS STELCO, </w:t>
            </w:r>
            <w:proofErr w:type="spellStart"/>
            <w:r w:rsidRPr="000502E1">
              <w:rPr>
                <w:rFonts w:eastAsia="Times New Roman" w:cs="Times New Roman"/>
                <w:kern w:val="24"/>
                <w:sz w:val="20"/>
                <w:szCs w:val="20"/>
              </w:rPr>
              <w:t>Fenaka</w:t>
            </w:r>
            <w:proofErr w:type="spellEnd"/>
            <w:r w:rsidRPr="000502E1">
              <w:rPr>
                <w:rFonts w:eastAsia="Times New Roman" w:cs="Times New Roman"/>
                <w:kern w:val="24"/>
                <w:sz w:val="20"/>
                <w:szCs w:val="20"/>
              </w:rPr>
              <w:t xml:space="preserve"> &amp; MWSC. </w:t>
            </w:r>
          </w:p>
          <w:p w14:paraId="307EBFB5" w14:textId="77777777" w:rsidR="002C5B74" w:rsidRPr="000502E1" w:rsidRDefault="002C5B74" w:rsidP="002C6BA3">
            <w:pPr>
              <w:pStyle w:val="ListParagraph"/>
              <w:ind w:left="227"/>
              <w:rPr>
                <w:rFonts w:eastAsia="Times New Roman" w:cs="Times New Roman"/>
                <w:kern w:val="24"/>
                <w:sz w:val="20"/>
                <w:szCs w:val="20"/>
              </w:rPr>
            </w:pPr>
            <w:r w:rsidRPr="000502E1">
              <w:rPr>
                <w:rFonts w:eastAsia="Times New Roman" w:cs="Times New Roman"/>
                <w:kern w:val="24"/>
                <w:sz w:val="20"/>
                <w:szCs w:val="20"/>
              </w:rPr>
              <w:t xml:space="preserve">MACL, </w:t>
            </w:r>
            <w:proofErr w:type="spellStart"/>
            <w:r w:rsidRPr="000502E1">
              <w:rPr>
                <w:rFonts w:eastAsia="Times New Roman" w:cs="Times New Roman"/>
                <w:kern w:val="24"/>
                <w:sz w:val="20"/>
                <w:szCs w:val="20"/>
              </w:rPr>
              <w:t>Fenaka</w:t>
            </w:r>
            <w:proofErr w:type="spellEnd"/>
            <w:r w:rsidRPr="000502E1">
              <w:rPr>
                <w:rFonts w:eastAsia="Times New Roman" w:cs="Times New Roman"/>
                <w:kern w:val="24"/>
                <w:sz w:val="20"/>
                <w:szCs w:val="20"/>
              </w:rPr>
              <w:t xml:space="preserve"> and MWSC have adopted the new CGC as required by PCB. However, while STELCO and IAS have adopted the CGC to an extent, they are yet to completely adopt the code. </w:t>
            </w:r>
          </w:p>
        </w:tc>
      </w:tr>
      <w:tr w:rsidR="002C5B74" w:rsidRPr="000502E1" w14:paraId="3BFA90BE" w14:textId="77777777" w:rsidTr="002C6BA3">
        <w:trPr>
          <w:jc w:val="center"/>
        </w:trPr>
        <w:tc>
          <w:tcPr>
            <w:tcW w:w="1819" w:type="dxa"/>
            <w:shd w:val="clear" w:color="auto" w:fill="auto"/>
          </w:tcPr>
          <w:p w14:paraId="0F8D803D" w14:textId="77777777" w:rsidR="002C5B74" w:rsidRPr="000502E1" w:rsidRDefault="002C5B74" w:rsidP="002C6BA3">
            <w:pPr>
              <w:spacing w:after="120"/>
              <w:rPr>
                <w:rFonts w:eastAsia="Times New Roman" w:cs="Times New Roman"/>
                <w:b/>
                <w:sz w:val="20"/>
                <w:szCs w:val="20"/>
              </w:rPr>
            </w:pPr>
            <w:r w:rsidRPr="000502E1">
              <w:rPr>
                <w:rFonts w:eastAsia="Times New Roman" w:cs="Times New Roman"/>
                <w:b/>
                <w:sz w:val="20"/>
                <w:szCs w:val="20"/>
              </w:rPr>
              <w:t>DLI #3 Value: 1.05 Mio SDR</w:t>
            </w:r>
          </w:p>
        </w:tc>
        <w:tc>
          <w:tcPr>
            <w:tcW w:w="1511" w:type="dxa"/>
            <w:shd w:val="clear" w:color="auto" w:fill="D9D9D9" w:themeFill="background1" w:themeFillShade="D9"/>
          </w:tcPr>
          <w:p w14:paraId="427D5C48" w14:textId="77777777" w:rsidR="002C5B74" w:rsidRPr="000502E1" w:rsidRDefault="002C5B74" w:rsidP="002C6BA3">
            <w:pPr>
              <w:spacing w:after="120"/>
              <w:rPr>
                <w:rFonts w:eastAsia="Times New Roman" w:cs="Times New Roman"/>
                <w:b/>
                <w:sz w:val="20"/>
                <w:szCs w:val="20"/>
              </w:rPr>
            </w:pPr>
          </w:p>
        </w:tc>
        <w:tc>
          <w:tcPr>
            <w:tcW w:w="1620" w:type="dxa"/>
            <w:shd w:val="clear" w:color="auto" w:fill="D9D9D9" w:themeFill="background1" w:themeFillShade="D9"/>
          </w:tcPr>
          <w:p w14:paraId="5E4A11DE" w14:textId="77777777" w:rsidR="002C5B74" w:rsidRPr="000502E1" w:rsidRDefault="002C5B74" w:rsidP="002C6BA3">
            <w:pPr>
              <w:spacing w:before="100" w:beforeAutospacing="1" w:after="100" w:afterAutospacing="1"/>
              <w:rPr>
                <w:rFonts w:eastAsia="Times New Roman" w:cs="Times New Roman"/>
                <w:b/>
                <w:sz w:val="20"/>
                <w:szCs w:val="20"/>
              </w:rPr>
            </w:pPr>
          </w:p>
        </w:tc>
        <w:tc>
          <w:tcPr>
            <w:tcW w:w="1975" w:type="dxa"/>
            <w:shd w:val="clear" w:color="auto" w:fill="92D050"/>
            <w:noWrap/>
          </w:tcPr>
          <w:p w14:paraId="5A9C5813" w14:textId="77777777" w:rsidR="002C5B74" w:rsidRPr="000502E1" w:rsidRDefault="002C5B74" w:rsidP="002C6BA3">
            <w:pPr>
              <w:spacing w:before="100" w:beforeAutospacing="1" w:after="100" w:afterAutospacing="1"/>
              <w:rPr>
                <w:rFonts w:eastAsia="Times New Roman" w:cs="Times New Roman"/>
                <w:b/>
                <w:sz w:val="20"/>
                <w:szCs w:val="20"/>
              </w:rPr>
            </w:pPr>
            <w:r w:rsidRPr="000502E1">
              <w:rPr>
                <w:rFonts w:eastAsia="Times New Roman" w:cs="Times New Roman"/>
                <w:b/>
                <w:sz w:val="20"/>
                <w:szCs w:val="20"/>
              </w:rPr>
              <w:t>350 000 SDR</w:t>
            </w:r>
          </w:p>
        </w:tc>
        <w:tc>
          <w:tcPr>
            <w:tcW w:w="1980" w:type="dxa"/>
            <w:shd w:val="clear" w:color="auto" w:fill="F4B083" w:themeFill="accent2" w:themeFillTint="99"/>
            <w:noWrap/>
          </w:tcPr>
          <w:p w14:paraId="3AEBB65B" w14:textId="77777777" w:rsidR="002C5B74" w:rsidRPr="000502E1" w:rsidRDefault="002C5B74" w:rsidP="002C6BA3">
            <w:pPr>
              <w:spacing w:before="100" w:beforeAutospacing="1" w:after="100" w:afterAutospacing="1"/>
              <w:rPr>
                <w:rFonts w:eastAsia="Times New Roman" w:cs="Times New Roman"/>
                <w:b/>
                <w:sz w:val="20"/>
                <w:szCs w:val="20"/>
              </w:rPr>
            </w:pPr>
            <w:r w:rsidRPr="000502E1">
              <w:rPr>
                <w:rFonts w:eastAsia="Times New Roman" w:cs="Times New Roman"/>
                <w:b/>
                <w:sz w:val="20"/>
                <w:szCs w:val="20"/>
              </w:rPr>
              <w:t>700 000 SDR</w:t>
            </w:r>
          </w:p>
        </w:tc>
        <w:tc>
          <w:tcPr>
            <w:tcW w:w="1530" w:type="dxa"/>
            <w:shd w:val="clear" w:color="auto" w:fill="D9D9D9" w:themeFill="background1" w:themeFillShade="D9"/>
            <w:noWrap/>
          </w:tcPr>
          <w:p w14:paraId="7FBF98A5" w14:textId="77777777" w:rsidR="002C5B74" w:rsidRPr="000502E1" w:rsidRDefault="002C5B74" w:rsidP="002C6BA3">
            <w:pPr>
              <w:spacing w:after="120"/>
              <w:rPr>
                <w:rFonts w:eastAsia="Times New Roman" w:cs="Times New Roman"/>
                <w:b/>
                <w:sz w:val="20"/>
                <w:szCs w:val="20"/>
              </w:rPr>
            </w:pPr>
          </w:p>
        </w:tc>
        <w:tc>
          <w:tcPr>
            <w:tcW w:w="3177" w:type="dxa"/>
            <w:shd w:val="clear" w:color="auto" w:fill="D9D9D9" w:themeFill="background1" w:themeFillShade="D9"/>
          </w:tcPr>
          <w:p w14:paraId="744FFF1A" w14:textId="77777777" w:rsidR="002C5B74" w:rsidRPr="000502E1" w:rsidRDefault="002C5B74" w:rsidP="002C6BA3">
            <w:pPr>
              <w:spacing w:after="120"/>
              <w:rPr>
                <w:rFonts w:eastAsia="Times New Roman" w:cs="Times New Roman"/>
                <w:b/>
                <w:sz w:val="20"/>
                <w:szCs w:val="20"/>
              </w:rPr>
            </w:pPr>
          </w:p>
        </w:tc>
      </w:tr>
      <w:tr w:rsidR="002C5B74" w:rsidRPr="000502E1" w14:paraId="37E323A7" w14:textId="77777777" w:rsidTr="002C6BA3">
        <w:trPr>
          <w:jc w:val="center"/>
        </w:trPr>
        <w:tc>
          <w:tcPr>
            <w:tcW w:w="1819" w:type="dxa"/>
            <w:shd w:val="clear" w:color="auto" w:fill="auto"/>
          </w:tcPr>
          <w:p w14:paraId="168F8C16" w14:textId="77777777" w:rsidR="002C5B74" w:rsidRPr="000502E1" w:rsidRDefault="002C5B74" w:rsidP="002C6BA3">
            <w:pPr>
              <w:spacing w:after="120"/>
              <w:rPr>
                <w:rFonts w:eastAsia="Times New Roman" w:cs="Times New Roman"/>
                <w:b/>
                <w:sz w:val="20"/>
                <w:szCs w:val="20"/>
              </w:rPr>
            </w:pPr>
            <w:r w:rsidRPr="000502E1">
              <w:rPr>
                <w:rFonts w:eastAsia="Times New Roman" w:cs="Times New Roman"/>
                <w:b/>
                <w:sz w:val="20"/>
                <w:szCs w:val="20"/>
              </w:rPr>
              <w:t>Status</w:t>
            </w:r>
          </w:p>
        </w:tc>
        <w:tc>
          <w:tcPr>
            <w:tcW w:w="1511" w:type="dxa"/>
            <w:shd w:val="clear" w:color="auto" w:fill="D9D9D9" w:themeFill="background1" w:themeFillShade="D9"/>
          </w:tcPr>
          <w:p w14:paraId="1BFDF146" w14:textId="77777777" w:rsidR="002C5B74" w:rsidRPr="000502E1" w:rsidRDefault="002C5B74" w:rsidP="002C6BA3">
            <w:pPr>
              <w:spacing w:after="120"/>
              <w:rPr>
                <w:rFonts w:eastAsia="Times New Roman" w:cs="Times New Roman"/>
                <w:b/>
                <w:sz w:val="20"/>
                <w:szCs w:val="20"/>
              </w:rPr>
            </w:pPr>
          </w:p>
        </w:tc>
        <w:tc>
          <w:tcPr>
            <w:tcW w:w="1620" w:type="dxa"/>
            <w:shd w:val="clear" w:color="auto" w:fill="D9D9D9" w:themeFill="background1" w:themeFillShade="D9"/>
          </w:tcPr>
          <w:p w14:paraId="781DD6A1" w14:textId="77777777" w:rsidR="002C5B74" w:rsidRPr="000502E1" w:rsidRDefault="002C5B74" w:rsidP="002C6BA3">
            <w:pPr>
              <w:spacing w:before="100" w:beforeAutospacing="1" w:after="100" w:afterAutospacing="1"/>
              <w:rPr>
                <w:rFonts w:eastAsia="Times New Roman" w:cs="Times New Roman"/>
                <w:b/>
                <w:sz w:val="20"/>
                <w:szCs w:val="20"/>
              </w:rPr>
            </w:pPr>
          </w:p>
        </w:tc>
        <w:tc>
          <w:tcPr>
            <w:tcW w:w="1975" w:type="dxa"/>
            <w:shd w:val="clear" w:color="auto" w:fill="92D050"/>
            <w:noWrap/>
          </w:tcPr>
          <w:p w14:paraId="2BBFD447" w14:textId="77777777" w:rsidR="002C5B74" w:rsidRPr="000502E1" w:rsidRDefault="002C5B74" w:rsidP="002C6BA3">
            <w:pPr>
              <w:spacing w:before="100" w:beforeAutospacing="1" w:after="100" w:afterAutospacing="1"/>
              <w:rPr>
                <w:rFonts w:eastAsia="Times New Roman" w:cs="Times New Roman"/>
                <w:b/>
                <w:sz w:val="20"/>
                <w:szCs w:val="20"/>
              </w:rPr>
            </w:pPr>
            <w:r w:rsidRPr="000502E1">
              <w:rPr>
                <w:rFonts w:eastAsia="Times New Roman" w:cs="Times New Roman"/>
                <w:b/>
                <w:sz w:val="20"/>
                <w:szCs w:val="20"/>
              </w:rPr>
              <w:t>Achieved</w:t>
            </w:r>
          </w:p>
        </w:tc>
        <w:tc>
          <w:tcPr>
            <w:tcW w:w="1980" w:type="dxa"/>
            <w:shd w:val="clear" w:color="auto" w:fill="F4B083" w:themeFill="accent2" w:themeFillTint="99"/>
            <w:noWrap/>
          </w:tcPr>
          <w:p w14:paraId="793F6FF2" w14:textId="77777777" w:rsidR="002C5B74" w:rsidRPr="000502E1" w:rsidRDefault="002C5B74" w:rsidP="002C6BA3">
            <w:pPr>
              <w:spacing w:before="100" w:beforeAutospacing="1" w:after="100" w:afterAutospacing="1"/>
              <w:rPr>
                <w:rFonts w:eastAsia="Times New Roman" w:cs="Times New Roman"/>
                <w:b/>
                <w:sz w:val="20"/>
                <w:szCs w:val="20"/>
              </w:rPr>
            </w:pPr>
            <w:r w:rsidRPr="000502E1">
              <w:rPr>
                <w:rFonts w:eastAsia="Times New Roman" w:cs="Times New Roman"/>
                <w:b/>
                <w:sz w:val="20"/>
                <w:szCs w:val="20"/>
              </w:rPr>
              <w:t>Pending</w:t>
            </w:r>
          </w:p>
        </w:tc>
        <w:tc>
          <w:tcPr>
            <w:tcW w:w="1530" w:type="dxa"/>
            <w:shd w:val="clear" w:color="auto" w:fill="D9D9D9" w:themeFill="background1" w:themeFillShade="D9"/>
            <w:noWrap/>
          </w:tcPr>
          <w:p w14:paraId="11B6940C" w14:textId="77777777" w:rsidR="002C5B74" w:rsidRPr="000502E1" w:rsidRDefault="002C5B74" w:rsidP="002C6BA3">
            <w:pPr>
              <w:spacing w:after="120"/>
              <w:rPr>
                <w:rFonts w:eastAsia="Times New Roman" w:cs="Times New Roman"/>
                <w:b/>
                <w:sz w:val="20"/>
                <w:szCs w:val="20"/>
              </w:rPr>
            </w:pPr>
          </w:p>
        </w:tc>
        <w:tc>
          <w:tcPr>
            <w:tcW w:w="3177" w:type="dxa"/>
            <w:shd w:val="clear" w:color="auto" w:fill="D9D9D9" w:themeFill="background1" w:themeFillShade="D9"/>
          </w:tcPr>
          <w:p w14:paraId="245A5106" w14:textId="77777777" w:rsidR="002C5B74" w:rsidRPr="000502E1" w:rsidRDefault="002C5B74" w:rsidP="002C6BA3">
            <w:pPr>
              <w:spacing w:after="120"/>
              <w:rPr>
                <w:rFonts w:eastAsia="Times New Roman" w:cs="Times New Roman"/>
                <w:b/>
                <w:sz w:val="20"/>
                <w:szCs w:val="20"/>
              </w:rPr>
            </w:pPr>
          </w:p>
        </w:tc>
      </w:tr>
    </w:tbl>
    <w:p w14:paraId="067FE9A9" w14:textId="77777777" w:rsidR="00F86F43" w:rsidRDefault="00F86F43" w:rsidP="003925CE">
      <w:pPr>
        <w:jc w:val="center"/>
        <w:rPr>
          <w:rFonts w:eastAsia="Calibri" w:cs="Times New Roman"/>
          <w:szCs w:val="24"/>
        </w:rPr>
      </w:pPr>
    </w:p>
    <w:p w14:paraId="7C0DAA6C" w14:textId="77777777" w:rsidR="002C5B74" w:rsidRDefault="002C5B74" w:rsidP="003925CE">
      <w:pPr>
        <w:jc w:val="center"/>
        <w:rPr>
          <w:rFonts w:eastAsia="Calibri" w:cs="Times New Roman"/>
          <w:szCs w:val="24"/>
        </w:rPr>
      </w:pPr>
    </w:p>
    <w:p w14:paraId="1E4717EB" w14:textId="77777777" w:rsidR="002C5B74" w:rsidRDefault="002C5B74" w:rsidP="003925CE">
      <w:pPr>
        <w:jc w:val="center"/>
        <w:rPr>
          <w:rFonts w:eastAsia="Calibri" w:cs="Times New Roman"/>
          <w:szCs w:val="24"/>
        </w:rPr>
      </w:pPr>
    </w:p>
    <w:p w14:paraId="04B87504" w14:textId="77777777" w:rsidR="002C5B74" w:rsidRDefault="002C5B74" w:rsidP="003925CE">
      <w:pPr>
        <w:jc w:val="center"/>
        <w:rPr>
          <w:rFonts w:eastAsia="Calibri" w:cs="Times New Roman"/>
          <w:szCs w:val="24"/>
        </w:rPr>
      </w:pPr>
    </w:p>
    <w:tbl>
      <w:tblPr>
        <w:tblW w:w="13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9"/>
        <w:gridCol w:w="1511"/>
        <w:gridCol w:w="1620"/>
        <w:gridCol w:w="1975"/>
        <w:gridCol w:w="1980"/>
        <w:gridCol w:w="1530"/>
        <w:gridCol w:w="3177"/>
      </w:tblGrid>
      <w:tr w:rsidR="000502E1" w:rsidRPr="000502E1" w14:paraId="2FADB493" w14:textId="77777777" w:rsidTr="002C6BA3">
        <w:trPr>
          <w:jc w:val="center"/>
        </w:trPr>
        <w:tc>
          <w:tcPr>
            <w:tcW w:w="1819" w:type="dxa"/>
            <w:tcBorders>
              <w:top w:val="single" w:sz="4" w:space="0" w:color="auto"/>
              <w:left w:val="single" w:sz="4" w:space="0" w:color="auto"/>
              <w:bottom w:val="single" w:sz="4" w:space="0" w:color="auto"/>
              <w:right w:val="single" w:sz="4" w:space="0" w:color="auto"/>
            </w:tcBorders>
            <w:shd w:val="clear" w:color="auto" w:fill="auto"/>
            <w:vAlign w:val="center"/>
          </w:tcPr>
          <w:p w14:paraId="393761DA" w14:textId="77777777" w:rsidR="000502E1" w:rsidRPr="000502E1" w:rsidRDefault="000502E1" w:rsidP="002C6BA3">
            <w:pPr>
              <w:spacing w:after="120"/>
              <w:jc w:val="center"/>
              <w:rPr>
                <w:rFonts w:eastAsia="Times New Roman" w:cs="Times New Roman"/>
                <w:sz w:val="20"/>
                <w:szCs w:val="20"/>
              </w:rPr>
            </w:pPr>
            <w:r w:rsidRPr="000502E1">
              <w:rPr>
                <w:rFonts w:eastAsia="Times New Roman" w:cs="Times New Roman"/>
                <w:b/>
                <w:bCs/>
                <w:sz w:val="20"/>
                <w:szCs w:val="20"/>
              </w:rPr>
              <w:t>DLI Indicators</w:t>
            </w:r>
          </w:p>
        </w:tc>
        <w:tc>
          <w:tcPr>
            <w:tcW w:w="1511" w:type="dxa"/>
            <w:tcBorders>
              <w:top w:val="single" w:sz="4" w:space="0" w:color="auto"/>
              <w:left w:val="single" w:sz="4" w:space="0" w:color="auto"/>
              <w:bottom w:val="single" w:sz="4" w:space="0" w:color="auto"/>
              <w:right w:val="single" w:sz="4" w:space="0" w:color="auto"/>
            </w:tcBorders>
            <w:shd w:val="clear" w:color="auto" w:fill="auto"/>
            <w:vAlign w:val="center"/>
          </w:tcPr>
          <w:p w14:paraId="1CB1B719" w14:textId="77777777" w:rsidR="000502E1" w:rsidRPr="000502E1" w:rsidRDefault="000502E1" w:rsidP="002C6BA3">
            <w:pPr>
              <w:spacing w:after="120"/>
              <w:jc w:val="center"/>
              <w:rPr>
                <w:rFonts w:eastAsia="Times New Roman" w:cs="Times New Roman"/>
                <w:sz w:val="20"/>
                <w:szCs w:val="20"/>
              </w:rPr>
            </w:pPr>
            <w:r w:rsidRPr="000502E1">
              <w:rPr>
                <w:rFonts w:eastAsia="Times New Roman" w:cs="Times New Roman"/>
                <w:b/>
                <w:bCs/>
                <w:sz w:val="20"/>
                <w:szCs w:val="20"/>
              </w:rPr>
              <w:t>Baseline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C9F7D2" w14:textId="77777777" w:rsidR="000502E1" w:rsidRPr="000502E1" w:rsidRDefault="000502E1" w:rsidP="002C6BA3">
            <w:pPr>
              <w:spacing w:before="100" w:beforeAutospacing="1" w:after="100" w:afterAutospacing="1"/>
              <w:jc w:val="center"/>
              <w:rPr>
                <w:rFonts w:eastAsia="Times New Roman" w:cs="Times New Roman"/>
                <w:sz w:val="20"/>
                <w:szCs w:val="20"/>
              </w:rPr>
            </w:pPr>
            <w:r w:rsidRPr="000502E1">
              <w:rPr>
                <w:rFonts w:eastAsia="Times New Roman" w:cs="Times New Roman"/>
                <w:b/>
                <w:bCs/>
                <w:sz w:val="20"/>
                <w:szCs w:val="20"/>
              </w:rPr>
              <w:t>Results to be achieved by June 30, 2018</w:t>
            </w:r>
          </w:p>
        </w:tc>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526E8" w14:textId="77777777" w:rsidR="000502E1" w:rsidRPr="000502E1" w:rsidRDefault="000502E1" w:rsidP="002C6BA3">
            <w:pPr>
              <w:spacing w:before="100" w:beforeAutospacing="1" w:after="100" w:afterAutospacing="1"/>
              <w:jc w:val="center"/>
              <w:rPr>
                <w:rFonts w:eastAsia="Times New Roman" w:cs="Times New Roman"/>
                <w:sz w:val="20"/>
                <w:szCs w:val="20"/>
              </w:rPr>
            </w:pPr>
            <w:r w:rsidRPr="000502E1">
              <w:rPr>
                <w:rFonts w:eastAsia="Times New Roman" w:cs="Times New Roman"/>
                <w:b/>
                <w:bCs/>
                <w:sz w:val="20"/>
                <w:szCs w:val="20"/>
              </w:rPr>
              <w:t>Results to be achieved by June 30, 2019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2502C" w14:textId="77777777" w:rsidR="000502E1" w:rsidRPr="000502E1" w:rsidRDefault="000502E1" w:rsidP="002C6BA3">
            <w:pPr>
              <w:spacing w:before="100" w:beforeAutospacing="1" w:after="100" w:afterAutospacing="1"/>
              <w:jc w:val="center"/>
              <w:rPr>
                <w:rFonts w:eastAsia="Times New Roman" w:cs="Times New Roman"/>
                <w:sz w:val="20"/>
                <w:szCs w:val="20"/>
              </w:rPr>
            </w:pPr>
            <w:r w:rsidRPr="000502E1">
              <w:rPr>
                <w:rFonts w:eastAsia="Times New Roman" w:cs="Times New Roman"/>
                <w:b/>
                <w:bCs/>
                <w:sz w:val="20"/>
                <w:szCs w:val="20"/>
              </w:rPr>
              <w:t>Results to be achieved by June 30, 2020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A832C" w14:textId="77777777" w:rsidR="000502E1" w:rsidRPr="000502E1" w:rsidRDefault="000502E1" w:rsidP="002C6BA3">
            <w:pPr>
              <w:spacing w:after="120"/>
              <w:jc w:val="center"/>
              <w:rPr>
                <w:rFonts w:eastAsia="Times New Roman" w:cs="Times New Roman"/>
                <w:sz w:val="20"/>
                <w:szCs w:val="20"/>
              </w:rPr>
            </w:pPr>
            <w:r w:rsidRPr="000502E1">
              <w:rPr>
                <w:rFonts w:eastAsia="Times New Roman" w:cs="Times New Roman"/>
                <w:b/>
                <w:bCs/>
                <w:sz w:val="20"/>
                <w:szCs w:val="20"/>
              </w:rPr>
              <w:t>Results to be achieved by June 30, 2021</w:t>
            </w:r>
          </w:p>
        </w:tc>
        <w:tc>
          <w:tcPr>
            <w:tcW w:w="3177" w:type="dxa"/>
            <w:tcBorders>
              <w:top w:val="single" w:sz="4" w:space="0" w:color="auto"/>
              <w:left w:val="single" w:sz="4" w:space="0" w:color="auto"/>
              <w:bottom w:val="single" w:sz="4" w:space="0" w:color="auto"/>
              <w:right w:val="single" w:sz="4" w:space="0" w:color="auto"/>
            </w:tcBorders>
            <w:vAlign w:val="center"/>
          </w:tcPr>
          <w:p w14:paraId="59370AFF" w14:textId="77777777" w:rsidR="000502E1" w:rsidRPr="000502E1" w:rsidRDefault="000502E1" w:rsidP="002C6BA3">
            <w:pPr>
              <w:spacing w:after="120"/>
              <w:jc w:val="center"/>
              <w:rPr>
                <w:rFonts w:eastAsia="Times New Roman" w:cs="Times New Roman"/>
                <w:sz w:val="20"/>
                <w:szCs w:val="20"/>
              </w:rPr>
            </w:pPr>
            <w:r w:rsidRPr="000502E1">
              <w:rPr>
                <w:rFonts w:eastAsia="Times New Roman" w:cs="Times New Roman"/>
                <w:b/>
                <w:bCs/>
                <w:sz w:val="20"/>
                <w:szCs w:val="20"/>
              </w:rPr>
              <w:t>Status Update</w:t>
            </w:r>
          </w:p>
        </w:tc>
      </w:tr>
      <w:tr w:rsidR="000502E1" w:rsidRPr="000502E1" w14:paraId="43590933" w14:textId="77777777" w:rsidTr="002C6BA3">
        <w:trPr>
          <w:jc w:val="center"/>
        </w:trPr>
        <w:tc>
          <w:tcPr>
            <w:tcW w:w="1819" w:type="dxa"/>
            <w:tcBorders>
              <w:top w:val="single" w:sz="4" w:space="0" w:color="auto"/>
              <w:left w:val="single" w:sz="4" w:space="0" w:color="auto"/>
              <w:bottom w:val="single" w:sz="4" w:space="0" w:color="auto"/>
              <w:right w:val="single" w:sz="4" w:space="0" w:color="auto"/>
            </w:tcBorders>
            <w:shd w:val="clear" w:color="auto" w:fill="auto"/>
          </w:tcPr>
          <w:p w14:paraId="35F5405F" w14:textId="77777777" w:rsidR="000502E1" w:rsidRPr="000502E1" w:rsidRDefault="000502E1" w:rsidP="002C6BA3">
            <w:pPr>
              <w:spacing w:after="120"/>
              <w:rPr>
                <w:rFonts w:eastAsia="Times New Roman" w:cs="Times New Roman"/>
                <w:sz w:val="20"/>
                <w:szCs w:val="20"/>
              </w:rPr>
            </w:pPr>
            <w:r w:rsidRPr="000502E1">
              <w:rPr>
                <w:rFonts w:eastAsia="Times New Roman" w:cs="Times New Roman"/>
                <w:sz w:val="20"/>
                <w:szCs w:val="20"/>
                <w:highlight w:val="cyan"/>
              </w:rPr>
              <w:t>DLI #4</w:t>
            </w:r>
            <w:r w:rsidRPr="000502E1">
              <w:rPr>
                <w:rFonts w:eastAsia="Times New Roman" w:cs="Times New Roman"/>
                <w:sz w:val="20"/>
                <w:szCs w:val="20"/>
              </w:rPr>
              <w:t>: Increasing Transparency and external accountability</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1CB3559B" w14:textId="77777777" w:rsidR="000502E1" w:rsidRPr="000502E1" w:rsidRDefault="000502E1" w:rsidP="002C6BA3">
            <w:pPr>
              <w:spacing w:after="120"/>
              <w:rPr>
                <w:rFonts w:eastAsia="Times New Roman" w:cs="Times New Roman"/>
                <w:sz w:val="20"/>
                <w:szCs w:val="20"/>
              </w:rPr>
            </w:pPr>
            <w:r w:rsidRPr="000502E1">
              <w:rPr>
                <w:rFonts w:eastAsia="Times New Roman" w:cs="Times New Roman"/>
                <w:sz w:val="20"/>
                <w:szCs w:val="20"/>
              </w:rPr>
              <w:t>Whole of Government Accounts are not consistent with legal requirements and IPSAS and are not audited</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6E7CDAA" w14:textId="77777777" w:rsidR="000502E1" w:rsidRPr="000502E1" w:rsidRDefault="000502E1" w:rsidP="002C6BA3">
            <w:pPr>
              <w:spacing w:before="100" w:beforeAutospacing="1" w:after="100" w:afterAutospacing="1"/>
              <w:rPr>
                <w:rFonts w:eastAsia="Times New Roman" w:cs="Times New Roman"/>
                <w:sz w:val="20"/>
                <w:szCs w:val="20"/>
              </w:rPr>
            </w:pPr>
          </w:p>
        </w:tc>
        <w:tc>
          <w:tcPr>
            <w:tcW w:w="1975" w:type="dxa"/>
            <w:tcBorders>
              <w:top w:val="single" w:sz="4" w:space="0" w:color="auto"/>
              <w:left w:val="single" w:sz="4" w:space="0" w:color="auto"/>
              <w:bottom w:val="single" w:sz="4" w:space="0" w:color="auto"/>
              <w:right w:val="single" w:sz="4" w:space="0" w:color="auto"/>
            </w:tcBorders>
            <w:shd w:val="clear" w:color="auto" w:fill="auto"/>
            <w:noWrap/>
          </w:tcPr>
          <w:p w14:paraId="25C9A8A2" w14:textId="77777777" w:rsidR="000502E1" w:rsidRPr="000502E1" w:rsidRDefault="000502E1" w:rsidP="002C6BA3">
            <w:pPr>
              <w:spacing w:before="100" w:beforeAutospacing="1" w:after="100" w:afterAutospacing="1"/>
              <w:rPr>
                <w:rFonts w:eastAsia="Times New Roman" w:cs="Times New Roman"/>
                <w:sz w:val="20"/>
                <w:szCs w:val="20"/>
              </w:rPr>
            </w:pPr>
            <w:r w:rsidRPr="000502E1">
              <w:rPr>
                <w:rFonts w:eastAsia="Times New Roman" w:cs="Times New Roman"/>
                <w:sz w:val="20"/>
                <w:szCs w:val="20"/>
              </w:rPr>
              <w:t>2018 Whole of Government Financial Statements are audited and published*.</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4571955" w14:textId="77777777" w:rsidR="000502E1" w:rsidRPr="000502E1" w:rsidRDefault="000502E1" w:rsidP="002C6BA3">
            <w:pPr>
              <w:spacing w:before="100" w:beforeAutospacing="1" w:after="100" w:afterAutospacing="1"/>
              <w:rPr>
                <w:rFonts w:eastAsia="Times New Roman" w:cs="Times New Roman"/>
                <w:sz w:val="20"/>
                <w:szCs w:val="2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C739A7C" w14:textId="77777777" w:rsidR="000502E1" w:rsidRPr="000502E1" w:rsidRDefault="000502E1" w:rsidP="002C6BA3">
            <w:pPr>
              <w:spacing w:after="120"/>
              <w:rPr>
                <w:rFonts w:eastAsia="Times New Roman" w:cs="Times New Roman"/>
                <w:sz w:val="20"/>
                <w:szCs w:val="20"/>
              </w:rPr>
            </w:pPr>
            <w:r w:rsidRPr="000502E1">
              <w:rPr>
                <w:rFonts w:eastAsia="Times New Roman" w:cs="Times New Roman"/>
                <w:sz w:val="20"/>
                <w:szCs w:val="20"/>
              </w:rPr>
              <w:t xml:space="preserve">The 2020 Financial Statements of the 10 largest SOEs are audited and published, including the audit opinion*. Formula: SDR [560,000] once at least 8 of the largest SOEs publish the audited financial statements, and </w:t>
            </w:r>
            <w:proofErr w:type="gramStart"/>
            <w:r w:rsidRPr="000502E1">
              <w:rPr>
                <w:rFonts w:eastAsia="Times New Roman" w:cs="Times New Roman"/>
                <w:sz w:val="20"/>
                <w:szCs w:val="20"/>
              </w:rPr>
              <w:t>SDR[</w:t>
            </w:r>
            <w:proofErr w:type="gramEnd"/>
            <w:r w:rsidRPr="000502E1">
              <w:rPr>
                <w:rFonts w:eastAsia="Times New Roman" w:cs="Times New Roman"/>
                <w:sz w:val="20"/>
                <w:szCs w:val="20"/>
              </w:rPr>
              <w:t>70,000] for every such SOE that publishes the same</w:t>
            </w:r>
          </w:p>
        </w:tc>
        <w:tc>
          <w:tcPr>
            <w:tcW w:w="3177" w:type="dxa"/>
            <w:tcBorders>
              <w:top w:val="single" w:sz="4" w:space="0" w:color="auto"/>
              <w:left w:val="single" w:sz="4" w:space="0" w:color="auto"/>
              <w:bottom w:val="single" w:sz="4" w:space="0" w:color="auto"/>
              <w:right w:val="single" w:sz="4" w:space="0" w:color="auto"/>
            </w:tcBorders>
          </w:tcPr>
          <w:p w14:paraId="59FA6142" w14:textId="77777777" w:rsidR="000502E1" w:rsidRPr="000502E1" w:rsidRDefault="000502E1" w:rsidP="000502E1">
            <w:pPr>
              <w:pStyle w:val="ListParagraph"/>
              <w:numPr>
                <w:ilvl w:val="0"/>
                <w:numId w:val="15"/>
              </w:numPr>
              <w:spacing w:after="120"/>
              <w:ind w:left="312"/>
              <w:rPr>
                <w:rFonts w:eastAsia="Times New Roman" w:cs="Times New Roman"/>
                <w:sz w:val="20"/>
                <w:szCs w:val="20"/>
              </w:rPr>
            </w:pPr>
            <w:r w:rsidRPr="000502E1">
              <w:rPr>
                <w:rFonts w:eastAsia="Times New Roman" w:cs="Times New Roman"/>
                <w:sz w:val="20"/>
                <w:szCs w:val="20"/>
              </w:rPr>
              <w:t xml:space="preserve">2018 whole of government audit will be completed by end of November 2019. </w:t>
            </w:r>
          </w:p>
          <w:p w14:paraId="7572157D" w14:textId="77777777" w:rsidR="000502E1" w:rsidRPr="000502E1" w:rsidRDefault="000502E1" w:rsidP="002C6BA3">
            <w:pPr>
              <w:spacing w:after="120"/>
              <w:ind w:left="312"/>
              <w:rPr>
                <w:rFonts w:eastAsia="Times New Roman" w:cs="Times New Roman"/>
                <w:sz w:val="20"/>
                <w:szCs w:val="20"/>
              </w:rPr>
            </w:pPr>
          </w:p>
          <w:p w14:paraId="34AF478F" w14:textId="77777777" w:rsidR="000502E1" w:rsidRPr="000502E1" w:rsidRDefault="000502E1" w:rsidP="000502E1">
            <w:pPr>
              <w:pStyle w:val="ListParagraph"/>
              <w:numPr>
                <w:ilvl w:val="0"/>
                <w:numId w:val="15"/>
              </w:numPr>
              <w:spacing w:after="120"/>
              <w:ind w:left="312"/>
              <w:rPr>
                <w:rFonts w:eastAsia="Times New Roman" w:cs="Times New Roman"/>
                <w:sz w:val="20"/>
                <w:szCs w:val="20"/>
              </w:rPr>
            </w:pPr>
            <w:r w:rsidRPr="000502E1">
              <w:rPr>
                <w:rFonts w:eastAsia="Times New Roman" w:cs="Times New Roman"/>
                <w:sz w:val="20"/>
                <w:szCs w:val="20"/>
              </w:rPr>
              <w:t>The 2020 Financial Statements of the 10 largest SOEs – audit will commence in 2021.</w:t>
            </w:r>
          </w:p>
        </w:tc>
      </w:tr>
      <w:tr w:rsidR="000502E1" w:rsidRPr="000502E1" w14:paraId="40B3FF36" w14:textId="77777777" w:rsidTr="002C6BA3">
        <w:trPr>
          <w:jc w:val="center"/>
        </w:trPr>
        <w:tc>
          <w:tcPr>
            <w:tcW w:w="1819" w:type="dxa"/>
            <w:tcBorders>
              <w:top w:val="single" w:sz="4" w:space="0" w:color="auto"/>
              <w:left w:val="single" w:sz="4" w:space="0" w:color="auto"/>
              <w:bottom w:val="single" w:sz="4" w:space="0" w:color="auto"/>
              <w:right w:val="single" w:sz="4" w:space="0" w:color="auto"/>
            </w:tcBorders>
            <w:shd w:val="clear" w:color="auto" w:fill="auto"/>
          </w:tcPr>
          <w:p w14:paraId="49C2B19C" w14:textId="77777777" w:rsidR="000502E1" w:rsidRPr="000502E1" w:rsidRDefault="000502E1" w:rsidP="002C6BA3">
            <w:pPr>
              <w:spacing w:after="120"/>
              <w:rPr>
                <w:rFonts w:eastAsia="Times New Roman" w:cs="Times New Roman"/>
                <w:b/>
                <w:sz w:val="20"/>
                <w:szCs w:val="20"/>
              </w:rPr>
            </w:pPr>
            <w:r w:rsidRPr="000502E1">
              <w:rPr>
                <w:rFonts w:eastAsia="Times New Roman" w:cs="Times New Roman"/>
                <w:b/>
                <w:sz w:val="20"/>
                <w:szCs w:val="20"/>
              </w:rPr>
              <w:t>DLI # 4 Value: 1.05 Mio SDR</w:t>
            </w:r>
          </w:p>
        </w:tc>
        <w:tc>
          <w:tcPr>
            <w:tcW w:w="1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247D78" w14:textId="77777777" w:rsidR="000502E1" w:rsidRPr="000502E1" w:rsidRDefault="000502E1" w:rsidP="002C6BA3">
            <w:pPr>
              <w:spacing w:after="120"/>
              <w:rPr>
                <w:rFonts w:eastAsia="Times New Roman" w:cs="Times New Roman"/>
                <w:b/>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E4F98" w14:textId="77777777" w:rsidR="000502E1" w:rsidRPr="000502E1" w:rsidRDefault="000502E1" w:rsidP="002C6BA3">
            <w:pPr>
              <w:spacing w:before="100" w:beforeAutospacing="1" w:after="100" w:afterAutospacing="1"/>
              <w:rPr>
                <w:rFonts w:eastAsia="Times New Roman" w:cs="Times New Roman"/>
                <w:b/>
                <w:sz w:val="20"/>
                <w:szCs w:val="20"/>
              </w:rPr>
            </w:pPr>
          </w:p>
        </w:tc>
        <w:tc>
          <w:tcPr>
            <w:tcW w:w="1975" w:type="dxa"/>
            <w:shd w:val="clear" w:color="auto" w:fill="F4B083" w:themeFill="accent2" w:themeFillTint="99"/>
            <w:noWrap/>
          </w:tcPr>
          <w:p w14:paraId="50703C61" w14:textId="77777777" w:rsidR="000502E1" w:rsidRPr="000502E1" w:rsidRDefault="000502E1" w:rsidP="002C6BA3">
            <w:pPr>
              <w:spacing w:before="100" w:beforeAutospacing="1" w:after="100" w:afterAutospacing="1"/>
              <w:rPr>
                <w:rFonts w:eastAsia="Times New Roman" w:cs="Times New Roman"/>
                <w:b/>
                <w:sz w:val="20"/>
                <w:szCs w:val="20"/>
              </w:rPr>
            </w:pPr>
            <w:r w:rsidRPr="000502E1">
              <w:rPr>
                <w:rFonts w:eastAsia="Times New Roman" w:cs="Times New Roman"/>
                <w:b/>
                <w:sz w:val="20"/>
                <w:szCs w:val="20"/>
              </w:rPr>
              <w:t>350 000 SDR</w:t>
            </w:r>
          </w:p>
        </w:tc>
        <w:tc>
          <w:tcPr>
            <w:tcW w:w="1980" w:type="dxa"/>
            <w:shd w:val="clear" w:color="auto" w:fill="D9D9D9" w:themeFill="background1" w:themeFillShade="D9"/>
            <w:noWrap/>
          </w:tcPr>
          <w:p w14:paraId="7CC93DFC" w14:textId="77777777" w:rsidR="000502E1" w:rsidRPr="000502E1" w:rsidRDefault="000502E1" w:rsidP="002C6BA3">
            <w:pPr>
              <w:spacing w:before="100" w:beforeAutospacing="1" w:after="100" w:afterAutospacing="1"/>
              <w:rPr>
                <w:rFonts w:eastAsia="Times New Roman" w:cs="Times New Roman"/>
                <w:b/>
                <w:sz w:val="20"/>
                <w:szCs w:val="20"/>
              </w:rPr>
            </w:pPr>
          </w:p>
        </w:tc>
        <w:tc>
          <w:tcPr>
            <w:tcW w:w="1530" w:type="dxa"/>
            <w:shd w:val="clear" w:color="auto" w:fill="F4B083" w:themeFill="accent2" w:themeFillTint="99"/>
            <w:noWrap/>
          </w:tcPr>
          <w:p w14:paraId="4F5BEA33" w14:textId="77777777" w:rsidR="000502E1" w:rsidRPr="000502E1" w:rsidRDefault="000502E1" w:rsidP="002C6BA3">
            <w:pPr>
              <w:spacing w:after="120"/>
              <w:rPr>
                <w:rFonts w:eastAsia="Times New Roman" w:cs="Times New Roman"/>
                <w:b/>
                <w:sz w:val="20"/>
                <w:szCs w:val="20"/>
              </w:rPr>
            </w:pPr>
            <w:r w:rsidRPr="000502E1">
              <w:rPr>
                <w:rFonts w:eastAsia="Times New Roman" w:cs="Times New Roman"/>
                <w:b/>
                <w:sz w:val="20"/>
                <w:szCs w:val="20"/>
              </w:rPr>
              <w:t>700 000 SDR</w:t>
            </w:r>
          </w:p>
        </w:tc>
        <w:tc>
          <w:tcPr>
            <w:tcW w:w="3177" w:type="dxa"/>
            <w:shd w:val="clear" w:color="auto" w:fill="D9D9D9" w:themeFill="background1" w:themeFillShade="D9"/>
          </w:tcPr>
          <w:p w14:paraId="143497E6" w14:textId="77777777" w:rsidR="000502E1" w:rsidRPr="000502E1" w:rsidRDefault="000502E1" w:rsidP="002C6BA3">
            <w:pPr>
              <w:spacing w:after="120"/>
              <w:rPr>
                <w:rFonts w:eastAsia="Times New Roman" w:cs="Times New Roman"/>
                <w:b/>
                <w:sz w:val="20"/>
                <w:szCs w:val="20"/>
              </w:rPr>
            </w:pPr>
          </w:p>
        </w:tc>
      </w:tr>
      <w:tr w:rsidR="000502E1" w:rsidRPr="000502E1" w14:paraId="6803DF14" w14:textId="77777777" w:rsidTr="002C6BA3">
        <w:trPr>
          <w:jc w:val="center"/>
        </w:trPr>
        <w:tc>
          <w:tcPr>
            <w:tcW w:w="1819" w:type="dxa"/>
            <w:tcBorders>
              <w:top w:val="single" w:sz="4" w:space="0" w:color="auto"/>
              <w:left w:val="single" w:sz="4" w:space="0" w:color="auto"/>
              <w:bottom w:val="single" w:sz="4" w:space="0" w:color="auto"/>
              <w:right w:val="single" w:sz="4" w:space="0" w:color="auto"/>
            </w:tcBorders>
            <w:shd w:val="clear" w:color="auto" w:fill="auto"/>
          </w:tcPr>
          <w:p w14:paraId="54529E59" w14:textId="77777777" w:rsidR="000502E1" w:rsidRPr="000502E1" w:rsidRDefault="000502E1" w:rsidP="002C6BA3">
            <w:pPr>
              <w:spacing w:after="120"/>
              <w:rPr>
                <w:rFonts w:eastAsia="Times New Roman" w:cs="Times New Roman"/>
                <w:b/>
                <w:sz w:val="20"/>
                <w:szCs w:val="20"/>
              </w:rPr>
            </w:pPr>
            <w:r w:rsidRPr="000502E1">
              <w:rPr>
                <w:rFonts w:eastAsia="Times New Roman" w:cs="Times New Roman"/>
                <w:b/>
                <w:sz w:val="20"/>
                <w:szCs w:val="20"/>
              </w:rPr>
              <w:t>Status</w:t>
            </w:r>
          </w:p>
        </w:tc>
        <w:tc>
          <w:tcPr>
            <w:tcW w:w="1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918D1C" w14:textId="77777777" w:rsidR="000502E1" w:rsidRPr="000502E1" w:rsidRDefault="000502E1" w:rsidP="002C6BA3">
            <w:pPr>
              <w:spacing w:after="120"/>
              <w:rPr>
                <w:rFonts w:eastAsia="Times New Roman" w:cs="Times New Roman"/>
                <w:b/>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F174D" w14:textId="77777777" w:rsidR="000502E1" w:rsidRPr="000502E1" w:rsidRDefault="000502E1" w:rsidP="002C6BA3">
            <w:pPr>
              <w:spacing w:before="100" w:beforeAutospacing="1" w:after="100" w:afterAutospacing="1"/>
              <w:rPr>
                <w:rFonts w:eastAsia="Times New Roman" w:cs="Times New Roman"/>
                <w:b/>
                <w:sz w:val="20"/>
                <w:szCs w:val="20"/>
              </w:rPr>
            </w:pPr>
          </w:p>
        </w:tc>
        <w:tc>
          <w:tcPr>
            <w:tcW w:w="1975" w:type="dxa"/>
            <w:shd w:val="clear" w:color="auto" w:fill="F4B083" w:themeFill="accent2" w:themeFillTint="99"/>
            <w:noWrap/>
          </w:tcPr>
          <w:p w14:paraId="0B8DE4A8" w14:textId="77777777" w:rsidR="000502E1" w:rsidRPr="000502E1" w:rsidRDefault="000502E1" w:rsidP="002C6BA3">
            <w:pPr>
              <w:spacing w:before="100" w:beforeAutospacing="1" w:after="100" w:afterAutospacing="1"/>
              <w:rPr>
                <w:rFonts w:eastAsia="Times New Roman" w:cs="Times New Roman"/>
                <w:b/>
                <w:sz w:val="20"/>
                <w:szCs w:val="20"/>
              </w:rPr>
            </w:pPr>
            <w:r w:rsidRPr="000502E1">
              <w:rPr>
                <w:rFonts w:eastAsia="Times New Roman" w:cs="Times New Roman"/>
                <w:b/>
                <w:sz w:val="20"/>
                <w:szCs w:val="20"/>
              </w:rPr>
              <w:t>Pending</w:t>
            </w:r>
          </w:p>
        </w:tc>
        <w:tc>
          <w:tcPr>
            <w:tcW w:w="1980" w:type="dxa"/>
            <w:shd w:val="clear" w:color="auto" w:fill="D9D9D9" w:themeFill="background1" w:themeFillShade="D9"/>
            <w:noWrap/>
          </w:tcPr>
          <w:p w14:paraId="5D89AD76" w14:textId="77777777" w:rsidR="000502E1" w:rsidRPr="000502E1" w:rsidRDefault="000502E1" w:rsidP="002C6BA3">
            <w:pPr>
              <w:spacing w:before="100" w:beforeAutospacing="1" w:after="100" w:afterAutospacing="1"/>
              <w:rPr>
                <w:rFonts w:eastAsia="Times New Roman" w:cs="Times New Roman"/>
                <w:b/>
                <w:sz w:val="20"/>
                <w:szCs w:val="20"/>
              </w:rPr>
            </w:pPr>
          </w:p>
        </w:tc>
        <w:tc>
          <w:tcPr>
            <w:tcW w:w="1530" w:type="dxa"/>
            <w:shd w:val="clear" w:color="auto" w:fill="F4B083" w:themeFill="accent2" w:themeFillTint="99"/>
            <w:noWrap/>
          </w:tcPr>
          <w:p w14:paraId="05D07D0F" w14:textId="77777777" w:rsidR="000502E1" w:rsidRPr="000502E1" w:rsidRDefault="000502E1" w:rsidP="002C6BA3">
            <w:pPr>
              <w:spacing w:after="120"/>
              <w:rPr>
                <w:rFonts w:eastAsia="Times New Roman" w:cs="Times New Roman"/>
                <w:b/>
                <w:sz w:val="20"/>
                <w:szCs w:val="20"/>
              </w:rPr>
            </w:pPr>
            <w:r w:rsidRPr="000502E1">
              <w:rPr>
                <w:rFonts w:eastAsia="Times New Roman" w:cs="Times New Roman"/>
                <w:b/>
                <w:sz w:val="20"/>
                <w:szCs w:val="20"/>
              </w:rPr>
              <w:t>Pending</w:t>
            </w:r>
          </w:p>
        </w:tc>
        <w:tc>
          <w:tcPr>
            <w:tcW w:w="3177" w:type="dxa"/>
            <w:shd w:val="clear" w:color="auto" w:fill="D9D9D9" w:themeFill="background1" w:themeFillShade="D9"/>
          </w:tcPr>
          <w:p w14:paraId="2A5A5F39" w14:textId="77777777" w:rsidR="000502E1" w:rsidRPr="000502E1" w:rsidRDefault="000502E1" w:rsidP="002C6BA3">
            <w:pPr>
              <w:spacing w:after="120"/>
              <w:rPr>
                <w:rFonts w:eastAsia="Times New Roman" w:cs="Times New Roman"/>
                <w:b/>
                <w:sz w:val="20"/>
                <w:szCs w:val="20"/>
              </w:rPr>
            </w:pPr>
          </w:p>
        </w:tc>
      </w:tr>
    </w:tbl>
    <w:p w14:paraId="4F77726E" w14:textId="286D5090" w:rsidR="002C5B74" w:rsidRDefault="002C5B74" w:rsidP="003925CE">
      <w:pPr>
        <w:jc w:val="center"/>
        <w:rPr>
          <w:rFonts w:eastAsia="Calibri" w:cs="Times New Roman"/>
          <w:szCs w:val="24"/>
        </w:rPr>
        <w:sectPr w:rsidR="002C5B74" w:rsidSect="00F7126B">
          <w:pgSz w:w="15840" w:h="12240" w:orient="landscape"/>
          <w:pgMar w:top="1440" w:right="1440" w:bottom="1440" w:left="1440" w:header="720" w:footer="720" w:gutter="0"/>
          <w:cols w:space="720"/>
          <w:docGrid w:linePitch="360"/>
        </w:sectPr>
      </w:pPr>
    </w:p>
    <w:p w14:paraId="18C7DA39" w14:textId="3A3578A3" w:rsidR="00C45961" w:rsidRPr="00F527FA" w:rsidRDefault="00A23562" w:rsidP="003925CE">
      <w:pPr>
        <w:jc w:val="center"/>
        <w:rPr>
          <w:rFonts w:eastAsia="Calibri" w:cs="Times New Roman"/>
          <w:b/>
          <w:szCs w:val="24"/>
        </w:rPr>
      </w:pPr>
      <w:r w:rsidRPr="00F527FA">
        <w:rPr>
          <w:rFonts w:eastAsia="Calibri" w:cs="Times New Roman"/>
          <w:b/>
          <w:szCs w:val="24"/>
        </w:rPr>
        <w:t>Annex 3: Technical note</w:t>
      </w:r>
    </w:p>
    <w:p w14:paraId="0ECB3059" w14:textId="77777777" w:rsidR="00A23562" w:rsidRPr="003E467F" w:rsidRDefault="00A23562" w:rsidP="00A23562">
      <w:pPr>
        <w:pStyle w:val="Default"/>
        <w:jc w:val="both"/>
        <w:rPr>
          <w:b/>
          <w:bCs/>
        </w:rPr>
      </w:pPr>
      <w:r w:rsidRPr="003E467F">
        <w:rPr>
          <w:b/>
          <w:bCs/>
        </w:rPr>
        <w:t xml:space="preserve">Project components and activities under Additional Financing </w:t>
      </w:r>
    </w:p>
    <w:p w14:paraId="240A843A" w14:textId="77777777" w:rsidR="00A23562" w:rsidRPr="003E467F" w:rsidRDefault="00A23562" w:rsidP="00A23562">
      <w:pPr>
        <w:pStyle w:val="Default"/>
        <w:jc w:val="both"/>
      </w:pPr>
    </w:p>
    <w:p w14:paraId="427F6565" w14:textId="77777777" w:rsidR="00A23562" w:rsidRPr="003E467F" w:rsidRDefault="00A23562" w:rsidP="00A23562">
      <w:pPr>
        <w:pStyle w:val="Default"/>
        <w:jc w:val="both"/>
      </w:pPr>
      <w:r w:rsidRPr="003E467F">
        <w:rPr>
          <w:b/>
          <w:bCs/>
        </w:rPr>
        <w:t xml:space="preserve">Component 1: Policy-based fiscal strategy and budget credibility </w:t>
      </w:r>
    </w:p>
    <w:p w14:paraId="2C61BE5A"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1.4: </w:t>
      </w:r>
      <w:r w:rsidRPr="003E467F">
        <w:rPr>
          <w:rFonts w:cs="Times New Roman"/>
          <w:b/>
          <w:bCs/>
          <w:szCs w:val="24"/>
        </w:rPr>
        <w:t xml:space="preserve">Enhancing the medium-term fiscal framework </w:t>
      </w:r>
      <w:r w:rsidRPr="003E467F">
        <w:rPr>
          <w:rFonts w:cs="Times New Roman"/>
          <w:szCs w:val="24"/>
        </w:rPr>
        <w:t xml:space="preserve">and evidence-based budgeting. Provision of technical assistance to support (i) the development and roll-out of the medium-term expenditure framework; (ii) analysis of sectoral expenditures to identify potential savings while protecting key investments; and (iii) the formulation of </w:t>
      </w:r>
      <w:r w:rsidRPr="009A74BB">
        <w:rPr>
          <w:rFonts w:cs="Times New Roman"/>
          <w:szCs w:val="24"/>
        </w:rPr>
        <w:t>revenue policy</w:t>
      </w:r>
      <w:r w:rsidRPr="003E467F">
        <w:rPr>
          <w:rFonts w:cs="Times New Roman"/>
          <w:szCs w:val="24"/>
        </w:rPr>
        <w:t xml:space="preserve"> measures</w:t>
      </w:r>
      <w:r>
        <w:rPr>
          <w:rFonts w:cs="Times New Roman"/>
          <w:szCs w:val="24"/>
        </w:rPr>
        <w:t xml:space="preserve">. </w:t>
      </w:r>
      <w:r w:rsidRPr="003E467F">
        <w:rPr>
          <w:rFonts w:cs="Times New Roman"/>
          <w:szCs w:val="24"/>
        </w:rPr>
        <w:t xml:space="preserve"> To foster evidence-based budgeting, the project will finance a Household Income and Expenditure Survey (HIES) and to build capacity of the Fiscal Affairs Department and of the National Bureau of Statistics (NBS) in the process. </w:t>
      </w:r>
    </w:p>
    <w:p w14:paraId="3CD05F02" w14:textId="7BB42DEC" w:rsidR="00A23562" w:rsidRPr="00762B0B"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i/>
          <w:szCs w:val="24"/>
        </w:rPr>
        <w:t>Status</w:t>
      </w:r>
      <w:r w:rsidRPr="003E467F">
        <w:rPr>
          <w:rFonts w:cs="Times New Roman"/>
          <w:szCs w:val="24"/>
        </w:rPr>
        <w:t xml:space="preserve">. </w:t>
      </w:r>
      <w:r>
        <w:rPr>
          <w:rFonts w:cs="Times New Roman"/>
          <w:szCs w:val="24"/>
        </w:rPr>
        <w:t xml:space="preserve">A macro-fiscal framework has been produced and informed the 2020 budget submitted to parliament. </w:t>
      </w:r>
      <w:r w:rsidRPr="003E467F">
        <w:rPr>
          <w:rFonts w:cs="Times New Roman"/>
          <w:szCs w:val="24"/>
        </w:rPr>
        <w:t xml:space="preserve">The </w:t>
      </w:r>
      <w:r w:rsidRPr="00802E45">
        <w:rPr>
          <w:rFonts w:cs="Times New Roman"/>
          <w:i/>
          <w:szCs w:val="24"/>
        </w:rPr>
        <w:t>Debt Sustainability Assessment (DSA)</w:t>
      </w:r>
      <w:r w:rsidRPr="003E467F">
        <w:rPr>
          <w:rFonts w:cs="Times New Roman"/>
          <w:szCs w:val="24"/>
        </w:rPr>
        <w:t xml:space="preserve"> model were initiated in early 2019</w:t>
      </w:r>
      <w:r>
        <w:rPr>
          <w:rFonts w:cs="Times New Roman"/>
          <w:szCs w:val="24"/>
        </w:rPr>
        <w:t xml:space="preserve"> but the DSA </w:t>
      </w:r>
      <w:r w:rsidRPr="003E467F">
        <w:rPr>
          <w:rFonts w:cs="Times New Roman"/>
          <w:szCs w:val="24"/>
        </w:rPr>
        <w:t>has been re-scheduled for 2020</w:t>
      </w:r>
      <w:r>
        <w:rPr>
          <w:rFonts w:cs="Times New Roman"/>
          <w:szCs w:val="24"/>
        </w:rPr>
        <w:t xml:space="preserve"> due to some issues with the data template</w:t>
      </w:r>
      <w:r w:rsidRPr="003E467F">
        <w:rPr>
          <w:rFonts w:cs="Times New Roman"/>
          <w:szCs w:val="24"/>
        </w:rPr>
        <w:t xml:space="preserve">. It is expected that the </w:t>
      </w:r>
      <w:r>
        <w:rPr>
          <w:rFonts w:cs="Times New Roman"/>
          <w:szCs w:val="24"/>
        </w:rPr>
        <w:t>p</w:t>
      </w:r>
      <w:r w:rsidRPr="003E467F">
        <w:rPr>
          <w:rFonts w:cs="Times New Roman"/>
          <w:szCs w:val="24"/>
        </w:rPr>
        <w:t>erformance model on DSA will begin soon.</w:t>
      </w:r>
      <w:r>
        <w:rPr>
          <w:rFonts w:cs="Times New Roman"/>
          <w:szCs w:val="24"/>
        </w:rPr>
        <w:t xml:space="preserve"> </w:t>
      </w:r>
      <w:bookmarkStart w:id="5" w:name="_Hlk24987696"/>
      <w:r w:rsidRPr="003E467F">
        <w:rPr>
          <w:rFonts w:cs="Times New Roman"/>
          <w:szCs w:val="24"/>
        </w:rPr>
        <w:t>The project has also initiated the H</w:t>
      </w:r>
      <w:r>
        <w:rPr>
          <w:rFonts w:cs="Times New Roman"/>
          <w:szCs w:val="24"/>
        </w:rPr>
        <w:t xml:space="preserve">ousehold </w:t>
      </w:r>
      <w:r w:rsidRPr="003E467F">
        <w:rPr>
          <w:rFonts w:cs="Times New Roman"/>
          <w:szCs w:val="24"/>
        </w:rPr>
        <w:t>I</w:t>
      </w:r>
      <w:r>
        <w:rPr>
          <w:rFonts w:cs="Times New Roman"/>
          <w:szCs w:val="24"/>
        </w:rPr>
        <w:t xml:space="preserve">ncome and </w:t>
      </w:r>
      <w:r w:rsidRPr="003E467F">
        <w:rPr>
          <w:rFonts w:cs="Times New Roman"/>
          <w:szCs w:val="24"/>
        </w:rPr>
        <w:t>E</w:t>
      </w:r>
      <w:r>
        <w:rPr>
          <w:rFonts w:cs="Times New Roman"/>
          <w:szCs w:val="24"/>
        </w:rPr>
        <w:t xml:space="preserve">xpenditure </w:t>
      </w:r>
      <w:r w:rsidRPr="003E467F">
        <w:rPr>
          <w:rFonts w:cs="Times New Roman"/>
          <w:szCs w:val="24"/>
        </w:rPr>
        <w:t>S</w:t>
      </w:r>
      <w:r>
        <w:rPr>
          <w:rFonts w:cs="Times New Roman"/>
          <w:szCs w:val="24"/>
        </w:rPr>
        <w:t>urvey (HIES)</w:t>
      </w:r>
      <w:r w:rsidRPr="003E467F">
        <w:rPr>
          <w:rFonts w:cs="Times New Roman"/>
          <w:szCs w:val="24"/>
        </w:rPr>
        <w:t>, which</w:t>
      </w:r>
      <w:r>
        <w:rPr>
          <w:rFonts w:cs="Times New Roman"/>
          <w:szCs w:val="24"/>
        </w:rPr>
        <w:t xml:space="preserve"> is expected to</w:t>
      </w:r>
      <w:r w:rsidRPr="003E467F">
        <w:rPr>
          <w:rFonts w:cs="Times New Roman"/>
          <w:szCs w:val="24"/>
        </w:rPr>
        <w:t xml:space="preserve"> be completed by August 2020. </w:t>
      </w:r>
      <w:bookmarkEnd w:id="5"/>
      <w:r>
        <w:rPr>
          <w:rFonts w:cs="Times New Roman"/>
          <w:szCs w:val="24"/>
        </w:rPr>
        <w:t xml:space="preserve">Preliminary statistics from the HIES 2019, as well as the labor force survey are expected to be available in December 2020. In the meantime, the National Bureau of Statistics (NBS) has identified a limited number of </w:t>
      </w:r>
      <w:r w:rsidR="004F2B81">
        <w:rPr>
          <w:rFonts w:cs="Times New Roman"/>
          <w:szCs w:val="24"/>
        </w:rPr>
        <w:t>staffs</w:t>
      </w:r>
      <w:r>
        <w:rPr>
          <w:rFonts w:cs="Times New Roman"/>
          <w:szCs w:val="24"/>
        </w:rPr>
        <w:t xml:space="preserve"> for regular training on statistical capacity building and using advanced software. The first round of this training was completed during this mission, and the 2</w:t>
      </w:r>
      <w:r w:rsidRPr="00B5641F">
        <w:rPr>
          <w:rFonts w:cs="Times New Roman"/>
          <w:szCs w:val="24"/>
          <w:vertAlign w:val="superscript"/>
        </w:rPr>
        <w:t>nd</w:t>
      </w:r>
      <w:r>
        <w:rPr>
          <w:rFonts w:cs="Times New Roman"/>
          <w:szCs w:val="24"/>
        </w:rPr>
        <w:t xml:space="preserve"> round will be conducted in February/March 2020.</w:t>
      </w:r>
    </w:p>
    <w:p w14:paraId="20D9A12D"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1.5: </w:t>
      </w:r>
      <w:r w:rsidRPr="003E467F">
        <w:rPr>
          <w:rFonts w:cs="Times New Roman"/>
          <w:b/>
          <w:bCs/>
          <w:szCs w:val="24"/>
        </w:rPr>
        <w:t xml:space="preserve">Strengthening debt and cash management. </w:t>
      </w:r>
      <w:r w:rsidRPr="003E467F">
        <w:rPr>
          <w:rFonts w:cs="Times New Roman"/>
          <w:szCs w:val="24"/>
        </w:rPr>
        <w:t xml:space="preserve">Provision of technical assistance to </w:t>
      </w:r>
      <w:proofErr w:type="spellStart"/>
      <w:r w:rsidRPr="003E467F">
        <w:rPr>
          <w:rFonts w:cs="Times New Roman"/>
          <w:szCs w:val="24"/>
        </w:rPr>
        <w:t>MoFT</w:t>
      </w:r>
      <w:proofErr w:type="spellEnd"/>
      <w:r w:rsidRPr="003E467F">
        <w:rPr>
          <w:rFonts w:cs="Times New Roman"/>
          <w:szCs w:val="24"/>
        </w:rPr>
        <w:t xml:space="preserve"> (i) to improve cash flow projections to meet the expenditure requests on a timely basis, smoothen the cash flow fluctuations and contribute to the preparation of domestic borrowing plans; (ii) to develop the domestic bond market for government securities to implement the MTDS by improving domestic debt issuances; (iii) to modernize debt management legislation to strengthen the governance framework for debt management operations; (iv) to reduce Treasury risks from guarantees through support for quantitative and qualitative assessment of the guarantee requests on an individual and portfolio basis, and support for improvement of guarantee issuance policy; (v) to assess and mitigate the contingent liabilities, including from the government housing program; (vi) to provide training support for loan negotiations and commercial contracts management; and (vii) to upgrade the debt recording and management system and the development of a unified debt database. </w:t>
      </w:r>
    </w:p>
    <w:p w14:paraId="5808FFD5"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bCs/>
          <w:szCs w:val="24"/>
        </w:rPr>
      </w:pPr>
      <w:r w:rsidRPr="00E57EEC">
        <w:rPr>
          <w:rFonts w:cs="Times New Roman"/>
          <w:b/>
          <w:i/>
          <w:szCs w:val="24"/>
        </w:rPr>
        <w:t>Status</w:t>
      </w:r>
      <w:r w:rsidRPr="00E57EEC">
        <w:rPr>
          <w:rFonts w:cs="Times New Roman"/>
          <w:i/>
          <w:szCs w:val="24"/>
        </w:rPr>
        <w:t>.</w:t>
      </w:r>
      <w:r w:rsidRPr="003E467F">
        <w:rPr>
          <w:rFonts w:cs="Times New Roman"/>
          <w:szCs w:val="24"/>
        </w:rPr>
        <w:t xml:space="preserve"> </w:t>
      </w:r>
      <w:proofErr w:type="spellStart"/>
      <w:r>
        <w:rPr>
          <w:rFonts w:cs="Times New Roman"/>
          <w:bCs/>
          <w:szCs w:val="24"/>
        </w:rPr>
        <w:t>MoFT</w:t>
      </w:r>
      <w:proofErr w:type="spellEnd"/>
      <w:r w:rsidRPr="003E467F">
        <w:rPr>
          <w:rFonts w:cs="Times New Roman"/>
          <w:bCs/>
          <w:szCs w:val="24"/>
        </w:rPr>
        <w:t xml:space="preserve"> has established </w:t>
      </w:r>
      <w:r>
        <w:rPr>
          <w:rFonts w:cs="Times New Roman"/>
          <w:bCs/>
          <w:szCs w:val="24"/>
        </w:rPr>
        <w:t>a</w:t>
      </w:r>
      <w:r w:rsidRPr="003E467F">
        <w:rPr>
          <w:rFonts w:cs="Times New Roman"/>
          <w:bCs/>
          <w:szCs w:val="24"/>
        </w:rPr>
        <w:t xml:space="preserve"> cashflow committee</w:t>
      </w:r>
      <w:r>
        <w:rPr>
          <w:rFonts w:cs="Times New Roman"/>
          <w:bCs/>
          <w:szCs w:val="24"/>
        </w:rPr>
        <w:t xml:space="preserve">, meeting weekly </w:t>
      </w:r>
      <w:r>
        <w:rPr>
          <w:rFonts w:cs="Times New Roman"/>
          <w:szCs w:val="24"/>
        </w:rPr>
        <w:t>internally and quarterly with external stakeholders such as the revenue agency (MIRA) and the Central Bank (MMA).</w:t>
      </w:r>
      <w:r w:rsidRPr="003E467F">
        <w:rPr>
          <w:rFonts w:cs="Times New Roman"/>
          <w:szCs w:val="24"/>
        </w:rPr>
        <w:t xml:space="preserve"> </w:t>
      </w:r>
      <w:r>
        <w:rPr>
          <w:rFonts w:cs="Times New Roman"/>
          <w:szCs w:val="24"/>
        </w:rPr>
        <w:t>The agreed c</w:t>
      </w:r>
      <w:r w:rsidRPr="003E467F">
        <w:rPr>
          <w:rFonts w:cs="Times New Roman"/>
          <w:szCs w:val="24"/>
        </w:rPr>
        <w:t>ashflow forecast</w:t>
      </w:r>
      <w:r>
        <w:rPr>
          <w:rFonts w:cs="Times New Roman"/>
          <w:szCs w:val="24"/>
        </w:rPr>
        <w:t>s</w:t>
      </w:r>
      <w:r w:rsidRPr="003E467F">
        <w:rPr>
          <w:rFonts w:cs="Times New Roman"/>
          <w:szCs w:val="24"/>
        </w:rPr>
        <w:t xml:space="preserve"> </w:t>
      </w:r>
      <w:r>
        <w:rPr>
          <w:rFonts w:cs="Times New Roman"/>
          <w:szCs w:val="24"/>
        </w:rPr>
        <w:t>are</w:t>
      </w:r>
      <w:r w:rsidRPr="003E467F">
        <w:rPr>
          <w:rFonts w:cs="Times New Roman"/>
          <w:szCs w:val="24"/>
        </w:rPr>
        <w:t xml:space="preserve"> </w:t>
      </w:r>
      <w:r>
        <w:rPr>
          <w:rFonts w:cs="Times New Roman"/>
          <w:szCs w:val="24"/>
        </w:rPr>
        <w:t>used for debt management.</w:t>
      </w:r>
      <w:r w:rsidRPr="003E467F">
        <w:rPr>
          <w:rFonts w:cs="Times New Roman"/>
          <w:bCs/>
          <w:szCs w:val="24"/>
        </w:rPr>
        <w:t xml:space="preserve"> </w:t>
      </w:r>
      <w:r>
        <w:rPr>
          <w:rFonts w:cs="Times New Roman"/>
          <w:szCs w:val="24"/>
        </w:rPr>
        <w:t xml:space="preserve">A tentative </w:t>
      </w:r>
      <w:r w:rsidRPr="003E467F">
        <w:rPr>
          <w:rFonts w:cs="Times New Roman"/>
          <w:szCs w:val="24"/>
        </w:rPr>
        <w:t xml:space="preserve">Borrowing </w:t>
      </w:r>
      <w:r>
        <w:rPr>
          <w:rFonts w:cs="Times New Roman"/>
          <w:szCs w:val="24"/>
        </w:rPr>
        <w:t>P</w:t>
      </w:r>
      <w:r w:rsidRPr="003E467F">
        <w:rPr>
          <w:rFonts w:cs="Times New Roman"/>
          <w:szCs w:val="24"/>
        </w:rPr>
        <w:t>lan</w:t>
      </w:r>
      <w:r>
        <w:rPr>
          <w:rFonts w:cs="Times New Roman"/>
          <w:szCs w:val="24"/>
        </w:rPr>
        <w:t xml:space="preserve"> covering </w:t>
      </w:r>
      <w:r w:rsidRPr="003E467F">
        <w:rPr>
          <w:rFonts w:cs="Times New Roman"/>
          <w:szCs w:val="24"/>
        </w:rPr>
        <w:t xml:space="preserve">both external and domestic </w:t>
      </w:r>
      <w:r>
        <w:rPr>
          <w:rFonts w:cs="Times New Roman"/>
          <w:szCs w:val="24"/>
        </w:rPr>
        <w:t xml:space="preserve">debt </w:t>
      </w:r>
      <w:r w:rsidRPr="003E467F">
        <w:rPr>
          <w:rFonts w:cs="Times New Roman"/>
          <w:szCs w:val="24"/>
        </w:rPr>
        <w:t>disaggregated by month</w:t>
      </w:r>
      <w:r>
        <w:rPr>
          <w:rFonts w:cs="Times New Roman"/>
          <w:szCs w:val="24"/>
        </w:rPr>
        <w:t xml:space="preserve"> </w:t>
      </w:r>
      <w:r w:rsidRPr="003E467F">
        <w:rPr>
          <w:rFonts w:cs="Times New Roman"/>
          <w:szCs w:val="24"/>
        </w:rPr>
        <w:t xml:space="preserve">exists but is not </w:t>
      </w:r>
      <w:r>
        <w:rPr>
          <w:rFonts w:cs="Times New Roman"/>
          <w:szCs w:val="24"/>
        </w:rPr>
        <w:t xml:space="preserve">yet published nor </w:t>
      </w:r>
      <w:r w:rsidRPr="003E467F">
        <w:rPr>
          <w:rFonts w:cs="Times New Roman"/>
          <w:szCs w:val="24"/>
        </w:rPr>
        <w:t xml:space="preserve">used for cash management. The current practice is to roll over the domestic borrowing plan that does not factor in the cashflow requirements. </w:t>
      </w:r>
      <w:r>
        <w:rPr>
          <w:rFonts w:cs="Times New Roman"/>
          <w:szCs w:val="24"/>
        </w:rPr>
        <w:t xml:space="preserve">Important progress has been made to strengthen dept management, which the establishment of an integrated debt management department, including the front, middle and back office as well as foreign funding. </w:t>
      </w:r>
      <w:proofErr w:type="spellStart"/>
      <w:r>
        <w:rPr>
          <w:rFonts w:cs="Times New Roman"/>
          <w:szCs w:val="24"/>
        </w:rPr>
        <w:t>MoFT</w:t>
      </w:r>
      <w:proofErr w:type="spellEnd"/>
      <w:r>
        <w:rPr>
          <w:rFonts w:cs="Times New Roman"/>
          <w:szCs w:val="24"/>
        </w:rPr>
        <w:t xml:space="preserve"> is publishing</w:t>
      </w:r>
      <w:r w:rsidRPr="003E467F">
        <w:rPr>
          <w:rFonts w:cs="Times New Roman"/>
          <w:szCs w:val="24"/>
        </w:rPr>
        <w:t xml:space="preserve"> </w:t>
      </w:r>
      <w:r>
        <w:rPr>
          <w:rFonts w:cs="Times New Roman"/>
          <w:szCs w:val="24"/>
        </w:rPr>
        <w:t>a rolling</w:t>
      </w:r>
      <w:r w:rsidRPr="003E467F">
        <w:rPr>
          <w:rFonts w:cs="Times New Roman"/>
          <w:szCs w:val="24"/>
        </w:rPr>
        <w:t xml:space="preserve"> </w:t>
      </w:r>
      <w:r w:rsidRPr="00802E45">
        <w:rPr>
          <w:rFonts w:cs="Times New Roman"/>
          <w:i/>
          <w:szCs w:val="24"/>
        </w:rPr>
        <w:t>Medium-Term Debt Strategy</w:t>
      </w:r>
      <w:r w:rsidRPr="003E467F">
        <w:rPr>
          <w:rFonts w:cs="Times New Roman"/>
          <w:szCs w:val="24"/>
        </w:rPr>
        <w:t xml:space="preserve"> on the </w:t>
      </w:r>
      <w:proofErr w:type="spellStart"/>
      <w:r>
        <w:rPr>
          <w:rFonts w:cs="Times New Roman"/>
          <w:szCs w:val="24"/>
        </w:rPr>
        <w:t>MoFT</w:t>
      </w:r>
      <w:proofErr w:type="spellEnd"/>
      <w:r>
        <w:rPr>
          <w:rFonts w:cs="Times New Roman"/>
          <w:szCs w:val="24"/>
        </w:rPr>
        <w:t xml:space="preserve"> </w:t>
      </w:r>
      <w:r w:rsidRPr="003E467F">
        <w:rPr>
          <w:rFonts w:cs="Times New Roman"/>
          <w:szCs w:val="24"/>
        </w:rPr>
        <w:t>website</w:t>
      </w:r>
      <w:r>
        <w:rPr>
          <w:rStyle w:val="FootnoteReference"/>
          <w:rFonts w:cs="Times New Roman"/>
          <w:szCs w:val="24"/>
        </w:rPr>
        <w:footnoteReference w:id="1"/>
      </w:r>
      <w:r w:rsidRPr="003E467F">
        <w:rPr>
          <w:rFonts w:cs="Times New Roman"/>
          <w:szCs w:val="24"/>
        </w:rPr>
        <w:t xml:space="preserve">. The current strategy highlights the need to improve the domestic market strategy and </w:t>
      </w:r>
      <w:r>
        <w:rPr>
          <w:rFonts w:cs="Times New Roman"/>
          <w:szCs w:val="24"/>
        </w:rPr>
        <w:t xml:space="preserve">to deepen the market and to foster a yield curve. In terms of debt management information system, MOFT will </w:t>
      </w:r>
      <w:r w:rsidRPr="003E467F">
        <w:rPr>
          <w:rFonts w:cs="Times New Roman"/>
          <w:szCs w:val="24"/>
        </w:rPr>
        <w:t>—</w:t>
      </w:r>
      <w:r>
        <w:rPr>
          <w:rFonts w:cs="Times New Roman"/>
          <w:szCs w:val="24"/>
        </w:rPr>
        <w:t xml:space="preserve">transition to the </w:t>
      </w:r>
      <w:r w:rsidRPr="00796E4B">
        <w:rPr>
          <w:rFonts w:cs="Times New Roman"/>
          <w:szCs w:val="24"/>
        </w:rPr>
        <w:t>Commonwealth Meridian debt management system</w:t>
      </w:r>
      <w:r w:rsidRPr="003E467F">
        <w:rPr>
          <w:rFonts w:cs="Times New Roman"/>
          <w:szCs w:val="24"/>
        </w:rPr>
        <w:t xml:space="preserve">. The project will also </w:t>
      </w:r>
      <w:r>
        <w:rPr>
          <w:rFonts w:cs="Times New Roman"/>
          <w:szCs w:val="24"/>
        </w:rPr>
        <w:t xml:space="preserve">support the </w:t>
      </w:r>
      <w:r w:rsidRPr="003E467F">
        <w:rPr>
          <w:rFonts w:cs="Times New Roman"/>
          <w:szCs w:val="24"/>
        </w:rPr>
        <w:t>review</w:t>
      </w:r>
      <w:r>
        <w:rPr>
          <w:rFonts w:cs="Times New Roman"/>
          <w:szCs w:val="24"/>
        </w:rPr>
        <w:t xml:space="preserve"> of</w:t>
      </w:r>
      <w:r w:rsidRPr="003E467F">
        <w:rPr>
          <w:rFonts w:cs="Times New Roman"/>
          <w:szCs w:val="24"/>
        </w:rPr>
        <w:t xml:space="preserve"> the </w:t>
      </w:r>
      <w:r>
        <w:rPr>
          <w:rFonts w:cs="Times New Roman"/>
          <w:szCs w:val="24"/>
        </w:rPr>
        <w:t>d</w:t>
      </w:r>
      <w:r w:rsidRPr="003E467F">
        <w:rPr>
          <w:rFonts w:cs="Times New Roman"/>
          <w:szCs w:val="24"/>
        </w:rPr>
        <w:t xml:space="preserve">ebt management legislation, </w:t>
      </w:r>
      <w:r>
        <w:rPr>
          <w:rFonts w:cs="Times New Roman"/>
          <w:szCs w:val="24"/>
        </w:rPr>
        <w:t>to</w:t>
      </w:r>
      <w:r w:rsidRPr="003E467F">
        <w:rPr>
          <w:rFonts w:cs="Times New Roman"/>
          <w:szCs w:val="24"/>
        </w:rPr>
        <w:t xml:space="preserve"> align with the guidance from </w:t>
      </w:r>
      <w:r w:rsidRPr="00796E4B">
        <w:rPr>
          <w:rFonts w:cs="Times New Roman"/>
          <w:i/>
          <w:szCs w:val="24"/>
        </w:rPr>
        <w:t>Debt management performance assessment (</w:t>
      </w:r>
      <w:proofErr w:type="spellStart"/>
      <w:r w:rsidRPr="00796E4B">
        <w:rPr>
          <w:rFonts w:cs="Times New Roman"/>
          <w:i/>
          <w:szCs w:val="24"/>
        </w:rPr>
        <w:t>DeMPA</w:t>
      </w:r>
      <w:proofErr w:type="spellEnd"/>
      <w:r w:rsidRPr="00796E4B">
        <w:rPr>
          <w:rFonts w:cs="Times New Roman"/>
          <w:i/>
          <w:szCs w:val="24"/>
        </w:rPr>
        <w:t>)</w:t>
      </w:r>
      <w:r w:rsidRPr="003E467F">
        <w:rPr>
          <w:rFonts w:cs="Times New Roman"/>
          <w:szCs w:val="24"/>
        </w:rPr>
        <w:t>. The</w:t>
      </w:r>
      <w:r>
        <w:rPr>
          <w:rFonts w:cs="Times New Roman"/>
          <w:szCs w:val="24"/>
        </w:rPr>
        <w:t xml:space="preserve"> debt department is now also entrusted with </w:t>
      </w:r>
      <w:r w:rsidRPr="003E467F">
        <w:rPr>
          <w:rFonts w:cs="Times New Roman"/>
          <w:szCs w:val="24"/>
        </w:rPr>
        <w:t xml:space="preserve">reviewing the issuance of sovereign guarantee. </w:t>
      </w:r>
      <w:r>
        <w:rPr>
          <w:rFonts w:cs="Times New Roman"/>
          <w:szCs w:val="24"/>
        </w:rPr>
        <w:t>An expert is being hired to support this.</w:t>
      </w:r>
      <w:r w:rsidRPr="003E467F">
        <w:rPr>
          <w:rFonts w:cs="Times New Roman"/>
          <w:szCs w:val="24"/>
        </w:rPr>
        <w:t xml:space="preserve"> Going forward, the mission recommended maximizing synergies with other departments and establishing a joint working group with </w:t>
      </w:r>
      <w:r>
        <w:rPr>
          <w:rFonts w:cs="Times New Roman"/>
          <w:szCs w:val="24"/>
        </w:rPr>
        <w:t xml:space="preserve">the </w:t>
      </w:r>
      <w:r w:rsidRPr="003E467F">
        <w:rPr>
          <w:rFonts w:cs="Times New Roman"/>
          <w:szCs w:val="24"/>
        </w:rPr>
        <w:t>P</w:t>
      </w:r>
      <w:r>
        <w:rPr>
          <w:rFonts w:cs="Times New Roman"/>
          <w:szCs w:val="24"/>
        </w:rPr>
        <w:t xml:space="preserve">rivatization and </w:t>
      </w:r>
      <w:r w:rsidRPr="003E467F">
        <w:rPr>
          <w:rFonts w:cs="Times New Roman"/>
          <w:szCs w:val="24"/>
        </w:rPr>
        <w:t>C</w:t>
      </w:r>
      <w:r>
        <w:rPr>
          <w:rFonts w:cs="Times New Roman"/>
          <w:szCs w:val="24"/>
        </w:rPr>
        <w:t xml:space="preserve">orporatization </w:t>
      </w:r>
      <w:r w:rsidRPr="003E467F">
        <w:rPr>
          <w:rFonts w:cs="Times New Roman"/>
          <w:szCs w:val="24"/>
        </w:rPr>
        <w:t>B</w:t>
      </w:r>
      <w:r>
        <w:rPr>
          <w:rFonts w:cs="Times New Roman"/>
          <w:szCs w:val="24"/>
        </w:rPr>
        <w:t>oard (PCB) as most contingent liabilities stem form SOEs</w:t>
      </w:r>
      <w:r w:rsidRPr="003E467F">
        <w:rPr>
          <w:rFonts w:cs="Times New Roman"/>
          <w:szCs w:val="24"/>
        </w:rPr>
        <w:t>. The project will share the revised</w:t>
      </w:r>
      <w:r>
        <w:rPr>
          <w:rFonts w:cs="Times New Roman"/>
          <w:szCs w:val="24"/>
        </w:rPr>
        <w:t xml:space="preserve"> debt department</w:t>
      </w:r>
      <w:r w:rsidRPr="003E467F">
        <w:rPr>
          <w:rFonts w:cs="Times New Roman"/>
          <w:szCs w:val="24"/>
        </w:rPr>
        <w:t xml:space="preserve"> organogram.</w:t>
      </w:r>
    </w:p>
    <w:p w14:paraId="6C4B68F7"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1.6. </w:t>
      </w:r>
      <w:r w:rsidRPr="003E467F">
        <w:rPr>
          <w:rFonts w:cs="Times New Roman"/>
          <w:b/>
          <w:bCs/>
          <w:szCs w:val="24"/>
        </w:rPr>
        <w:t>Strengthening Management of the Capital Budget (Climate Smart)</w:t>
      </w:r>
      <w:r w:rsidRPr="003E467F">
        <w:rPr>
          <w:rFonts w:cs="Times New Roman"/>
          <w:szCs w:val="24"/>
        </w:rPr>
        <w:t xml:space="preserve">. Provision of technical assistance to (i) support the mechanisms to enhance project screening; (ii) support the development of a multi-year public investment program; and (iii) build the capacity of FAD and the line ministries to prepare, finance and implement investment operations. </w:t>
      </w:r>
    </w:p>
    <w:p w14:paraId="2406BCB9" w14:textId="5B489EDD"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2C1BAE">
        <w:rPr>
          <w:rFonts w:cs="Times New Roman"/>
          <w:b/>
          <w:i/>
          <w:szCs w:val="24"/>
        </w:rPr>
        <w:t>Status</w:t>
      </w:r>
      <w:r w:rsidRPr="002C1BAE">
        <w:rPr>
          <w:rFonts w:cs="Times New Roman"/>
          <w:i/>
          <w:szCs w:val="24"/>
        </w:rPr>
        <w:t>.</w:t>
      </w:r>
      <w:r w:rsidRPr="003E467F">
        <w:rPr>
          <w:rFonts w:cs="Times New Roman"/>
          <w:szCs w:val="24"/>
        </w:rPr>
        <w:t xml:space="preserve"> The mission met </w:t>
      </w:r>
      <w:r>
        <w:rPr>
          <w:rFonts w:cs="Times New Roman"/>
          <w:szCs w:val="24"/>
        </w:rPr>
        <w:t xml:space="preserve">with officials from </w:t>
      </w:r>
      <w:r w:rsidRPr="003E467F">
        <w:rPr>
          <w:rFonts w:cs="Times New Roman"/>
          <w:szCs w:val="24"/>
        </w:rPr>
        <w:t xml:space="preserve">the </w:t>
      </w:r>
      <w:r>
        <w:rPr>
          <w:rFonts w:cs="Times New Roman"/>
          <w:szCs w:val="24"/>
        </w:rPr>
        <w:t xml:space="preserve">new Ministry of </w:t>
      </w:r>
      <w:r w:rsidR="0036160C">
        <w:rPr>
          <w:rFonts w:cs="Times New Roman"/>
          <w:szCs w:val="24"/>
        </w:rPr>
        <w:t xml:space="preserve">National </w:t>
      </w:r>
      <w:r>
        <w:rPr>
          <w:rFonts w:cs="Times New Roman"/>
          <w:szCs w:val="24"/>
        </w:rPr>
        <w:t>Planning</w:t>
      </w:r>
      <w:r w:rsidR="0036160C">
        <w:rPr>
          <w:rFonts w:cs="Times New Roman"/>
          <w:szCs w:val="24"/>
        </w:rPr>
        <w:t xml:space="preserve"> and Infrastructure</w:t>
      </w:r>
      <w:r>
        <w:rPr>
          <w:rFonts w:cs="Times New Roman"/>
          <w:szCs w:val="24"/>
        </w:rPr>
        <w:t xml:space="preserve"> which </w:t>
      </w:r>
      <w:r w:rsidRPr="003E467F">
        <w:rPr>
          <w:rFonts w:cs="Times New Roman"/>
          <w:szCs w:val="24"/>
        </w:rPr>
        <w:t xml:space="preserve">has </w:t>
      </w:r>
      <w:r>
        <w:rPr>
          <w:rFonts w:cs="Times New Roman"/>
          <w:szCs w:val="24"/>
        </w:rPr>
        <w:t xml:space="preserve">inherited </w:t>
      </w:r>
      <w:r w:rsidRPr="003E467F">
        <w:rPr>
          <w:rFonts w:cs="Times New Roman"/>
          <w:szCs w:val="24"/>
        </w:rPr>
        <w:t xml:space="preserve">the mandate </w:t>
      </w:r>
      <w:r>
        <w:rPr>
          <w:rFonts w:cs="Times New Roman"/>
          <w:szCs w:val="24"/>
        </w:rPr>
        <w:t>for</w:t>
      </w:r>
      <w:r w:rsidRPr="003E467F">
        <w:rPr>
          <w:rFonts w:cs="Times New Roman"/>
          <w:szCs w:val="24"/>
        </w:rPr>
        <w:t xml:space="preserve"> </w:t>
      </w:r>
      <w:r w:rsidRPr="002C1BAE">
        <w:rPr>
          <w:rFonts w:cs="Times New Roman"/>
          <w:i/>
          <w:szCs w:val="24"/>
        </w:rPr>
        <w:t>Public Investment Management (PIM</w:t>
      </w:r>
      <w:r w:rsidRPr="0026155E">
        <w:rPr>
          <w:rFonts w:cs="Times New Roman"/>
          <w:i/>
          <w:szCs w:val="24"/>
        </w:rPr>
        <w:t xml:space="preserve">) </w:t>
      </w:r>
      <w:r w:rsidRPr="0026155E">
        <w:rPr>
          <w:rFonts w:cs="Times New Roman"/>
          <w:szCs w:val="24"/>
        </w:rPr>
        <w:t>from Finance</w:t>
      </w:r>
      <w:r w:rsidRPr="002C1BAE">
        <w:rPr>
          <w:rFonts w:cs="Times New Roman"/>
          <w:i/>
          <w:szCs w:val="24"/>
        </w:rPr>
        <w:t>.</w:t>
      </w:r>
      <w:r w:rsidRPr="003E467F">
        <w:rPr>
          <w:rFonts w:cs="Times New Roman"/>
          <w:szCs w:val="24"/>
        </w:rPr>
        <w:t xml:space="preserve"> The current focus is to improve monitoring, for which PFDS has developed a joint monitoring portal </w:t>
      </w:r>
      <w:r>
        <w:rPr>
          <w:rFonts w:cs="Times New Roman"/>
          <w:szCs w:val="24"/>
        </w:rPr>
        <w:t>for line ministries to report progress on project implementation and that pulls data from SAP for use by</w:t>
      </w:r>
      <w:r w:rsidRPr="003E467F">
        <w:rPr>
          <w:rFonts w:cs="Times New Roman"/>
          <w:szCs w:val="24"/>
        </w:rPr>
        <w:t xml:space="preserve"> </w:t>
      </w:r>
      <w:proofErr w:type="spellStart"/>
      <w:r w:rsidRPr="003E467F">
        <w:rPr>
          <w:rFonts w:cs="Times New Roman"/>
          <w:szCs w:val="24"/>
        </w:rPr>
        <w:t>MoF</w:t>
      </w:r>
      <w:r>
        <w:rPr>
          <w:rFonts w:cs="Times New Roman"/>
          <w:szCs w:val="24"/>
        </w:rPr>
        <w:t>T</w:t>
      </w:r>
      <w:proofErr w:type="spellEnd"/>
      <w:r w:rsidRPr="003E467F">
        <w:rPr>
          <w:rFonts w:cs="Times New Roman"/>
          <w:szCs w:val="24"/>
        </w:rPr>
        <w:t xml:space="preserve"> </w:t>
      </w:r>
      <w:r>
        <w:rPr>
          <w:rFonts w:cs="Times New Roman"/>
          <w:szCs w:val="24"/>
        </w:rPr>
        <w:t xml:space="preserve">and the </w:t>
      </w:r>
      <w:r w:rsidRPr="003E467F">
        <w:rPr>
          <w:rFonts w:cs="Times New Roman"/>
          <w:szCs w:val="24"/>
        </w:rPr>
        <w:t>National Development Planning Division</w:t>
      </w:r>
      <w:r>
        <w:rPr>
          <w:rFonts w:cs="Times New Roman"/>
          <w:szCs w:val="24"/>
        </w:rPr>
        <w:t xml:space="preserve">. </w:t>
      </w:r>
      <w:r w:rsidRPr="003E467F">
        <w:rPr>
          <w:rFonts w:cs="Times New Roman"/>
          <w:szCs w:val="24"/>
        </w:rPr>
        <w:t xml:space="preserve">This portal is being tested and </w:t>
      </w:r>
      <w:r>
        <w:rPr>
          <w:rFonts w:cs="Times New Roman"/>
          <w:szCs w:val="24"/>
        </w:rPr>
        <w:t>should</w:t>
      </w:r>
      <w:r w:rsidRPr="003E467F">
        <w:rPr>
          <w:rFonts w:cs="Times New Roman"/>
          <w:szCs w:val="24"/>
        </w:rPr>
        <w:t xml:space="preserve"> be</w:t>
      </w:r>
      <w:r>
        <w:rPr>
          <w:rFonts w:cs="Times New Roman"/>
          <w:szCs w:val="24"/>
        </w:rPr>
        <w:t>come operational</w:t>
      </w:r>
      <w:r w:rsidRPr="003E467F">
        <w:rPr>
          <w:rFonts w:cs="Times New Roman"/>
          <w:szCs w:val="24"/>
        </w:rPr>
        <w:t xml:space="preserve"> </w:t>
      </w:r>
      <w:r>
        <w:rPr>
          <w:rFonts w:cs="Times New Roman"/>
          <w:szCs w:val="24"/>
        </w:rPr>
        <w:t>early</w:t>
      </w:r>
      <w:r w:rsidRPr="003E467F">
        <w:rPr>
          <w:rFonts w:cs="Times New Roman"/>
          <w:szCs w:val="24"/>
        </w:rPr>
        <w:t xml:space="preserve"> next year. A list of pipeline projects—with information on project objectives, recurrent cost and total cost</w:t>
      </w:r>
      <w:r>
        <w:rPr>
          <w:rFonts w:cs="Times New Roman"/>
          <w:szCs w:val="24"/>
        </w:rPr>
        <w:t xml:space="preserve"> </w:t>
      </w:r>
      <w:r w:rsidRPr="003E467F">
        <w:rPr>
          <w:rFonts w:cs="Times New Roman"/>
          <w:szCs w:val="24"/>
        </w:rPr>
        <w:t>are captured in excel sheet</w:t>
      </w:r>
      <w:r>
        <w:rPr>
          <w:rFonts w:cs="Times New Roman"/>
          <w:szCs w:val="24"/>
        </w:rPr>
        <w:t xml:space="preserve"> and not yet part of </w:t>
      </w:r>
      <w:r w:rsidRPr="003E467F">
        <w:rPr>
          <w:rFonts w:cs="Times New Roman"/>
          <w:szCs w:val="24"/>
        </w:rPr>
        <w:t xml:space="preserve">the </w:t>
      </w:r>
      <w:proofErr w:type="spellStart"/>
      <w:r w:rsidRPr="00802E45">
        <w:rPr>
          <w:rFonts w:cs="Times New Roman"/>
          <w:i/>
          <w:szCs w:val="24"/>
        </w:rPr>
        <w:t>Bandeyri</w:t>
      </w:r>
      <w:proofErr w:type="spellEnd"/>
      <w:r w:rsidRPr="00802E45">
        <w:rPr>
          <w:rFonts w:cs="Times New Roman"/>
          <w:i/>
          <w:szCs w:val="24"/>
        </w:rPr>
        <w:t xml:space="preserve"> </w:t>
      </w:r>
      <w:r>
        <w:rPr>
          <w:rFonts w:cs="Times New Roman"/>
          <w:i/>
          <w:szCs w:val="24"/>
        </w:rPr>
        <w:t>P</w:t>
      </w:r>
      <w:r w:rsidRPr="00802E45">
        <w:rPr>
          <w:rFonts w:cs="Times New Roman"/>
          <w:i/>
          <w:szCs w:val="24"/>
        </w:rPr>
        <w:t>ortal</w:t>
      </w:r>
      <w:r w:rsidRPr="00802E45">
        <w:rPr>
          <w:rStyle w:val="FootnoteReference"/>
          <w:rFonts w:cs="Times New Roman"/>
          <w:i/>
          <w:szCs w:val="24"/>
        </w:rPr>
        <w:footnoteReference w:id="2"/>
      </w:r>
      <w:r w:rsidRPr="003E467F">
        <w:rPr>
          <w:rFonts w:cs="Times New Roman"/>
          <w:szCs w:val="24"/>
        </w:rPr>
        <w:t xml:space="preserve"> </w:t>
      </w:r>
      <w:r>
        <w:rPr>
          <w:rFonts w:cs="Times New Roman"/>
          <w:szCs w:val="24"/>
        </w:rPr>
        <w:t xml:space="preserve">and these should be </w:t>
      </w:r>
      <w:r w:rsidRPr="003E467F">
        <w:rPr>
          <w:rFonts w:cs="Times New Roman"/>
          <w:szCs w:val="24"/>
        </w:rPr>
        <w:t>automate</w:t>
      </w:r>
      <w:r>
        <w:rPr>
          <w:rFonts w:cs="Times New Roman"/>
          <w:szCs w:val="24"/>
        </w:rPr>
        <w:t xml:space="preserve">d too. The Government has developed an ambitious medium-term national development plan, of which the first year is incorporated in the 2020 budget, representing around 40% of planned expenditures. </w:t>
      </w:r>
      <w:r w:rsidRPr="003E467F">
        <w:rPr>
          <w:rFonts w:cs="Times New Roman"/>
          <w:szCs w:val="24"/>
        </w:rPr>
        <w:t>Criteria for project selection change every year</w:t>
      </w:r>
      <w:r>
        <w:rPr>
          <w:rFonts w:cs="Times New Roman"/>
          <w:szCs w:val="24"/>
        </w:rPr>
        <w:t xml:space="preserve"> and </w:t>
      </w:r>
      <w:r w:rsidR="00F81BDF">
        <w:rPr>
          <w:rFonts w:cs="Times New Roman"/>
          <w:szCs w:val="24"/>
        </w:rPr>
        <w:t>are</w:t>
      </w:r>
      <w:r>
        <w:rPr>
          <w:rFonts w:cs="Times New Roman"/>
          <w:szCs w:val="24"/>
        </w:rPr>
        <w:t xml:space="preserve"> more focused on the alignment with </w:t>
      </w:r>
      <w:r w:rsidRPr="003E467F">
        <w:rPr>
          <w:rFonts w:cs="Times New Roman"/>
          <w:szCs w:val="24"/>
        </w:rPr>
        <w:t>the national development plan, objectives, or pledge of the government</w:t>
      </w:r>
      <w:r>
        <w:rPr>
          <w:rFonts w:cs="Times New Roman"/>
          <w:szCs w:val="24"/>
        </w:rPr>
        <w:t>, than on the affordability or readiness of the projects</w:t>
      </w:r>
      <w:r w:rsidRPr="003E467F">
        <w:rPr>
          <w:rFonts w:cs="Times New Roman"/>
          <w:szCs w:val="24"/>
        </w:rPr>
        <w:t xml:space="preserve">. </w:t>
      </w:r>
    </w:p>
    <w:p w14:paraId="3182DBC0"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bookmarkStart w:id="6" w:name="_Hlk24987899"/>
      <w:r w:rsidRPr="003E467F">
        <w:rPr>
          <w:rFonts w:cs="Times New Roman"/>
          <w:b/>
          <w:szCs w:val="24"/>
        </w:rPr>
        <w:t xml:space="preserve">There is a need to </w:t>
      </w:r>
      <w:r>
        <w:rPr>
          <w:rFonts w:cs="Times New Roman"/>
          <w:b/>
          <w:szCs w:val="24"/>
        </w:rPr>
        <w:t xml:space="preserve">greater prioritization of projects based on public selection criteria and project appraisal/ vetting to improve efficiency. </w:t>
      </w:r>
      <w:r w:rsidRPr="003E467F">
        <w:rPr>
          <w:rFonts w:cs="Times New Roman"/>
          <w:szCs w:val="24"/>
        </w:rPr>
        <w:t xml:space="preserve"> Going forward, there is a need </w:t>
      </w:r>
      <w:r>
        <w:rPr>
          <w:rFonts w:cs="Times New Roman"/>
          <w:szCs w:val="24"/>
        </w:rPr>
        <w:t xml:space="preserve">for the </w:t>
      </w:r>
      <w:r w:rsidRPr="003E467F">
        <w:rPr>
          <w:rFonts w:cs="Times New Roman"/>
          <w:szCs w:val="24"/>
        </w:rPr>
        <w:t xml:space="preserve">National Development Planning Division to issue a joint circular with MoF. A draft guideline exists for planning </w:t>
      </w:r>
      <w:r>
        <w:rPr>
          <w:rFonts w:cs="Times New Roman"/>
          <w:szCs w:val="24"/>
        </w:rPr>
        <w:t xml:space="preserve">and selection </w:t>
      </w:r>
      <w:r w:rsidRPr="003E467F">
        <w:rPr>
          <w:rFonts w:cs="Times New Roman"/>
          <w:szCs w:val="24"/>
        </w:rPr>
        <w:t xml:space="preserve">of capital projects, but this needs to be adopted and rolled out. This needs to be accompanied with training </w:t>
      </w:r>
      <w:r>
        <w:rPr>
          <w:rFonts w:cs="Times New Roman"/>
          <w:szCs w:val="24"/>
        </w:rPr>
        <w:t xml:space="preserve">to </w:t>
      </w:r>
      <w:r w:rsidRPr="003E467F">
        <w:rPr>
          <w:rFonts w:cs="Times New Roman"/>
          <w:szCs w:val="24"/>
        </w:rPr>
        <w:t>line ministries</w:t>
      </w:r>
      <w:r>
        <w:rPr>
          <w:rFonts w:cs="Times New Roman"/>
          <w:szCs w:val="24"/>
        </w:rPr>
        <w:t xml:space="preserve"> and island councils</w:t>
      </w:r>
      <w:r w:rsidRPr="003E467F">
        <w:rPr>
          <w:rFonts w:cs="Times New Roman"/>
          <w:szCs w:val="24"/>
        </w:rPr>
        <w:t>. An emerging area of priority is the need to build institutional capacity.</w:t>
      </w:r>
      <w:bookmarkEnd w:id="6"/>
      <w:r w:rsidRPr="003E467F">
        <w:rPr>
          <w:rFonts w:cs="Times New Roman"/>
          <w:szCs w:val="24"/>
        </w:rPr>
        <w:t xml:space="preserve"> There are three staff for monitoring 600 projects while the appraisal process utilizes staff from other units. The National Development Planning Division is expecting 15 more staff in the coming year at the MS 2 level (senior officers). The existing structure requires economists; procurement experts and engineers.  </w:t>
      </w:r>
    </w:p>
    <w:p w14:paraId="043526BA" w14:textId="77777777" w:rsidR="00A23562" w:rsidRPr="00183802"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szCs w:val="24"/>
        </w:rPr>
        <w:t xml:space="preserve">The mission identified </w:t>
      </w:r>
      <w:r>
        <w:rPr>
          <w:rFonts w:cs="Times New Roman"/>
          <w:b/>
          <w:szCs w:val="24"/>
        </w:rPr>
        <w:t>the following priority</w:t>
      </w:r>
      <w:r w:rsidRPr="003E467F">
        <w:rPr>
          <w:rFonts w:cs="Times New Roman"/>
          <w:b/>
          <w:szCs w:val="24"/>
        </w:rPr>
        <w:t xml:space="preserve"> areas of engagement</w:t>
      </w:r>
      <w:r w:rsidRPr="003E467F">
        <w:rPr>
          <w:rFonts w:cs="Times New Roman"/>
          <w:szCs w:val="24"/>
        </w:rPr>
        <w:t xml:space="preserve">: </w:t>
      </w:r>
      <w:r>
        <w:rPr>
          <w:rFonts w:cs="Times New Roman"/>
          <w:szCs w:val="24"/>
        </w:rPr>
        <w:t>(</w:t>
      </w:r>
      <w:r w:rsidRPr="00183802">
        <w:rPr>
          <w:rFonts w:cs="Times New Roman"/>
          <w:szCs w:val="24"/>
        </w:rPr>
        <w:t xml:space="preserve">i) </w:t>
      </w:r>
      <w:r>
        <w:rPr>
          <w:rFonts w:cs="Times New Roman"/>
          <w:szCs w:val="24"/>
        </w:rPr>
        <w:t>i</w:t>
      </w:r>
      <w:r w:rsidRPr="00183802">
        <w:rPr>
          <w:rFonts w:cs="Times New Roman"/>
          <w:szCs w:val="24"/>
        </w:rPr>
        <w:t xml:space="preserve">mprove </w:t>
      </w:r>
      <w:r>
        <w:rPr>
          <w:rFonts w:cs="Times New Roman"/>
          <w:szCs w:val="24"/>
        </w:rPr>
        <w:t xml:space="preserve">project </w:t>
      </w:r>
      <w:r w:rsidRPr="00183802">
        <w:rPr>
          <w:rFonts w:cs="Times New Roman"/>
          <w:szCs w:val="24"/>
        </w:rPr>
        <w:t xml:space="preserve">screening </w:t>
      </w:r>
      <w:r>
        <w:rPr>
          <w:rFonts w:cs="Times New Roman"/>
          <w:szCs w:val="24"/>
        </w:rPr>
        <w:t xml:space="preserve">and prioritization through joint PIM guidelines with MoF, including the </w:t>
      </w:r>
      <w:r w:rsidRPr="00183802">
        <w:rPr>
          <w:rFonts w:cs="Times New Roman"/>
          <w:szCs w:val="24"/>
        </w:rPr>
        <w:t xml:space="preserve"> gender</w:t>
      </w:r>
      <w:r>
        <w:rPr>
          <w:rFonts w:cs="Times New Roman"/>
          <w:szCs w:val="24"/>
        </w:rPr>
        <w:t xml:space="preserve"> and</w:t>
      </w:r>
      <w:r w:rsidRPr="00183802">
        <w:rPr>
          <w:rFonts w:cs="Times New Roman"/>
          <w:szCs w:val="24"/>
        </w:rPr>
        <w:t xml:space="preserve"> climate</w:t>
      </w:r>
      <w:r>
        <w:rPr>
          <w:rFonts w:cs="Times New Roman"/>
          <w:szCs w:val="24"/>
        </w:rPr>
        <w:t xml:space="preserve"> dimension</w:t>
      </w:r>
      <w:r w:rsidRPr="00183802">
        <w:rPr>
          <w:rFonts w:cs="Times New Roman"/>
          <w:szCs w:val="24"/>
        </w:rPr>
        <w:t xml:space="preserve">; </w:t>
      </w:r>
      <w:r>
        <w:rPr>
          <w:rFonts w:cs="Times New Roman"/>
          <w:szCs w:val="24"/>
        </w:rPr>
        <w:t>(</w:t>
      </w:r>
      <w:r w:rsidRPr="00183802">
        <w:rPr>
          <w:rFonts w:cs="Times New Roman"/>
          <w:szCs w:val="24"/>
        </w:rPr>
        <w:t xml:space="preserve">ii) </w:t>
      </w:r>
      <w:r>
        <w:rPr>
          <w:rFonts w:cs="Times New Roman"/>
          <w:szCs w:val="24"/>
        </w:rPr>
        <w:t xml:space="preserve">include the </w:t>
      </w:r>
      <w:r w:rsidRPr="00183802">
        <w:rPr>
          <w:rFonts w:cs="Times New Roman"/>
          <w:szCs w:val="24"/>
        </w:rPr>
        <w:t>pipeline project</w:t>
      </w:r>
      <w:r>
        <w:rPr>
          <w:rFonts w:cs="Times New Roman"/>
          <w:szCs w:val="24"/>
        </w:rPr>
        <w:t xml:space="preserve"> submission and approval in the capital budget portal being developed</w:t>
      </w:r>
      <w:r w:rsidRPr="00183802">
        <w:rPr>
          <w:rFonts w:cs="Times New Roman"/>
          <w:szCs w:val="24"/>
        </w:rPr>
        <w:t xml:space="preserve">; </w:t>
      </w:r>
      <w:r>
        <w:rPr>
          <w:rFonts w:cs="Times New Roman"/>
          <w:szCs w:val="24"/>
        </w:rPr>
        <w:t>(</w:t>
      </w:r>
      <w:r w:rsidRPr="00183802">
        <w:rPr>
          <w:rFonts w:cs="Times New Roman"/>
          <w:szCs w:val="24"/>
        </w:rPr>
        <w:t>iii)</w:t>
      </w:r>
      <w:r>
        <w:rPr>
          <w:rFonts w:cs="Times New Roman"/>
          <w:szCs w:val="24"/>
        </w:rPr>
        <w:t xml:space="preserve"> introduce g</w:t>
      </w:r>
      <w:r w:rsidRPr="00183802">
        <w:rPr>
          <w:rFonts w:cs="Times New Roman"/>
          <w:szCs w:val="24"/>
        </w:rPr>
        <w:t>eo</w:t>
      </w:r>
      <w:r>
        <w:rPr>
          <w:rFonts w:cs="Times New Roman"/>
          <w:szCs w:val="24"/>
        </w:rPr>
        <w:t>-</w:t>
      </w:r>
      <w:r w:rsidRPr="00183802">
        <w:rPr>
          <w:rFonts w:cs="Times New Roman"/>
          <w:szCs w:val="24"/>
        </w:rPr>
        <w:t>tagging of projects</w:t>
      </w:r>
      <w:r>
        <w:rPr>
          <w:rFonts w:cs="Times New Roman"/>
          <w:szCs w:val="24"/>
        </w:rPr>
        <w:t xml:space="preserve"> and strengthen </w:t>
      </w:r>
      <w:r w:rsidRPr="00183802">
        <w:rPr>
          <w:rFonts w:cs="Times New Roman"/>
          <w:szCs w:val="24"/>
        </w:rPr>
        <w:t xml:space="preserve">citizen engagement </w:t>
      </w:r>
      <w:r>
        <w:rPr>
          <w:rFonts w:cs="Times New Roman"/>
          <w:szCs w:val="24"/>
        </w:rPr>
        <w:t xml:space="preserve">through </w:t>
      </w:r>
      <w:r w:rsidRPr="00183802">
        <w:rPr>
          <w:rFonts w:cs="Times New Roman"/>
          <w:szCs w:val="24"/>
        </w:rPr>
        <w:t xml:space="preserve">a feedback loop, especially for </w:t>
      </w:r>
      <w:r>
        <w:rPr>
          <w:rFonts w:cs="Times New Roman"/>
          <w:szCs w:val="24"/>
        </w:rPr>
        <w:t xml:space="preserve">project </w:t>
      </w:r>
      <w:r w:rsidRPr="00183802">
        <w:rPr>
          <w:rFonts w:cs="Times New Roman"/>
          <w:szCs w:val="24"/>
        </w:rPr>
        <w:t xml:space="preserve">monitoring;; </w:t>
      </w:r>
      <w:r>
        <w:rPr>
          <w:rFonts w:cs="Times New Roman"/>
          <w:szCs w:val="24"/>
        </w:rPr>
        <w:t>(</w:t>
      </w:r>
      <w:r w:rsidRPr="00183802">
        <w:rPr>
          <w:rFonts w:cs="Times New Roman"/>
          <w:szCs w:val="24"/>
        </w:rPr>
        <w:t xml:space="preserve">iv) </w:t>
      </w:r>
      <w:r>
        <w:rPr>
          <w:rFonts w:cs="Times New Roman"/>
          <w:szCs w:val="24"/>
        </w:rPr>
        <w:t>e</w:t>
      </w:r>
      <w:r w:rsidRPr="00183802">
        <w:rPr>
          <w:rFonts w:cs="Times New Roman"/>
          <w:szCs w:val="24"/>
        </w:rPr>
        <w:t xml:space="preserve">stablishing linkages with SAP upstream processes and asset registry; </w:t>
      </w:r>
      <w:r>
        <w:rPr>
          <w:rFonts w:cs="Times New Roman"/>
          <w:szCs w:val="24"/>
        </w:rPr>
        <w:t>(</w:t>
      </w:r>
      <w:r w:rsidRPr="00183802">
        <w:rPr>
          <w:rFonts w:cs="Times New Roman"/>
          <w:szCs w:val="24"/>
        </w:rPr>
        <w:t xml:space="preserve">v) capacity building; </w:t>
      </w:r>
      <w:r>
        <w:rPr>
          <w:rFonts w:cs="Times New Roman"/>
          <w:szCs w:val="24"/>
        </w:rPr>
        <w:t>(</w:t>
      </w:r>
      <w:r w:rsidRPr="00183802">
        <w:rPr>
          <w:rFonts w:cs="Times New Roman"/>
          <w:szCs w:val="24"/>
        </w:rPr>
        <w:t>vi)  incorporate provisions</w:t>
      </w:r>
      <w:r>
        <w:rPr>
          <w:rFonts w:cs="Times New Roman"/>
          <w:szCs w:val="24"/>
        </w:rPr>
        <w:t xml:space="preserve"> on PIM</w:t>
      </w:r>
      <w:r w:rsidRPr="00183802">
        <w:rPr>
          <w:rFonts w:cs="Times New Roman"/>
          <w:szCs w:val="24"/>
        </w:rPr>
        <w:t xml:space="preserve"> </w:t>
      </w:r>
      <w:r>
        <w:rPr>
          <w:rFonts w:cs="Times New Roman"/>
          <w:szCs w:val="24"/>
        </w:rPr>
        <w:t>in the</w:t>
      </w:r>
      <w:r w:rsidRPr="00183802">
        <w:rPr>
          <w:rFonts w:cs="Times New Roman"/>
          <w:szCs w:val="24"/>
        </w:rPr>
        <w:t xml:space="preserve"> draft P</w:t>
      </w:r>
      <w:r>
        <w:rPr>
          <w:rFonts w:cs="Times New Roman"/>
          <w:szCs w:val="24"/>
        </w:rPr>
        <w:t>F</w:t>
      </w:r>
      <w:r w:rsidRPr="00183802">
        <w:rPr>
          <w:rFonts w:cs="Times New Roman"/>
          <w:szCs w:val="24"/>
        </w:rPr>
        <w:t>M Act.</w:t>
      </w:r>
    </w:p>
    <w:p w14:paraId="061B561C" w14:textId="77777777" w:rsidR="00A23562" w:rsidRPr="003E467F" w:rsidRDefault="00A23562" w:rsidP="00A23562">
      <w:pPr>
        <w:pStyle w:val="Default"/>
        <w:jc w:val="both"/>
      </w:pPr>
    </w:p>
    <w:p w14:paraId="61C32DE9" w14:textId="77777777" w:rsidR="00A23562" w:rsidRPr="003E467F" w:rsidRDefault="00A23562" w:rsidP="00A23562">
      <w:pPr>
        <w:pStyle w:val="Default"/>
        <w:jc w:val="both"/>
      </w:pPr>
      <w:r w:rsidRPr="003E467F">
        <w:rPr>
          <w:b/>
          <w:bCs/>
        </w:rPr>
        <w:t xml:space="preserve">Component 2: Controlled Budget Execution </w:t>
      </w:r>
    </w:p>
    <w:p w14:paraId="17C53743"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2.3 </w:t>
      </w:r>
      <w:r w:rsidRPr="003E467F">
        <w:rPr>
          <w:rFonts w:cs="Times New Roman"/>
          <w:b/>
          <w:bCs/>
          <w:szCs w:val="24"/>
        </w:rPr>
        <w:t xml:space="preserve">Further strengthening of the Public Accounting </w:t>
      </w:r>
      <w:r>
        <w:rPr>
          <w:rFonts w:cs="Times New Roman"/>
          <w:b/>
          <w:bCs/>
          <w:szCs w:val="24"/>
        </w:rPr>
        <w:t>S</w:t>
      </w:r>
      <w:r w:rsidRPr="003E467F">
        <w:rPr>
          <w:rFonts w:cs="Times New Roman"/>
          <w:b/>
          <w:bCs/>
          <w:szCs w:val="24"/>
        </w:rPr>
        <w:t xml:space="preserve">ystem (PAS) and asset management. </w:t>
      </w:r>
      <w:r w:rsidRPr="003E467F">
        <w:rPr>
          <w:rFonts w:cs="Times New Roman"/>
          <w:szCs w:val="24"/>
        </w:rPr>
        <w:t xml:space="preserve">Provision of technical assistance to </w:t>
      </w:r>
      <w:proofErr w:type="spellStart"/>
      <w:r w:rsidRPr="003E467F">
        <w:rPr>
          <w:rFonts w:cs="Times New Roman"/>
          <w:szCs w:val="24"/>
        </w:rPr>
        <w:t>MoFT</w:t>
      </w:r>
      <w:proofErr w:type="spellEnd"/>
      <w:r w:rsidRPr="00AB6643">
        <w:rPr>
          <w:rFonts w:cs="Times New Roman"/>
          <w:bCs/>
          <w:szCs w:val="24"/>
        </w:rPr>
        <w:t>:</w:t>
      </w:r>
      <w:r w:rsidRPr="003E467F">
        <w:rPr>
          <w:rFonts w:cs="Times New Roman"/>
          <w:b/>
          <w:bCs/>
          <w:szCs w:val="24"/>
        </w:rPr>
        <w:t xml:space="preserve"> </w:t>
      </w:r>
      <w:r w:rsidRPr="003E467F">
        <w:rPr>
          <w:rFonts w:cs="Times New Roman"/>
          <w:szCs w:val="24"/>
        </w:rPr>
        <w:t xml:space="preserve">(i) to support the roll out of the PAS to the line ministries and agencies; (ii) to support the setting up of a Public Finance Development Service (PFDS) within </w:t>
      </w:r>
      <w:proofErr w:type="spellStart"/>
      <w:r w:rsidRPr="003E467F">
        <w:rPr>
          <w:rFonts w:cs="Times New Roman"/>
          <w:szCs w:val="24"/>
        </w:rPr>
        <w:t>MoFT</w:t>
      </w:r>
      <w:proofErr w:type="spellEnd"/>
      <w:r w:rsidRPr="003E467F">
        <w:rPr>
          <w:rFonts w:cs="Times New Roman"/>
          <w:szCs w:val="24"/>
        </w:rPr>
        <w:t xml:space="preserve">; and (iii) a result-based financing for increased sustainability of PFM reforms and key </w:t>
      </w:r>
      <w:proofErr w:type="spellStart"/>
      <w:r w:rsidRPr="003E467F">
        <w:rPr>
          <w:rFonts w:cs="Times New Roman"/>
          <w:szCs w:val="24"/>
        </w:rPr>
        <w:t>MoFT</w:t>
      </w:r>
      <w:proofErr w:type="spellEnd"/>
      <w:r w:rsidRPr="003E467F">
        <w:rPr>
          <w:rFonts w:cs="Times New Roman"/>
          <w:szCs w:val="24"/>
        </w:rPr>
        <w:t xml:space="preserve"> functions through establishment of the PFDS (</w:t>
      </w:r>
      <w:r w:rsidRPr="00790CF1">
        <w:rPr>
          <w:rFonts w:cs="Times New Roman"/>
          <w:b/>
          <w:szCs w:val="24"/>
        </w:rPr>
        <w:t>DLI#1</w:t>
      </w:r>
      <w:r w:rsidRPr="003E467F">
        <w:rPr>
          <w:rFonts w:cs="Times New Roman"/>
          <w:szCs w:val="24"/>
        </w:rPr>
        <w:t xml:space="preserve">). </w:t>
      </w:r>
    </w:p>
    <w:p w14:paraId="03E5C33C" w14:textId="77777777" w:rsidR="00A23562" w:rsidRPr="00502872" w:rsidRDefault="00A23562" w:rsidP="00A23562">
      <w:pPr>
        <w:numPr>
          <w:ilvl w:val="0"/>
          <w:numId w:val="11"/>
        </w:numPr>
        <w:tabs>
          <w:tab w:val="num" w:pos="720"/>
        </w:tabs>
        <w:spacing w:before="240" w:after="0" w:line="240" w:lineRule="auto"/>
        <w:ind w:left="0" w:firstLine="0"/>
        <w:jc w:val="both"/>
        <w:rPr>
          <w:rFonts w:cs="Times New Roman"/>
          <w:szCs w:val="24"/>
        </w:rPr>
      </w:pPr>
      <w:r w:rsidRPr="00E95BA8">
        <w:rPr>
          <w:rFonts w:cs="Times New Roman"/>
          <w:b/>
          <w:i/>
          <w:szCs w:val="24"/>
        </w:rPr>
        <w:t>Status</w:t>
      </w:r>
      <w:r w:rsidRPr="00E95BA8">
        <w:rPr>
          <w:rFonts w:cs="Times New Roman"/>
          <w:i/>
          <w:szCs w:val="24"/>
        </w:rPr>
        <w:t>.</w:t>
      </w:r>
      <w:r w:rsidRPr="003E467F">
        <w:rPr>
          <w:rFonts w:cs="Times New Roman"/>
          <w:szCs w:val="24"/>
        </w:rPr>
        <w:t xml:space="preserve"> </w:t>
      </w:r>
      <w:r>
        <w:rPr>
          <w:rFonts w:cs="Times New Roman"/>
          <w:szCs w:val="24"/>
        </w:rPr>
        <w:t xml:space="preserve">The PAS in well advanced and work is ongoing to integrate the upstream BPC module. The virement rules have been adopted but not yet reflected in SAP and thus not yet operational. Work on </w:t>
      </w:r>
      <w:r w:rsidRPr="003E467F">
        <w:rPr>
          <w:rFonts w:cs="Times New Roman"/>
          <w:szCs w:val="24"/>
        </w:rPr>
        <w:t>Asset management</w:t>
      </w:r>
      <w:r>
        <w:rPr>
          <w:rFonts w:cs="Times New Roman"/>
          <w:szCs w:val="24"/>
        </w:rPr>
        <w:t xml:space="preserve"> has started</w:t>
      </w:r>
      <w:r w:rsidRPr="003E467F">
        <w:rPr>
          <w:rFonts w:cs="Times New Roman"/>
          <w:szCs w:val="24"/>
        </w:rPr>
        <w:t xml:space="preserve">: </w:t>
      </w:r>
      <w:r>
        <w:rPr>
          <w:rFonts w:cs="Times New Roman"/>
          <w:szCs w:val="24"/>
        </w:rPr>
        <w:t xml:space="preserve">PFDS has launched a portal that is used to compile fixed asset details including unique fixed asset identification numbering. </w:t>
      </w:r>
      <w:r w:rsidRPr="003E467F">
        <w:rPr>
          <w:rFonts w:cs="Times New Roman"/>
          <w:szCs w:val="24"/>
        </w:rPr>
        <w:t xml:space="preserve">The Bank recommended </w:t>
      </w:r>
      <w:r>
        <w:rPr>
          <w:rFonts w:cs="Times New Roman"/>
          <w:szCs w:val="24"/>
        </w:rPr>
        <w:t xml:space="preserve">implementation of a workflow that will make it mandatory to record details in the SAP Fixed Asset Module each time entry is passed for a fixed asset code.  Internal audit unit can use hand-held devices to do periodic asset count. </w:t>
      </w:r>
      <w:r w:rsidRPr="003E467F">
        <w:rPr>
          <w:rFonts w:cs="Times New Roman"/>
          <w:szCs w:val="24"/>
        </w:rPr>
        <w:t xml:space="preserve">Another recommendation was to maximize the use of assets by taking a stock of idle assets. </w:t>
      </w:r>
      <w:r>
        <w:rPr>
          <w:rFonts w:cs="Times New Roman"/>
          <w:szCs w:val="24"/>
        </w:rPr>
        <w:t xml:space="preserve"> A schedule of fixed assets can be included as notes to the annual financial statement.</w:t>
      </w:r>
    </w:p>
    <w:p w14:paraId="207F89A0"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2.4. </w:t>
      </w:r>
      <w:r w:rsidRPr="003E467F">
        <w:rPr>
          <w:rFonts w:cs="Times New Roman"/>
          <w:b/>
          <w:bCs/>
          <w:szCs w:val="24"/>
        </w:rPr>
        <w:t>Payroll Management and Control</w:t>
      </w:r>
      <w:r w:rsidRPr="003E467F">
        <w:rPr>
          <w:rFonts w:cs="Times New Roman"/>
          <w:szCs w:val="24"/>
        </w:rPr>
        <w:t xml:space="preserve">. Provision of technical assistance to: (i) provide quality data to the </w:t>
      </w:r>
      <w:proofErr w:type="spellStart"/>
      <w:r w:rsidRPr="003E467F">
        <w:rPr>
          <w:rFonts w:cs="Times New Roman"/>
          <w:szCs w:val="24"/>
        </w:rPr>
        <w:t>MoFT</w:t>
      </w:r>
      <w:proofErr w:type="spellEnd"/>
      <w:r w:rsidRPr="003E467F">
        <w:rPr>
          <w:rFonts w:cs="Times New Roman"/>
          <w:szCs w:val="24"/>
        </w:rPr>
        <w:t xml:space="preserve"> on its human resources to enable the development of wage policy initiatives; (ii) support the National Pay Commission and the Civil Service Commission for the development of a dedicated and sustainable cadre for the critical PFM and IT functions; and (iii) results based financing to strengthen control of the wage bill and staffing of core financial functions (</w:t>
      </w:r>
      <w:r w:rsidRPr="00790CF1">
        <w:rPr>
          <w:rFonts w:cs="Times New Roman"/>
          <w:b/>
          <w:szCs w:val="24"/>
        </w:rPr>
        <w:t>DLI#2</w:t>
      </w:r>
      <w:r w:rsidRPr="003E467F">
        <w:rPr>
          <w:rFonts w:cs="Times New Roman"/>
          <w:szCs w:val="24"/>
        </w:rPr>
        <w:t xml:space="preserve">). </w:t>
      </w:r>
    </w:p>
    <w:p w14:paraId="57CF74C6" w14:textId="77777777" w:rsidR="00A23562" w:rsidRPr="000730EA"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szCs w:val="24"/>
        </w:rPr>
        <w:t>Status</w:t>
      </w:r>
      <w:r w:rsidRPr="003E467F">
        <w:rPr>
          <w:rFonts w:cs="Times New Roman"/>
          <w:szCs w:val="24"/>
        </w:rPr>
        <w:t>. The mission met the National Pay Commission (NPC) Secretariat. The project has developed a manual registry of 45,000 civil servants, including the local government authorit</w:t>
      </w:r>
      <w:r>
        <w:rPr>
          <w:rFonts w:cs="Times New Roman"/>
          <w:szCs w:val="24"/>
        </w:rPr>
        <w:t>ies</w:t>
      </w:r>
      <w:r w:rsidRPr="003E467F">
        <w:rPr>
          <w:rFonts w:cs="Times New Roman"/>
          <w:szCs w:val="24"/>
        </w:rPr>
        <w:t xml:space="preserve">—a good start to compiling data based on qualification, gender, grade, position, job location, allowances, salary and </w:t>
      </w:r>
      <w:r>
        <w:rPr>
          <w:rFonts w:cs="Times New Roman"/>
          <w:szCs w:val="24"/>
        </w:rPr>
        <w:t>personal identification number (PIN)</w:t>
      </w:r>
      <w:r w:rsidRPr="003E467F">
        <w:rPr>
          <w:rFonts w:cs="Times New Roman"/>
          <w:szCs w:val="24"/>
        </w:rPr>
        <w:t>. Gender disaggregated data is only available for 38,000 civil servants</w:t>
      </w:r>
      <w:r>
        <w:rPr>
          <w:rFonts w:cs="Times New Roman"/>
          <w:szCs w:val="24"/>
        </w:rPr>
        <w:t xml:space="preserve"> and t</w:t>
      </w:r>
      <w:r w:rsidRPr="003E467F">
        <w:rPr>
          <w:rFonts w:cs="Times New Roman"/>
          <w:szCs w:val="24"/>
        </w:rPr>
        <w:t>here is no real</w:t>
      </w:r>
      <w:r>
        <w:rPr>
          <w:rFonts w:cs="Times New Roman"/>
          <w:szCs w:val="24"/>
        </w:rPr>
        <w:t>-</w:t>
      </w:r>
      <w:r w:rsidRPr="003E467F">
        <w:rPr>
          <w:rFonts w:cs="Times New Roman"/>
          <w:szCs w:val="24"/>
        </w:rPr>
        <w:t>time data for pension</w:t>
      </w:r>
      <w:r>
        <w:rPr>
          <w:rFonts w:cs="Times New Roman"/>
          <w:szCs w:val="24"/>
        </w:rPr>
        <w:t>ers</w:t>
      </w:r>
      <w:r w:rsidRPr="003E467F">
        <w:rPr>
          <w:rFonts w:cs="Times New Roman"/>
          <w:szCs w:val="24"/>
        </w:rPr>
        <w:t>.  The NPC will share a notification on the civil service registry, which will be the basis of the IVA evaluation. The NPC has formulated a strategic action plan and collected data on pay structure from across the public sector. Further</w:t>
      </w:r>
      <w:r>
        <w:rPr>
          <w:rFonts w:cs="Times New Roman"/>
          <w:szCs w:val="24"/>
        </w:rPr>
        <w:t>more</w:t>
      </w:r>
      <w:r w:rsidRPr="003E467F">
        <w:rPr>
          <w:rFonts w:cs="Times New Roman"/>
          <w:szCs w:val="24"/>
        </w:rPr>
        <w:t xml:space="preserve">, </w:t>
      </w:r>
      <w:r>
        <w:rPr>
          <w:rFonts w:cs="Times New Roman"/>
          <w:szCs w:val="24"/>
        </w:rPr>
        <w:t>after conducting job analysis, NPC</w:t>
      </w:r>
      <w:r w:rsidRPr="003E467F">
        <w:rPr>
          <w:rFonts w:cs="Times New Roman"/>
          <w:szCs w:val="24"/>
        </w:rPr>
        <w:t xml:space="preserve"> </w:t>
      </w:r>
      <w:r>
        <w:rPr>
          <w:rFonts w:eastAsia="Times New Roman" w:cs="Times New Roman"/>
          <w:szCs w:val="24"/>
        </w:rPr>
        <w:t>has identified</w:t>
      </w:r>
      <w:r w:rsidRPr="00336DD9">
        <w:rPr>
          <w:rFonts w:eastAsia="Times New Roman" w:cs="Times New Roman"/>
          <w:szCs w:val="24"/>
        </w:rPr>
        <w:t xml:space="preserve"> 9 job families and 96 professions</w:t>
      </w:r>
      <w:r>
        <w:rPr>
          <w:rFonts w:eastAsia="Times New Roman" w:cs="Times New Roman"/>
          <w:szCs w:val="24"/>
        </w:rPr>
        <w:t xml:space="preserve"> for which job descriptions and qualification/experience criteria are being developed to be followed by pay grading. </w:t>
      </w:r>
      <w:r w:rsidRPr="00336DD9">
        <w:rPr>
          <w:rFonts w:eastAsia="Times New Roman" w:cs="Times New Roman"/>
          <w:szCs w:val="24"/>
        </w:rPr>
        <w:t xml:space="preserve"> </w:t>
      </w:r>
      <w:r w:rsidRPr="003E467F">
        <w:rPr>
          <w:rFonts w:cs="Times New Roman"/>
          <w:szCs w:val="24"/>
        </w:rPr>
        <w:t xml:space="preserve"> Efforts are in place to </w:t>
      </w:r>
      <w:r>
        <w:rPr>
          <w:rFonts w:cs="Times New Roman"/>
          <w:szCs w:val="24"/>
        </w:rPr>
        <w:t>establish</w:t>
      </w:r>
      <w:r w:rsidRPr="003E467F">
        <w:rPr>
          <w:rFonts w:cs="Times New Roman"/>
          <w:szCs w:val="24"/>
        </w:rPr>
        <w:t xml:space="preserve"> a minimum wage</w:t>
      </w:r>
      <w:r>
        <w:rPr>
          <w:rFonts w:cs="Times New Roman"/>
          <w:szCs w:val="24"/>
        </w:rPr>
        <w:t>, including for the private sector</w:t>
      </w:r>
      <w:r w:rsidRPr="003E467F">
        <w:rPr>
          <w:rFonts w:cs="Times New Roman"/>
          <w:szCs w:val="24"/>
        </w:rPr>
        <w:t xml:space="preserve"> and to harmonize the pay structure</w:t>
      </w:r>
      <w:r>
        <w:rPr>
          <w:rFonts w:cs="Times New Roman"/>
          <w:szCs w:val="24"/>
        </w:rPr>
        <w:t>/ allowances</w:t>
      </w:r>
      <w:r w:rsidRPr="003E467F">
        <w:rPr>
          <w:rFonts w:cs="Times New Roman"/>
          <w:szCs w:val="24"/>
        </w:rPr>
        <w:t xml:space="preserve"> for the public sector. A</w:t>
      </w:r>
      <w:r>
        <w:rPr>
          <w:rFonts w:cs="Times New Roman"/>
          <w:szCs w:val="24"/>
        </w:rPr>
        <w:t>lso, at</w:t>
      </w:r>
      <w:r w:rsidRPr="003E467F">
        <w:rPr>
          <w:rFonts w:cs="Times New Roman"/>
          <w:szCs w:val="24"/>
        </w:rPr>
        <w:t xml:space="preserve"> present, there are nearly twenty different types of allowances, out of which</w:t>
      </w:r>
      <w:r>
        <w:rPr>
          <w:rFonts w:cs="Times New Roman"/>
          <w:szCs w:val="24"/>
        </w:rPr>
        <w:t xml:space="preserve"> </w:t>
      </w:r>
      <w:r w:rsidRPr="003E467F">
        <w:rPr>
          <w:rFonts w:cs="Times New Roman"/>
          <w:szCs w:val="24"/>
        </w:rPr>
        <w:t>fifteen</w:t>
      </w:r>
      <w:r>
        <w:rPr>
          <w:rFonts w:cs="Times New Roman"/>
          <w:szCs w:val="24"/>
        </w:rPr>
        <w:t xml:space="preserve"> are in use</w:t>
      </w:r>
      <w:r w:rsidRPr="003E467F">
        <w:rPr>
          <w:rFonts w:cs="Times New Roman"/>
          <w:szCs w:val="24"/>
        </w:rPr>
        <w:t xml:space="preserve">. The NPC has also published a handbook on allowances. </w:t>
      </w:r>
    </w:p>
    <w:p w14:paraId="4CBFABDE"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2.5. </w:t>
      </w:r>
      <w:r w:rsidRPr="003E467F">
        <w:rPr>
          <w:rFonts w:cs="Times New Roman"/>
          <w:b/>
          <w:bCs/>
          <w:szCs w:val="24"/>
        </w:rPr>
        <w:t xml:space="preserve">State-Owned Enterprise (SOE) governance and oversight. </w:t>
      </w:r>
      <w:r w:rsidRPr="003E467F">
        <w:rPr>
          <w:rFonts w:cs="Times New Roman"/>
          <w:szCs w:val="24"/>
        </w:rPr>
        <w:t>Provision of technical assistance through (i) policy advice and strengthening of the PCB; (ii) the design and implementation of an SOE fiscal risk and contingent liability assessment and monitoring tool ; (iii) the roll out of the online monitoring and reporting system of the SOEs’ financial and non-financial performance; (iv) roll out of the new corporate governance code for the SOEs, (v) as well as of the corporate governance training program for the SOE Board members, managers and oversight staff in cooperation with the capital market regulator; and (vi) results based financing to improve oversight and monitoring of SOEs (</w:t>
      </w:r>
      <w:r w:rsidRPr="00790CF1">
        <w:rPr>
          <w:rFonts w:cs="Times New Roman"/>
          <w:b/>
          <w:szCs w:val="24"/>
        </w:rPr>
        <w:t>DLI#3</w:t>
      </w:r>
      <w:r w:rsidRPr="003E467F">
        <w:rPr>
          <w:rFonts w:cs="Times New Roman"/>
          <w:szCs w:val="24"/>
        </w:rPr>
        <w:t xml:space="preserve">). </w:t>
      </w:r>
    </w:p>
    <w:p w14:paraId="7031389D" w14:textId="420EDBE1"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szCs w:val="24"/>
        </w:rPr>
        <w:t>Status</w:t>
      </w:r>
      <w:r w:rsidRPr="003E467F">
        <w:rPr>
          <w:rFonts w:cs="Times New Roman"/>
          <w:szCs w:val="24"/>
        </w:rPr>
        <w:t xml:space="preserve">. The project has </w:t>
      </w:r>
      <w:r>
        <w:rPr>
          <w:rFonts w:cs="Times New Roman"/>
          <w:szCs w:val="24"/>
        </w:rPr>
        <w:t xml:space="preserve">supported the development </w:t>
      </w:r>
      <w:r w:rsidR="004F2B81">
        <w:rPr>
          <w:rFonts w:cs="Times New Roman"/>
          <w:szCs w:val="24"/>
        </w:rPr>
        <w:t xml:space="preserve">of </w:t>
      </w:r>
      <w:r w:rsidR="004F2B81" w:rsidRPr="003E467F">
        <w:rPr>
          <w:rFonts w:cs="Times New Roman"/>
          <w:szCs w:val="24"/>
        </w:rPr>
        <w:t>a</w:t>
      </w:r>
      <w:r w:rsidRPr="003E467F">
        <w:rPr>
          <w:rFonts w:cs="Times New Roman"/>
          <w:szCs w:val="24"/>
        </w:rPr>
        <w:t xml:space="preserve"> Corporate Governance Code </w:t>
      </w:r>
      <w:r>
        <w:rPr>
          <w:rFonts w:cs="Times New Roman"/>
          <w:szCs w:val="24"/>
        </w:rPr>
        <w:t xml:space="preserve">for SOEs </w:t>
      </w:r>
      <w:r w:rsidRPr="003E467F">
        <w:rPr>
          <w:rFonts w:cs="Times New Roman"/>
          <w:szCs w:val="24"/>
        </w:rPr>
        <w:t xml:space="preserve">and subsequently conducted training on for the </w:t>
      </w:r>
      <w:proofErr w:type="spellStart"/>
      <w:r w:rsidRPr="003E467F">
        <w:rPr>
          <w:rFonts w:cs="Times New Roman"/>
          <w:szCs w:val="24"/>
        </w:rPr>
        <w:t>SoE</w:t>
      </w:r>
      <w:proofErr w:type="spellEnd"/>
      <w:r w:rsidRPr="003E467F">
        <w:rPr>
          <w:rFonts w:cs="Times New Roman"/>
          <w:szCs w:val="24"/>
        </w:rPr>
        <w:t xml:space="preserve"> Board in January 2019. The Board of Directors of the 5 largest </w:t>
      </w:r>
      <w:proofErr w:type="spellStart"/>
      <w:r w:rsidRPr="003E467F">
        <w:rPr>
          <w:rFonts w:cs="Times New Roman"/>
          <w:szCs w:val="24"/>
        </w:rPr>
        <w:t>SoEs</w:t>
      </w:r>
      <w:proofErr w:type="spellEnd"/>
      <w:r w:rsidRPr="003E467F">
        <w:rPr>
          <w:rFonts w:cs="Times New Roman"/>
          <w:szCs w:val="24"/>
        </w:rPr>
        <w:t xml:space="preserve"> have adopted this Code—this last DLR has been achieved in advance. The PCB has established the </w:t>
      </w:r>
      <w:proofErr w:type="spellStart"/>
      <w:r w:rsidRPr="003E467F">
        <w:rPr>
          <w:rFonts w:cs="Times New Roman"/>
          <w:szCs w:val="24"/>
        </w:rPr>
        <w:t>SoE</w:t>
      </w:r>
      <w:proofErr w:type="spellEnd"/>
      <w:r w:rsidRPr="003E467F">
        <w:rPr>
          <w:rFonts w:cs="Times New Roman"/>
          <w:szCs w:val="24"/>
        </w:rPr>
        <w:t xml:space="preserve"> Gateway, a portal that</w:t>
      </w:r>
      <w:r>
        <w:rPr>
          <w:rFonts w:cs="Times New Roman"/>
          <w:szCs w:val="24"/>
        </w:rPr>
        <w:t xml:space="preserve"> monitors the financial situation of </w:t>
      </w:r>
      <w:proofErr w:type="spellStart"/>
      <w:r>
        <w:rPr>
          <w:rFonts w:cs="Times New Roman"/>
          <w:szCs w:val="24"/>
        </w:rPr>
        <w:t>SoEs</w:t>
      </w:r>
      <w:proofErr w:type="spellEnd"/>
      <w:r>
        <w:rPr>
          <w:rFonts w:cs="Times New Roman"/>
          <w:szCs w:val="24"/>
        </w:rPr>
        <w:t>. It</w:t>
      </w:r>
      <w:r w:rsidRPr="003E467F">
        <w:rPr>
          <w:rFonts w:cs="Times New Roman"/>
          <w:szCs w:val="24"/>
        </w:rPr>
        <w:t xml:space="preserve"> has been rolled out to16 </w:t>
      </w:r>
      <w:proofErr w:type="spellStart"/>
      <w:r w:rsidRPr="003E467F">
        <w:rPr>
          <w:rFonts w:cs="Times New Roman"/>
          <w:szCs w:val="24"/>
        </w:rPr>
        <w:t>SoEs</w:t>
      </w:r>
      <w:proofErr w:type="spellEnd"/>
      <w:r>
        <w:rPr>
          <w:rFonts w:cs="Times New Roman"/>
          <w:szCs w:val="24"/>
        </w:rPr>
        <w:t xml:space="preserve"> to date</w:t>
      </w:r>
      <w:r w:rsidRPr="003E467F">
        <w:rPr>
          <w:rFonts w:cs="Times New Roman"/>
          <w:szCs w:val="24"/>
        </w:rPr>
        <w:t xml:space="preserve">. </w:t>
      </w:r>
      <w:r>
        <w:rPr>
          <w:rFonts w:cs="Times New Roman"/>
          <w:szCs w:val="24"/>
        </w:rPr>
        <w:t xml:space="preserve">In the meantime, MOF </w:t>
      </w:r>
      <w:r w:rsidRPr="003E467F">
        <w:rPr>
          <w:rFonts w:cs="Times New Roman"/>
          <w:szCs w:val="24"/>
        </w:rPr>
        <w:t xml:space="preserve">publishes monthly, quarterly and annual data on cash flow of </w:t>
      </w:r>
      <w:proofErr w:type="spellStart"/>
      <w:r w:rsidRPr="003E467F">
        <w:rPr>
          <w:rFonts w:cs="Times New Roman"/>
          <w:szCs w:val="24"/>
        </w:rPr>
        <w:t>SoEs</w:t>
      </w:r>
      <w:proofErr w:type="spellEnd"/>
      <w:r w:rsidRPr="003E467F">
        <w:rPr>
          <w:rFonts w:cs="Times New Roman"/>
          <w:szCs w:val="24"/>
        </w:rPr>
        <w:t xml:space="preserve"> </w:t>
      </w:r>
      <w:r>
        <w:rPr>
          <w:rFonts w:cs="Times New Roman"/>
          <w:szCs w:val="24"/>
        </w:rPr>
        <w:t>on its website</w:t>
      </w:r>
      <w:r w:rsidRPr="003E467F">
        <w:rPr>
          <w:rFonts w:cs="Times New Roman"/>
          <w:szCs w:val="24"/>
        </w:rPr>
        <w:t xml:space="preserve">. The PCB has </w:t>
      </w:r>
      <w:r>
        <w:rPr>
          <w:rFonts w:cs="Times New Roman"/>
          <w:szCs w:val="24"/>
        </w:rPr>
        <w:t xml:space="preserve">developed performance agreements and </w:t>
      </w:r>
      <w:r w:rsidRPr="003E467F">
        <w:rPr>
          <w:rFonts w:cs="Times New Roman"/>
          <w:szCs w:val="24"/>
        </w:rPr>
        <w:t xml:space="preserve">aligned </w:t>
      </w:r>
      <w:r>
        <w:rPr>
          <w:rFonts w:cs="Times New Roman"/>
          <w:szCs w:val="24"/>
        </w:rPr>
        <w:t>bonuses for</w:t>
      </w:r>
      <w:r w:rsidRPr="003E467F">
        <w:rPr>
          <w:rFonts w:cs="Times New Roman"/>
          <w:szCs w:val="24"/>
        </w:rPr>
        <w:t xml:space="preserve"> the Managing Director and the Boa</w:t>
      </w:r>
      <w:r>
        <w:rPr>
          <w:rFonts w:cs="Times New Roman"/>
          <w:szCs w:val="24"/>
        </w:rPr>
        <w:t>r</w:t>
      </w:r>
      <w:r w:rsidRPr="003E467F">
        <w:rPr>
          <w:rFonts w:cs="Times New Roman"/>
          <w:szCs w:val="24"/>
        </w:rPr>
        <w:t>d of Directors with the</w:t>
      </w:r>
      <w:r>
        <w:rPr>
          <w:rFonts w:cs="Times New Roman"/>
          <w:szCs w:val="24"/>
        </w:rPr>
        <w:t>ir</w:t>
      </w:r>
      <w:r w:rsidRPr="003E467F">
        <w:rPr>
          <w:rFonts w:cs="Times New Roman"/>
          <w:szCs w:val="24"/>
        </w:rPr>
        <w:t xml:space="preserve"> performance. The PCB will share a joint circular with MoF on performance evaluation, which is a critical milestone for disbursement of the DLI. The </w:t>
      </w:r>
      <w:r>
        <w:rPr>
          <w:rFonts w:cs="Times New Roman"/>
          <w:szCs w:val="24"/>
        </w:rPr>
        <w:t xml:space="preserve">new </w:t>
      </w:r>
      <w:r w:rsidRPr="003E467F">
        <w:rPr>
          <w:rFonts w:cs="Times New Roman"/>
          <w:szCs w:val="24"/>
        </w:rPr>
        <w:t xml:space="preserve">PCB identified </w:t>
      </w:r>
      <w:r>
        <w:rPr>
          <w:rFonts w:cs="Times New Roman"/>
          <w:szCs w:val="24"/>
        </w:rPr>
        <w:t xml:space="preserve">the strengthening of SOE Boards, including on </w:t>
      </w:r>
      <w:r w:rsidRPr="003E467F">
        <w:rPr>
          <w:rFonts w:cs="Times New Roman"/>
          <w:szCs w:val="24"/>
        </w:rPr>
        <w:t>Corporate finance</w:t>
      </w:r>
      <w:r>
        <w:rPr>
          <w:rFonts w:cs="Times New Roman"/>
          <w:szCs w:val="24"/>
        </w:rPr>
        <w:t xml:space="preserve"> as a key priority to improve performance and implement the reforms. The Bank offered to share the new SOE Board Leadership program developed with IFC and which can be customized by the project. </w:t>
      </w:r>
      <w:r w:rsidRPr="003E467F">
        <w:rPr>
          <w:rFonts w:cs="Times New Roman"/>
          <w:szCs w:val="24"/>
        </w:rPr>
        <w:t xml:space="preserve"> The PCB </w:t>
      </w:r>
      <w:r>
        <w:rPr>
          <w:rFonts w:cs="Times New Roman"/>
          <w:szCs w:val="24"/>
        </w:rPr>
        <w:t xml:space="preserve">is interested in strengthening </w:t>
      </w:r>
      <w:r w:rsidRPr="003E467F">
        <w:rPr>
          <w:rFonts w:cs="Times New Roman"/>
          <w:szCs w:val="24"/>
        </w:rPr>
        <w:t>fiscal risk and contingent liability assessment and monitoring</w:t>
      </w:r>
      <w:r>
        <w:rPr>
          <w:rFonts w:cs="Times New Roman"/>
          <w:szCs w:val="24"/>
        </w:rPr>
        <w:t xml:space="preserve">, including through effective risk committees and strategies at the SOEs and through the development of a policy, </w:t>
      </w:r>
      <w:r w:rsidRPr="003E467F">
        <w:rPr>
          <w:rFonts w:cs="Times New Roman"/>
          <w:szCs w:val="24"/>
        </w:rPr>
        <w:t>tool</w:t>
      </w:r>
      <w:r>
        <w:rPr>
          <w:rFonts w:cs="Times New Roman"/>
          <w:szCs w:val="24"/>
        </w:rPr>
        <w:t xml:space="preserve">s and a database for PCB, in cooperation with MOF. An expert is being hired for that purpose (the second candidate after the first declined). </w:t>
      </w:r>
      <w:r w:rsidRPr="003E467F">
        <w:rPr>
          <w:rFonts w:cs="Times New Roman"/>
          <w:szCs w:val="24"/>
        </w:rPr>
        <w:t xml:space="preserve"> The Bank </w:t>
      </w:r>
      <w:r>
        <w:rPr>
          <w:rFonts w:cs="Times New Roman"/>
          <w:szCs w:val="24"/>
        </w:rPr>
        <w:t xml:space="preserve">can also provide input and share the model used in Sri Lanka. </w:t>
      </w:r>
    </w:p>
    <w:p w14:paraId="2B55DE7D"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 xml:space="preserve">Sub-component 2.6. </w:t>
      </w:r>
      <w:r w:rsidRPr="003E467F">
        <w:rPr>
          <w:rFonts w:cs="Times New Roman"/>
          <w:b/>
          <w:bCs/>
          <w:szCs w:val="24"/>
        </w:rPr>
        <w:t xml:space="preserve">Procurement reforms. </w:t>
      </w:r>
      <w:r w:rsidRPr="003E467F">
        <w:rPr>
          <w:rFonts w:cs="Times New Roman"/>
          <w:szCs w:val="24"/>
        </w:rPr>
        <w:t xml:space="preserve">Provision of technical assistance for (i) strengthening the policy and regulatory framework for public procurement; (ii) capacity building through the establishment of certified training course for the benefit of the line ministries and eligible staff of SOEs; and (iii) the pilot testing of green procurement. </w:t>
      </w:r>
    </w:p>
    <w:p w14:paraId="18453A34"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szCs w:val="24"/>
        </w:rPr>
        <w:t>Public procurement</w:t>
      </w:r>
      <w:r w:rsidRPr="003E467F">
        <w:rPr>
          <w:rFonts w:cs="Times New Roman"/>
          <w:szCs w:val="24"/>
        </w:rPr>
        <w:t xml:space="preserve">. A proposal has been sent to the President’s Office for changes to the procurement regulations. These changes are in relation to giving more preference to local contractors, monitoring and evaluation of procurement, establishing a separate regulatory division in the </w:t>
      </w:r>
      <w:proofErr w:type="spellStart"/>
      <w:r w:rsidRPr="003E467F">
        <w:rPr>
          <w:rFonts w:cs="Times New Roman"/>
          <w:szCs w:val="24"/>
        </w:rPr>
        <w:t>MoFT</w:t>
      </w:r>
      <w:proofErr w:type="spellEnd"/>
      <w:r w:rsidRPr="003E467F">
        <w:rPr>
          <w:rFonts w:cs="Times New Roman"/>
          <w:szCs w:val="24"/>
        </w:rPr>
        <w:t xml:space="preserve"> and the streamlining of the SOEs procurement. While the </w:t>
      </w:r>
      <w:proofErr w:type="spellStart"/>
      <w:r w:rsidRPr="003E467F">
        <w:rPr>
          <w:rFonts w:cs="Times New Roman"/>
          <w:szCs w:val="24"/>
        </w:rPr>
        <w:t>MoFT</w:t>
      </w:r>
      <w:proofErr w:type="spellEnd"/>
      <w:r w:rsidRPr="003E467F">
        <w:rPr>
          <w:rFonts w:cs="Times New Roman"/>
          <w:szCs w:val="24"/>
        </w:rPr>
        <w:t xml:space="preserve"> is carrying out training of procurement staff at the line ministries, islands and the SOEs (the project has trained 156 people)</w:t>
      </w:r>
      <w:r>
        <w:rPr>
          <w:rFonts w:cs="Times New Roman"/>
          <w:szCs w:val="24"/>
        </w:rPr>
        <w:t xml:space="preserve"> </w:t>
      </w:r>
      <w:r w:rsidRPr="003E467F">
        <w:rPr>
          <w:rFonts w:cs="Times New Roman"/>
          <w:szCs w:val="24"/>
        </w:rPr>
        <w:t xml:space="preserve">it is critical to also develop a core curriculum to build capacity of the procurement cadre. The state minister has recommended conducting a capacity gap analysis and a training needs assessment to take this activity forward. The </w:t>
      </w:r>
      <w:r>
        <w:rPr>
          <w:rFonts w:cs="Times New Roman"/>
          <w:szCs w:val="24"/>
        </w:rPr>
        <w:t xml:space="preserve">National </w:t>
      </w:r>
      <w:r w:rsidRPr="003E467F">
        <w:rPr>
          <w:rFonts w:cs="Times New Roman"/>
          <w:szCs w:val="24"/>
        </w:rPr>
        <w:t xml:space="preserve">Tender Board will send draft </w:t>
      </w:r>
      <w:proofErr w:type="spellStart"/>
      <w:r w:rsidRPr="003E467F">
        <w:rPr>
          <w:rFonts w:cs="Times New Roman"/>
          <w:szCs w:val="24"/>
        </w:rPr>
        <w:t>ToRs</w:t>
      </w:r>
      <w:proofErr w:type="spellEnd"/>
      <w:r w:rsidRPr="003E467F">
        <w:rPr>
          <w:rFonts w:cs="Times New Roman"/>
          <w:szCs w:val="24"/>
        </w:rPr>
        <w:t xml:space="preserve"> to the Bank for a TA to support the gap analysis and needs assessment. This TA will also identify gaps in the current training curriculum that the </w:t>
      </w:r>
      <w:proofErr w:type="spellStart"/>
      <w:r w:rsidRPr="003E467F">
        <w:rPr>
          <w:rFonts w:cs="Times New Roman"/>
          <w:szCs w:val="24"/>
        </w:rPr>
        <w:t>MoFT</w:t>
      </w:r>
      <w:proofErr w:type="spellEnd"/>
      <w:r w:rsidRPr="003E467F">
        <w:rPr>
          <w:rFonts w:cs="Times New Roman"/>
          <w:szCs w:val="24"/>
        </w:rPr>
        <w:t xml:space="preserve"> is using to conduct training. In the case of green procurement, while there are several initiatives at the individual ministries level, there is no central policy for the greening of procurement. The Tender board will reach out to the Ministry of Environment for advice and assistance. The Mission also extended an offer to provide any assistance necessary in this regard.</w:t>
      </w:r>
    </w:p>
    <w:p w14:paraId="32D699BC"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790CF1">
        <w:rPr>
          <w:rFonts w:cs="Times New Roman"/>
          <w:b/>
          <w:szCs w:val="24"/>
        </w:rPr>
        <w:t xml:space="preserve">An </w:t>
      </w:r>
      <w:proofErr w:type="spellStart"/>
      <w:r>
        <w:rPr>
          <w:rFonts w:cs="Times New Roman"/>
          <w:b/>
          <w:szCs w:val="24"/>
        </w:rPr>
        <w:t>e</w:t>
      </w:r>
      <w:r w:rsidRPr="00790CF1">
        <w:rPr>
          <w:rFonts w:cs="Times New Roman"/>
          <w:b/>
          <w:szCs w:val="24"/>
        </w:rPr>
        <w:t>GP</w:t>
      </w:r>
      <w:proofErr w:type="spellEnd"/>
      <w:r w:rsidRPr="00790CF1">
        <w:rPr>
          <w:rFonts w:cs="Times New Roman"/>
          <w:b/>
          <w:szCs w:val="24"/>
        </w:rPr>
        <w:t xml:space="preserve"> Readiness assessment was carried out in 2017</w:t>
      </w:r>
      <w:r w:rsidRPr="003E467F">
        <w:rPr>
          <w:rFonts w:cs="Times New Roman"/>
          <w:szCs w:val="24"/>
        </w:rPr>
        <w:t xml:space="preserve"> The Bank extensively commented on the draft assessment which was not completed. The PMU and Tender Board agreed to pick this up again. A consultant will be hired to complete the readiness assessment. This will then feed into an </w:t>
      </w:r>
      <w:proofErr w:type="spellStart"/>
      <w:r w:rsidRPr="003E467F">
        <w:rPr>
          <w:rFonts w:cs="Times New Roman"/>
          <w:szCs w:val="24"/>
        </w:rPr>
        <w:t>eGP</w:t>
      </w:r>
      <w:proofErr w:type="spellEnd"/>
      <w:r w:rsidRPr="003E467F">
        <w:rPr>
          <w:rFonts w:cs="Times New Roman"/>
          <w:szCs w:val="24"/>
        </w:rPr>
        <w:t xml:space="preserve"> implementation Strategy that will define the roadmap for the design and roll out of an </w:t>
      </w:r>
      <w:proofErr w:type="spellStart"/>
      <w:r w:rsidRPr="003E467F">
        <w:rPr>
          <w:rFonts w:cs="Times New Roman"/>
          <w:szCs w:val="24"/>
        </w:rPr>
        <w:t>eGP</w:t>
      </w:r>
      <w:proofErr w:type="spellEnd"/>
      <w:r w:rsidRPr="003E467F">
        <w:rPr>
          <w:rFonts w:cs="Times New Roman"/>
          <w:szCs w:val="24"/>
        </w:rPr>
        <w:t xml:space="preserve"> system. It is expected that this </w:t>
      </w:r>
      <w:proofErr w:type="spellStart"/>
      <w:r w:rsidRPr="003E467F">
        <w:rPr>
          <w:rFonts w:cs="Times New Roman"/>
          <w:szCs w:val="24"/>
        </w:rPr>
        <w:t>eGP</w:t>
      </w:r>
      <w:proofErr w:type="spellEnd"/>
      <w:r w:rsidRPr="003E467F">
        <w:rPr>
          <w:rFonts w:cs="Times New Roman"/>
          <w:szCs w:val="24"/>
        </w:rPr>
        <w:t xml:space="preserve"> will significantly reduce the workload in the Tender Board, streamline procurement and lend efficiency and transparency to the whole process.</w:t>
      </w:r>
      <w:r>
        <w:rPr>
          <w:rFonts w:cs="Times New Roman"/>
          <w:szCs w:val="24"/>
        </w:rPr>
        <w:t xml:space="preserve"> The mission recommended to establish a small but empowered team to lead this reform. </w:t>
      </w:r>
    </w:p>
    <w:p w14:paraId="6DD487A7" w14:textId="7C11B959"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szCs w:val="24"/>
        </w:rPr>
        <w:t>One of the actions under the project is the preparation of Standard Bid</w:t>
      </w:r>
      <w:r w:rsidR="00F81BDF">
        <w:rPr>
          <w:rFonts w:cs="Times New Roman"/>
          <w:szCs w:val="24"/>
        </w:rPr>
        <w:t>d</w:t>
      </w:r>
      <w:r w:rsidRPr="003E467F">
        <w:rPr>
          <w:rFonts w:cs="Times New Roman"/>
          <w:szCs w:val="24"/>
        </w:rPr>
        <w:t xml:space="preserve">ing Document under the Financial Regulations. Again, there was an aborted consultancy for this activity, and it remains incomplete. The </w:t>
      </w:r>
      <w:r>
        <w:rPr>
          <w:rFonts w:cs="Times New Roman"/>
          <w:szCs w:val="24"/>
        </w:rPr>
        <w:t xml:space="preserve">National </w:t>
      </w:r>
      <w:r w:rsidRPr="003E467F">
        <w:rPr>
          <w:rFonts w:cs="Times New Roman"/>
          <w:szCs w:val="24"/>
        </w:rPr>
        <w:t xml:space="preserve">Tender Board will send to the Bank, a </w:t>
      </w:r>
      <w:proofErr w:type="spellStart"/>
      <w:r w:rsidRPr="003E467F">
        <w:rPr>
          <w:rFonts w:cs="Times New Roman"/>
          <w:szCs w:val="24"/>
        </w:rPr>
        <w:t>ToR</w:t>
      </w:r>
      <w:proofErr w:type="spellEnd"/>
      <w:r w:rsidRPr="003E467F">
        <w:rPr>
          <w:rFonts w:cs="Times New Roman"/>
          <w:szCs w:val="24"/>
        </w:rPr>
        <w:t xml:space="preserve"> for assistance to complete this action.</w:t>
      </w:r>
    </w:p>
    <w:p w14:paraId="0D650104" w14:textId="4EE5BED1" w:rsidR="00A23562" w:rsidRDefault="00A23562" w:rsidP="00A23562">
      <w:pPr>
        <w:numPr>
          <w:ilvl w:val="0"/>
          <w:numId w:val="11"/>
        </w:numPr>
        <w:tabs>
          <w:tab w:val="num" w:pos="720"/>
        </w:tabs>
        <w:spacing w:before="240" w:after="0" w:line="240" w:lineRule="auto"/>
        <w:ind w:left="0" w:firstLine="0"/>
        <w:jc w:val="both"/>
        <w:rPr>
          <w:rFonts w:cs="Times New Roman"/>
          <w:szCs w:val="24"/>
        </w:rPr>
      </w:pPr>
      <w:r w:rsidRPr="001F2510">
        <w:rPr>
          <w:rFonts w:cs="Times New Roman"/>
          <w:szCs w:val="24"/>
        </w:rPr>
        <w:t xml:space="preserve">The </w:t>
      </w:r>
      <w:r>
        <w:rPr>
          <w:rFonts w:cs="Times New Roman"/>
          <w:szCs w:val="24"/>
        </w:rPr>
        <w:t xml:space="preserve">National </w:t>
      </w:r>
      <w:r w:rsidRPr="001F2510">
        <w:rPr>
          <w:rFonts w:cs="Times New Roman"/>
          <w:szCs w:val="24"/>
        </w:rPr>
        <w:t xml:space="preserve">Tender Board has also requested for a procurement specialist to support in the </w:t>
      </w:r>
      <w:r w:rsidRPr="000F1FB6">
        <w:rPr>
          <w:rFonts w:cs="Times New Roman"/>
          <w:szCs w:val="24"/>
        </w:rPr>
        <w:t xml:space="preserve">implementation of procurement under the Bank financed projects that fall within the review threshold of the Tender Board – MVR 2.5million (USD 161,000) approximately). </w:t>
      </w:r>
      <w:r w:rsidRPr="000F1FB6">
        <w:rPr>
          <w:rFonts w:cs="Times New Roman"/>
          <w:szCs w:val="24"/>
        </w:rPr>
        <w:br/>
      </w:r>
    </w:p>
    <w:p w14:paraId="5ED63669" w14:textId="1420C4CB" w:rsidR="009A6866" w:rsidRPr="0035033D" w:rsidRDefault="009A6866" w:rsidP="0035033D">
      <w:pPr>
        <w:numPr>
          <w:ilvl w:val="0"/>
          <w:numId w:val="11"/>
        </w:numPr>
        <w:tabs>
          <w:tab w:val="num" w:pos="720"/>
        </w:tabs>
        <w:spacing w:before="240" w:after="0" w:line="240" w:lineRule="auto"/>
        <w:ind w:left="0" w:firstLine="0"/>
        <w:jc w:val="both"/>
        <w:rPr>
          <w:rFonts w:eastAsia="Times New Roman"/>
          <w:sz w:val="22"/>
        </w:rPr>
      </w:pPr>
      <w:r w:rsidRPr="009A6866">
        <w:rPr>
          <w:rFonts w:eastAsia="Times New Roman"/>
        </w:rPr>
        <w:t xml:space="preserve">As part of its continuing review of the procurement regulatory framework, the Government of Maldives need to review the thresholds for contracts that fall within the purview of </w:t>
      </w:r>
      <w:r w:rsidR="0035033D">
        <w:rPr>
          <w:rFonts w:eastAsia="Times New Roman"/>
        </w:rPr>
        <w:t>t</w:t>
      </w:r>
      <w:r w:rsidRPr="009A6866">
        <w:rPr>
          <w:rFonts w:eastAsia="Times New Roman"/>
        </w:rPr>
        <w:t>he National Tender Board. Currently this is se</w:t>
      </w:r>
      <w:r w:rsidR="0035033D">
        <w:rPr>
          <w:rFonts w:eastAsia="Times New Roman"/>
        </w:rPr>
        <w:t>t</w:t>
      </w:r>
      <w:r w:rsidRPr="009A6866">
        <w:rPr>
          <w:rFonts w:eastAsia="Times New Roman"/>
        </w:rPr>
        <w:t xml:space="preserve"> at MVR 2.5 million. </w:t>
      </w:r>
      <w:r w:rsidR="0035033D" w:rsidRPr="009A6866">
        <w:rPr>
          <w:rFonts w:eastAsia="Times New Roman"/>
        </w:rPr>
        <w:t>Consequently,</w:t>
      </w:r>
      <w:r w:rsidRPr="009A6866">
        <w:rPr>
          <w:rFonts w:eastAsia="Times New Roman"/>
        </w:rPr>
        <w:t xml:space="preserve"> the NTB is involved in transactional procurement, whereas its role should be more strategic. A raising of threshold would allow it </w:t>
      </w:r>
      <w:r w:rsidR="0035033D" w:rsidRPr="009A6866">
        <w:rPr>
          <w:rFonts w:eastAsia="Times New Roman"/>
        </w:rPr>
        <w:t>to fulfill</w:t>
      </w:r>
      <w:r w:rsidRPr="009A6866">
        <w:rPr>
          <w:rFonts w:eastAsia="Times New Roman"/>
        </w:rPr>
        <w:t xml:space="preserve"> this role. This increased threshold should be accompanied with a strong complaints mechanism and capacity development to ensure transparent and efficient procurement</w:t>
      </w:r>
      <w:r w:rsidR="0035033D">
        <w:rPr>
          <w:rFonts w:eastAsia="Times New Roman"/>
        </w:rPr>
        <w:t xml:space="preserve">. </w:t>
      </w:r>
      <w:r w:rsidRPr="0035033D">
        <w:rPr>
          <w:rFonts w:eastAsia="Times New Roman"/>
        </w:rPr>
        <w:t xml:space="preserve">The analytical underpinnings of this decision could be based on data from the materials management </w:t>
      </w:r>
      <w:r w:rsidR="00817E1F">
        <w:rPr>
          <w:rFonts w:eastAsia="Times New Roman"/>
        </w:rPr>
        <w:t xml:space="preserve">module of SAP </w:t>
      </w:r>
      <w:r w:rsidRPr="0035033D">
        <w:rPr>
          <w:rFonts w:eastAsia="Times New Roman"/>
        </w:rPr>
        <w:t>that could provide data on sizes and types of contracts that the NTB currently presides over.   </w:t>
      </w:r>
    </w:p>
    <w:p w14:paraId="76E4A6EE" w14:textId="77777777" w:rsidR="00A23562" w:rsidRPr="00790CF1" w:rsidRDefault="00A23562" w:rsidP="00A23562">
      <w:pPr>
        <w:numPr>
          <w:ilvl w:val="0"/>
          <w:numId w:val="11"/>
        </w:numPr>
        <w:tabs>
          <w:tab w:val="num" w:pos="720"/>
        </w:tabs>
        <w:spacing w:before="240" w:after="0" w:line="240" w:lineRule="auto"/>
        <w:ind w:left="0" w:firstLine="0"/>
        <w:jc w:val="both"/>
        <w:rPr>
          <w:rFonts w:cs="Times New Roman"/>
          <w:szCs w:val="24"/>
        </w:rPr>
      </w:pPr>
      <w:r w:rsidRPr="00790CF1">
        <w:rPr>
          <w:rFonts w:cs="Times New Roman"/>
          <w:szCs w:val="24"/>
        </w:rPr>
        <w:t xml:space="preserve">Component 4. </w:t>
      </w:r>
      <w:r w:rsidRPr="00790CF1">
        <w:rPr>
          <w:rFonts w:cs="Times New Roman"/>
          <w:b/>
          <w:szCs w:val="24"/>
        </w:rPr>
        <w:t>Accounting, reporting and internal audit</w:t>
      </w:r>
      <w:r w:rsidRPr="00790CF1">
        <w:rPr>
          <w:rFonts w:cs="Times New Roman"/>
          <w:szCs w:val="24"/>
        </w:rPr>
        <w:t xml:space="preserve">. Provision of technical assistance to (i) finance a readiness assessment; (ii) develop a roadmap to strengthen the capacity of the State Internal Audit unit of </w:t>
      </w:r>
      <w:proofErr w:type="spellStart"/>
      <w:r w:rsidRPr="00790CF1">
        <w:rPr>
          <w:rFonts w:cs="Times New Roman"/>
          <w:szCs w:val="24"/>
        </w:rPr>
        <w:t>MoFT</w:t>
      </w:r>
      <w:proofErr w:type="spellEnd"/>
      <w:r w:rsidRPr="00790CF1">
        <w:rPr>
          <w:rFonts w:cs="Times New Roman"/>
          <w:szCs w:val="24"/>
        </w:rPr>
        <w:t>; and (iii) support the establishment of an accounting reform action plan; and (iv) results-based financing to increase transparency and external accountability of the Recipient’s public-sector finances (</w:t>
      </w:r>
      <w:r w:rsidRPr="00790CF1">
        <w:rPr>
          <w:rFonts w:cs="Times New Roman"/>
          <w:b/>
          <w:szCs w:val="24"/>
        </w:rPr>
        <w:t>DLI#4</w:t>
      </w:r>
      <w:r w:rsidRPr="00790CF1">
        <w:rPr>
          <w:rFonts w:cs="Times New Roman"/>
          <w:szCs w:val="24"/>
        </w:rPr>
        <w:t xml:space="preserve">). </w:t>
      </w:r>
    </w:p>
    <w:p w14:paraId="3CE4E64E"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szCs w:val="24"/>
        </w:rPr>
        <w:t>Status</w:t>
      </w:r>
      <w:r w:rsidRPr="003E467F">
        <w:rPr>
          <w:rFonts w:cs="Times New Roman"/>
          <w:szCs w:val="24"/>
        </w:rPr>
        <w:t xml:space="preserve">. </w:t>
      </w:r>
      <w:r>
        <w:rPr>
          <w:rFonts w:cs="Times New Roman"/>
          <w:szCs w:val="24"/>
        </w:rPr>
        <w:t xml:space="preserve">A State Internal Audit Committee has been established and Internal Audit Charter issued. </w:t>
      </w:r>
      <w:r w:rsidRPr="003E467F">
        <w:rPr>
          <w:rFonts w:cs="Times New Roman"/>
          <w:szCs w:val="24"/>
        </w:rPr>
        <w:t xml:space="preserve">There are no internal audit arrangements for the Government or the project. There is no readiness assessment or roadmap in place. </w:t>
      </w:r>
    </w:p>
    <w:p w14:paraId="34642344" w14:textId="77777777" w:rsidR="00A23562" w:rsidRPr="003E467F" w:rsidRDefault="00A23562" w:rsidP="00A23562">
      <w:pPr>
        <w:numPr>
          <w:ilvl w:val="0"/>
          <w:numId w:val="11"/>
        </w:numPr>
        <w:tabs>
          <w:tab w:val="num" w:pos="720"/>
        </w:tabs>
        <w:spacing w:before="240" w:after="0" w:line="240" w:lineRule="auto"/>
        <w:ind w:left="0" w:firstLine="0"/>
        <w:jc w:val="both"/>
        <w:rPr>
          <w:rFonts w:cs="Times New Roman"/>
          <w:szCs w:val="24"/>
        </w:rPr>
      </w:pPr>
      <w:r w:rsidRPr="003E467F">
        <w:rPr>
          <w:rFonts w:cs="Times New Roman"/>
          <w:b/>
          <w:bCs/>
          <w:szCs w:val="24"/>
        </w:rPr>
        <w:t>Component 5. External Audit of the Public Sector</w:t>
      </w:r>
      <w:r w:rsidRPr="003E467F">
        <w:rPr>
          <w:rFonts w:cs="Times New Roman"/>
          <w:szCs w:val="24"/>
        </w:rPr>
        <w:t xml:space="preserve">. Provision of technical assistance (i) to improve the alignment with international standards for supreme audit institutions (ISSAI) and with international good practice (including through a peer review based on the SAI-PFM assessment tool); (ii) for performance audits, including through the introduction of a pilot citizen participatory audit; (iii) audit of SOEs; and (iv) capacity building of the PAC. The AGO activities will be managed by </w:t>
      </w:r>
      <w:proofErr w:type="spellStart"/>
      <w:r w:rsidRPr="003E467F">
        <w:rPr>
          <w:rFonts w:cs="Times New Roman"/>
          <w:szCs w:val="24"/>
        </w:rPr>
        <w:t>MoFT’s</w:t>
      </w:r>
      <w:proofErr w:type="spellEnd"/>
      <w:r w:rsidRPr="003E467F">
        <w:rPr>
          <w:rFonts w:cs="Times New Roman"/>
          <w:szCs w:val="24"/>
        </w:rPr>
        <w:t xml:space="preserve"> Project Implementation Unit (PIU). </w:t>
      </w:r>
    </w:p>
    <w:p w14:paraId="00A9B4E2" w14:textId="35732EBC" w:rsidR="00A23562" w:rsidRPr="00DA5E2F" w:rsidRDefault="00A23562" w:rsidP="00A23562">
      <w:pPr>
        <w:numPr>
          <w:ilvl w:val="0"/>
          <w:numId w:val="11"/>
        </w:numPr>
        <w:tabs>
          <w:tab w:val="num" w:pos="720"/>
        </w:tabs>
        <w:spacing w:before="240" w:after="0" w:line="240" w:lineRule="auto"/>
        <w:ind w:left="0" w:firstLine="0"/>
        <w:jc w:val="both"/>
        <w:rPr>
          <w:rFonts w:cs="Times New Roman"/>
          <w:szCs w:val="24"/>
        </w:rPr>
      </w:pPr>
      <w:r w:rsidRPr="007C3E38">
        <w:rPr>
          <w:rFonts w:cs="Times New Roman"/>
          <w:bCs/>
          <w:szCs w:val="24"/>
        </w:rPr>
        <w:t>The</w:t>
      </w:r>
      <w:r w:rsidRPr="003E467F">
        <w:rPr>
          <w:rFonts w:cs="Times New Roman"/>
          <w:szCs w:val="24"/>
        </w:rPr>
        <w:t xml:space="preserve"> Government follows IPSAS Cash basis. However, the Annual Financial Statements (AFS) </w:t>
      </w:r>
      <w:r>
        <w:rPr>
          <w:rFonts w:cs="Times New Roman"/>
          <w:szCs w:val="24"/>
        </w:rPr>
        <w:t>which cover the local governments are not yet</w:t>
      </w:r>
      <w:r w:rsidRPr="003E467F">
        <w:rPr>
          <w:rFonts w:cs="Times New Roman"/>
          <w:szCs w:val="24"/>
        </w:rPr>
        <w:t xml:space="preserve"> IPSAS compliant. The </w:t>
      </w:r>
      <w:r>
        <w:rPr>
          <w:rFonts w:cs="Times New Roman"/>
          <w:szCs w:val="24"/>
        </w:rPr>
        <w:t xml:space="preserve">Financial Controller’s Office </w:t>
      </w:r>
      <w:r w:rsidRPr="003E467F">
        <w:rPr>
          <w:rFonts w:cs="Times New Roman"/>
          <w:szCs w:val="24"/>
        </w:rPr>
        <w:t xml:space="preserve">will provide the Bank with a list of non-compliance areas. Suspense accounts not cleared. </w:t>
      </w:r>
      <w:r>
        <w:rPr>
          <w:rFonts w:cs="Times New Roman"/>
          <w:szCs w:val="24"/>
        </w:rPr>
        <w:t>Bank r</w:t>
      </w:r>
      <w:r w:rsidRPr="003E467F">
        <w:rPr>
          <w:rFonts w:cs="Times New Roman"/>
          <w:szCs w:val="24"/>
        </w:rPr>
        <w:t xml:space="preserve">econciliation takes place quarterly, but the objective is to do this monthly. </w:t>
      </w:r>
      <w:r w:rsidRPr="00A812B6">
        <w:rPr>
          <w:rFonts w:cs="Times New Roman"/>
          <w:szCs w:val="24"/>
        </w:rPr>
        <w:t>The AGO has conducted two workshops on preparing financial statements. The AGO is compiling the financial statements instead of focusing on auditing. They prepared the AFS for 2016 and 2017</w:t>
      </w:r>
      <w:r w:rsidRPr="00DA5E2F">
        <w:rPr>
          <w:rFonts w:cs="Times New Roman"/>
          <w:szCs w:val="24"/>
        </w:rPr>
        <w:t xml:space="preserve">. </w:t>
      </w:r>
      <w:bookmarkStart w:id="7" w:name="_Hlk24987469"/>
      <w:r w:rsidRPr="00DA5E2F">
        <w:rPr>
          <w:rFonts w:cs="Times New Roman"/>
          <w:szCs w:val="24"/>
        </w:rPr>
        <w:t xml:space="preserve">The audited whole-of-government AFS for 2018 is expected to be published by end of November 2019. Going forward, they will convene a meeting with the PAC Chair to explore avenues of training the PAC Secretariat. </w:t>
      </w:r>
    </w:p>
    <w:bookmarkEnd w:id="7"/>
    <w:p w14:paraId="098CF907" w14:textId="77777777" w:rsidR="00A23562" w:rsidRPr="00A5272B" w:rsidRDefault="00A23562" w:rsidP="00A23562">
      <w:pPr>
        <w:numPr>
          <w:ilvl w:val="0"/>
          <w:numId w:val="11"/>
        </w:numPr>
        <w:tabs>
          <w:tab w:val="num" w:pos="720"/>
        </w:tabs>
        <w:spacing w:before="240" w:after="0" w:line="240" w:lineRule="auto"/>
        <w:ind w:left="0" w:firstLine="0"/>
        <w:jc w:val="both"/>
        <w:rPr>
          <w:rFonts w:cs="Times New Roman"/>
          <w:szCs w:val="24"/>
        </w:rPr>
      </w:pPr>
      <w:r>
        <w:rPr>
          <w:rFonts w:cs="Times New Roman"/>
          <w:szCs w:val="24"/>
        </w:rPr>
        <w:t xml:space="preserve">The Financial Controller and Auditor General’s Office (AGO) have established a Task Force to prepare a roadmap for transition to IPSAS accrual while also addressing the IPSAS cash-basis non-compliance issues. The AGO is also working on </w:t>
      </w:r>
      <w:r w:rsidRPr="00A5272B">
        <w:rPr>
          <w:rFonts w:cs="Times New Roman"/>
          <w:szCs w:val="24"/>
        </w:rPr>
        <w:t xml:space="preserve">progressive </w:t>
      </w:r>
      <w:r>
        <w:rPr>
          <w:rFonts w:cs="Times New Roman"/>
          <w:szCs w:val="24"/>
        </w:rPr>
        <w:t>i</w:t>
      </w:r>
      <w:r w:rsidRPr="00A5272B">
        <w:rPr>
          <w:rFonts w:cs="Times New Roman"/>
          <w:szCs w:val="24"/>
        </w:rPr>
        <w:t>mplementation of international standards for supreme audit institutions (ISSAI).</w:t>
      </w:r>
    </w:p>
    <w:p w14:paraId="003A3A7E" w14:textId="77777777" w:rsidR="00A23562" w:rsidRDefault="00A23562" w:rsidP="00A23562">
      <w:pPr>
        <w:pStyle w:val="Default"/>
        <w:jc w:val="both"/>
        <w:rPr>
          <w:b/>
          <w:bCs/>
        </w:rPr>
      </w:pPr>
    </w:p>
    <w:p w14:paraId="54E2B48C" w14:textId="77777777" w:rsidR="00A23562" w:rsidRPr="003E467F" w:rsidRDefault="00A23562" w:rsidP="00A23562">
      <w:pPr>
        <w:jc w:val="both"/>
        <w:rPr>
          <w:rFonts w:cs="Times New Roman"/>
          <w:b/>
          <w:bCs/>
          <w:szCs w:val="24"/>
        </w:rPr>
      </w:pPr>
      <w:r w:rsidRPr="003E467F">
        <w:rPr>
          <w:rFonts w:cs="Times New Roman"/>
          <w:b/>
          <w:bCs/>
          <w:szCs w:val="24"/>
        </w:rPr>
        <w:t>Component 6. Project and change management</w:t>
      </w:r>
    </w:p>
    <w:p w14:paraId="18354CF9" w14:textId="77777777" w:rsidR="00A23562" w:rsidRDefault="00A23562" w:rsidP="00A23562">
      <w:pPr>
        <w:numPr>
          <w:ilvl w:val="0"/>
          <w:numId w:val="11"/>
        </w:numPr>
        <w:tabs>
          <w:tab w:val="num" w:pos="720"/>
        </w:tabs>
        <w:spacing w:before="240" w:after="0" w:line="240" w:lineRule="auto"/>
        <w:ind w:left="0" w:firstLine="0"/>
        <w:jc w:val="both"/>
        <w:rPr>
          <w:rFonts w:cs="Times New Roman"/>
          <w:bCs/>
          <w:szCs w:val="24"/>
        </w:rPr>
      </w:pPr>
      <w:bookmarkStart w:id="8" w:name="_Hlk24976490"/>
      <w:r w:rsidRPr="003E467F">
        <w:rPr>
          <w:rFonts w:cs="Times New Roman"/>
          <w:b/>
          <w:bCs/>
          <w:szCs w:val="24"/>
        </w:rPr>
        <w:t>The PIU is fully staffed to carry out its day to day operations on project management</w:t>
      </w:r>
      <w:r w:rsidRPr="003E467F">
        <w:rPr>
          <w:rFonts w:cs="Times New Roman"/>
          <w:bCs/>
          <w:szCs w:val="24"/>
        </w:rPr>
        <w:t xml:space="preserve">: project director, coordinator, Financial Management Specialist and Procurement Specialist. The Steering Committee has been set up. They will get the approval from the President on the Steering Committee and it will then convene a meeting this calendar year. </w:t>
      </w:r>
      <w:r w:rsidRPr="00B933E5">
        <w:rPr>
          <w:rFonts w:cs="Times New Roman"/>
          <w:bCs/>
          <w:szCs w:val="24"/>
        </w:rPr>
        <w:t xml:space="preserve">The project team has agreed to conduct a donor mapping exercise as per the guidance from the State Minister. This is a need to harmonize donor contributions to avoid duplication in activities. </w:t>
      </w:r>
    </w:p>
    <w:bookmarkEnd w:id="8"/>
    <w:p w14:paraId="76949313" w14:textId="492A64E0" w:rsidR="00A23562" w:rsidRPr="004F2B81" w:rsidRDefault="00A23562" w:rsidP="00A23562">
      <w:pPr>
        <w:numPr>
          <w:ilvl w:val="0"/>
          <w:numId w:val="11"/>
        </w:numPr>
        <w:tabs>
          <w:tab w:val="num" w:pos="720"/>
        </w:tabs>
        <w:spacing w:before="240" w:after="0" w:line="240" w:lineRule="auto"/>
        <w:ind w:left="0" w:firstLine="0"/>
        <w:jc w:val="both"/>
        <w:rPr>
          <w:rFonts w:cs="Times New Roman"/>
          <w:b/>
          <w:bCs/>
          <w:szCs w:val="24"/>
        </w:rPr>
      </w:pPr>
      <w:r w:rsidRPr="004F2B81">
        <w:rPr>
          <w:rFonts w:cs="Times New Roman"/>
          <w:b/>
          <w:bCs/>
          <w:szCs w:val="24"/>
        </w:rPr>
        <w:t>Public Expenditure and Financial Accountability Assessment (PEFA).</w:t>
      </w:r>
      <w:r w:rsidRPr="004F2B81">
        <w:rPr>
          <w:rFonts w:cs="Times New Roman"/>
          <w:bCs/>
          <w:szCs w:val="24"/>
        </w:rPr>
        <w:t xml:space="preserve"> </w:t>
      </w:r>
      <w:r w:rsidRPr="00E30CE6">
        <w:t>During the annual meetings, the Minister of Finance requested for support in conducting a PEFA. The mission made a presentation on the 2016 PEFA Framework to the State Minister and explained the scope, methodology and inclusive approach which the Bank will adopt to support the requested PEFA assessment. In this regard, the mission agreed that component 6 can be used to</w:t>
      </w:r>
      <w:r w:rsidRPr="004F2B81">
        <w:rPr>
          <w:rFonts w:cs="Times New Roman"/>
          <w:bCs/>
          <w:szCs w:val="24"/>
          <w:u w:val="single"/>
        </w:rPr>
        <w:t xml:space="preserve"> </w:t>
      </w:r>
      <w:r w:rsidRPr="00E30CE6">
        <w:t xml:space="preserve">secure the services of a consultant from the PEFA Secretariat Roster of Experts. The consultant will sensitize and train the Government PEFA Task Force to conduct a self-assessment. On receipt of a form request letter from </w:t>
      </w:r>
      <w:proofErr w:type="spellStart"/>
      <w:r w:rsidRPr="00E30CE6">
        <w:t>MoFT</w:t>
      </w:r>
      <w:proofErr w:type="spellEnd"/>
      <w:r w:rsidRPr="00E30CE6">
        <w:t xml:space="preserve">, </w:t>
      </w:r>
      <w:r w:rsidR="008E07B0">
        <w:t>the Bank</w:t>
      </w:r>
      <w:r w:rsidRPr="00E30CE6">
        <w:t xml:space="preserve"> will mobilize to start a joint-assessment sometime in January 2020 in collaboration with IMF and other DPs. </w:t>
      </w:r>
      <w:r w:rsidRPr="004F2B81">
        <w:rPr>
          <w:rFonts w:eastAsia="Times New Roman" w:cs="Times New Roman"/>
          <w:szCs w:val="24"/>
        </w:rPr>
        <w:t xml:space="preserve">The PEFA assessment will be an important </w:t>
      </w:r>
      <w:r w:rsidRPr="004F2B81">
        <w:rPr>
          <w:rFonts w:eastAsia="Times New Roman" w:cs="Times New Roman"/>
          <w:bCs/>
          <w:szCs w:val="24"/>
        </w:rPr>
        <w:t>input</w:t>
      </w:r>
      <w:r w:rsidRPr="004F2B81">
        <w:rPr>
          <w:rFonts w:eastAsia="Times New Roman" w:cs="Times New Roman"/>
          <w:szCs w:val="24"/>
        </w:rPr>
        <w:t xml:space="preserve"> for priority setting and sequencing of PFM reform strategies or actions plans that will be driven by Government. The indicator scores should </w:t>
      </w:r>
      <w:r w:rsidRPr="004F2B81">
        <w:rPr>
          <w:rFonts w:eastAsia="Times New Roman" w:cs="Times New Roman"/>
          <w:bCs/>
          <w:szCs w:val="24"/>
        </w:rPr>
        <w:t xml:space="preserve">not be used simplistically </w:t>
      </w:r>
      <w:r w:rsidRPr="004F2B81">
        <w:rPr>
          <w:rFonts w:eastAsia="Times New Roman" w:cs="Times New Roman"/>
          <w:szCs w:val="24"/>
        </w:rPr>
        <w:t xml:space="preserve">in the reform formulation as political economy, legal, administrative, resource, and capacity </w:t>
      </w:r>
      <w:r w:rsidRPr="004F2B81">
        <w:rPr>
          <w:rFonts w:eastAsia="Times New Roman" w:cs="Times New Roman"/>
          <w:bCs/>
          <w:szCs w:val="24"/>
        </w:rPr>
        <w:t>factors</w:t>
      </w:r>
      <w:r w:rsidRPr="004F2B81">
        <w:rPr>
          <w:rFonts w:eastAsia="Times New Roman" w:cs="Times New Roman"/>
          <w:szCs w:val="24"/>
        </w:rPr>
        <w:t xml:space="preserve"> need to be considered. </w:t>
      </w:r>
      <w:r w:rsidRPr="004F2B81">
        <w:rPr>
          <w:rFonts w:eastAsia="Times New Roman" w:cs="Times New Roman"/>
          <w:bCs/>
          <w:szCs w:val="24"/>
        </w:rPr>
        <w:t xml:space="preserve">The Action plan </w:t>
      </w:r>
      <w:r w:rsidRPr="004F2B81">
        <w:rPr>
          <w:rFonts w:eastAsia="Times New Roman" w:cs="Times New Roman"/>
          <w:szCs w:val="24"/>
        </w:rPr>
        <w:t>will be used as the rallying point technical support and monitoring arrangements.</w:t>
      </w:r>
    </w:p>
    <w:p w14:paraId="4BCF290E" w14:textId="4A9C0C82" w:rsidR="009C5968" w:rsidRDefault="009C5968" w:rsidP="009C5968">
      <w:pPr>
        <w:spacing w:after="0"/>
        <w:rPr>
          <w:b/>
        </w:rPr>
      </w:pPr>
    </w:p>
    <w:p w14:paraId="5F98A85F" w14:textId="7E8039D9" w:rsidR="009225EE" w:rsidRDefault="009225EE" w:rsidP="009C5968">
      <w:pPr>
        <w:spacing w:after="0"/>
        <w:rPr>
          <w:b/>
        </w:rPr>
      </w:pPr>
    </w:p>
    <w:p w14:paraId="183824E8" w14:textId="3CECA17D" w:rsidR="009225EE" w:rsidRDefault="009225EE" w:rsidP="009C5968">
      <w:pPr>
        <w:spacing w:after="0"/>
        <w:rPr>
          <w:b/>
        </w:rPr>
      </w:pPr>
    </w:p>
    <w:p w14:paraId="5CFBFDA4" w14:textId="4A3E767C" w:rsidR="009225EE" w:rsidRDefault="009225EE" w:rsidP="009C5968">
      <w:pPr>
        <w:spacing w:after="0"/>
        <w:rPr>
          <w:b/>
        </w:rPr>
      </w:pPr>
    </w:p>
    <w:p w14:paraId="59546131" w14:textId="15216F18" w:rsidR="009225EE" w:rsidRDefault="009225EE" w:rsidP="009C5968">
      <w:pPr>
        <w:spacing w:after="0"/>
        <w:rPr>
          <w:b/>
        </w:rPr>
      </w:pPr>
    </w:p>
    <w:p w14:paraId="3EAF9A79" w14:textId="71C5FAFB" w:rsidR="009225EE" w:rsidRDefault="009225EE" w:rsidP="009C5968">
      <w:pPr>
        <w:spacing w:after="0"/>
        <w:rPr>
          <w:b/>
        </w:rPr>
      </w:pPr>
    </w:p>
    <w:p w14:paraId="533A6605" w14:textId="0268AAF5" w:rsidR="009225EE" w:rsidRDefault="009225EE" w:rsidP="009C5968">
      <w:pPr>
        <w:spacing w:after="0"/>
        <w:rPr>
          <w:b/>
        </w:rPr>
      </w:pPr>
    </w:p>
    <w:p w14:paraId="04732404" w14:textId="50396AF9" w:rsidR="009225EE" w:rsidRDefault="009225EE" w:rsidP="009C5968">
      <w:pPr>
        <w:spacing w:after="0"/>
        <w:rPr>
          <w:b/>
        </w:rPr>
      </w:pPr>
    </w:p>
    <w:p w14:paraId="45C9A1CC" w14:textId="6350E760" w:rsidR="009225EE" w:rsidRDefault="009225EE" w:rsidP="009C5968">
      <w:pPr>
        <w:spacing w:after="0"/>
        <w:rPr>
          <w:b/>
        </w:rPr>
      </w:pPr>
    </w:p>
    <w:p w14:paraId="31C926AB" w14:textId="0CDD2AF7" w:rsidR="009225EE" w:rsidRDefault="009225EE" w:rsidP="009C5968">
      <w:pPr>
        <w:spacing w:after="0"/>
        <w:rPr>
          <w:b/>
        </w:rPr>
      </w:pPr>
    </w:p>
    <w:p w14:paraId="1BC60C17" w14:textId="17CA9757" w:rsidR="009225EE" w:rsidRDefault="009225EE" w:rsidP="009C5968">
      <w:pPr>
        <w:spacing w:after="0"/>
        <w:rPr>
          <w:b/>
        </w:rPr>
      </w:pPr>
    </w:p>
    <w:p w14:paraId="521C94EF" w14:textId="2D8A74BC" w:rsidR="009225EE" w:rsidRDefault="009225EE" w:rsidP="009C5968">
      <w:pPr>
        <w:spacing w:after="0"/>
        <w:rPr>
          <w:b/>
        </w:rPr>
      </w:pPr>
    </w:p>
    <w:p w14:paraId="33AD16F5" w14:textId="1256737F" w:rsidR="009225EE" w:rsidRDefault="009225EE" w:rsidP="009C5968">
      <w:pPr>
        <w:spacing w:after="0"/>
        <w:rPr>
          <w:b/>
        </w:rPr>
      </w:pPr>
    </w:p>
    <w:p w14:paraId="19999559" w14:textId="34033260" w:rsidR="009225EE" w:rsidRDefault="009225EE" w:rsidP="009C5968">
      <w:pPr>
        <w:spacing w:after="0"/>
        <w:rPr>
          <w:b/>
        </w:rPr>
      </w:pPr>
    </w:p>
    <w:p w14:paraId="7405A2ED" w14:textId="162D2ED9" w:rsidR="009C5968" w:rsidRPr="00F60784" w:rsidRDefault="00E61EB2" w:rsidP="009C5968">
      <w:pPr>
        <w:spacing w:after="0"/>
        <w:rPr>
          <w:b/>
          <w:sz w:val="22"/>
        </w:rPr>
      </w:pPr>
      <w:r>
        <w:rPr>
          <w:b/>
        </w:rPr>
        <w:t xml:space="preserve">Annex 4: </w:t>
      </w:r>
      <w:r w:rsidR="009C5968" w:rsidRPr="00F60784">
        <w:rPr>
          <w:b/>
        </w:rPr>
        <w:t xml:space="preserve">List of Steering Committee member details as approved by the President’s Office </w:t>
      </w:r>
    </w:p>
    <w:tbl>
      <w:tblPr>
        <w:tblStyle w:val="TableGridLight"/>
        <w:tblW w:w="9692" w:type="dxa"/>
        <w:tblLook w:val="04A0" w:firstRow="1" w:lastRow="0" w:firstColumn="1" w:lastColumn="0" w:noHBand="0" w:noVBand="1"/>
      </w:tblPr>
      <w:tblGrid>
        <w:gridCol w:w="336"/>
        <w:gridCol w:w="1576"/>
        <w:gridCol w:w="2620"/>
        <w:gridCol w:w="2393"/>
        <w:gridCol w:w="2767"/>
      </w:tblGrid>
      <w:tr w:rsidR="009C5968" w:rsidRPr="00F60784" w14:paraId="1D1C8191" w14:textId="77777777" w:rsidTr="00D5384A">
        <w:trPr>
          <w:trHeight w:val="600"/>
        </w:trPr>
        <w:tc>
          <w:tcPr>
            <w:tcW w:w="336" w:type="dxa"/>
            <w:hideMark/>
          </w:tcPr>
          <w:p w14:paraId="4D736BDC" w14:textId="77777777" w:rsidR="009C5968" w:rsidRPr="00F60784" w:rsidRDefault="009C5968">
            <w:pPr>
              <w:jc w:val="center"/>
              <w:rPr>
                <w:b/>
                <w:bCs/>
                <w:color w:val="000000"/>
                <w:sz w:val="22"/>
              </w:rPr>
            </w:pPr>
            <w:r w:rsidRPr="00F60784">
              <w:rPr>
                <w:b/>
                <w:bCs/>
                <w:color w:val="000000"/>
                <w:sz w:val="22"/>
              </w:rPr>
              <w:t>#</w:t>
            </w:r>
          </w:p>
        </w:tc>
        <w:tc>
          <w:tcPr>
            <w:tcW w:w="1576" w:type="dxa"/>
            <w:hideMark/>
          </w:tcPr>
          <w:p w14:paraId="5FFDC2F8" w14:textId="77777777" w:rsidR="009C5968" w:rsidRPr="00F60784" w:rsidRDefault="009C5968">
            <w:pPr>
              <w:jc w:val="center"/>
              <w:rPr>
                <w:b/>
                <w:bCs/>
                <w:color w:val="000000"/>
                <w:sz w:val="22"/>
              </w:rPr>
            </w:pPr>
            <w:r w:rsidRPr="00F60784">
              <w:rPr>
                <w:b/>
                <w:bCs/>
                <w:color w:val="000000"/>
                <w:sz w:val="22"/>
              </w:rPr>
              <w:t>Organization</w:t>
            </w:r>
          </w:p>
        </w:tc>
        <w:tc>
          <w:tcPr>
            <w:tcW w:w="2620" w:type="dxa"/>
            <w:hideMark/>
          </w:tcPr>
          <w:p w14:paraId="252D7B16" w14:textId="77777777" w:rsidR="009C5968" w:rsidRPr="00F60784" w:rsidRDefault="009C5968">
            <w:pPr>
              <w:jc w:val="center"/>
              <w:rPr>
                <w:b/>
                <w:bCs/>
                <w:color w:val="000000"/>
                <w:sz w:val="22"/>
              </w:rPr>
            </w:pPr>
            <w:r w:rsidRPr="00F60784">
              <w:rPr>
                <w:b/>
                <w:bCs/>
                <w:color w:val="000000"/>
                <w:sz w:val="22"/>
              </w:rPr>
              <w:t>Position on Steering Committee</w:t>
            </w:r>
          </w:p>
        </w:tc>
        <w:tc>
          <w:tcPr>
            <w:tcW w:w="2393" w:type="dxa"/>
            <w:hideMark/>
          </w:tcPr>
          <w:p w14:paraId="5CD7D069" w14:textId="77777777" w:rsidR="009C5968" w:rsidRPr="00F60784" w:rsidRDefault="009C5968">
            <w:pPr>
              <w:jc w:val="center"/>
              <w:rPr>
                <w:b/>
                <w:bCs/>
                <w:color w:val="000000"/>
                <w:sz w:val="22"/>
              </w:rPr>
            </w:pPr>
            <w:r w:rsidRPr="00F60784">
              <w:rPr>
                <w:b/>
                <w:bCs/>
                <w:color w:val="000000"/>
                <w:sz w:val="22"/>
              </w:rPr>
              <w:t>Job Title</w:t>
            </w:r>
          </w:p>
        </w:tc>
        <w:tc>
          <w:tcPr>
            <w:tcW w:w="2767" w:type="dxa"/>
            <w:hideMark/>
          </w:tcPr>
          <w:p w14:paraId="5E6328AE" w14:textId="77777777" w:rsidR="009C5968" w:rsidRPr="00F60784" w:rsidRDefault="009C5968">
            <w:pPr>
              <w:jc w:val="center"/>
              <w:rPr>
                <w:b/>
                <w:bCs/>
                <w:color w:val="000000"/>
                <w:sz w:val="22"/>
              </w:rPr>
            </w:pPr>
            <w:r w:rsidRPr="00F60784">
              <w:rPr>
                <w:b/>
                <w:bCs/>
                <w:color w:val="000000"/>
                <w:sz w:val="22"/>
              </w:rPr>
              <w:t>Name</w:t>
            </w:r>
          </w:p>
        </w:tc>
      </w:tr>
      <w:tr w:rsidR="009C5968" w:rsidRPr="00F60784" w14:paraId="18FF6050" w14:textId="77777777" w:rsidTr="00D5384A">
        <w:trPr>
          <w:trHeight w:val="300"/>
        </w:trPr>
        <w:tc>
          <w:tcPr>
            <w:tcW w:w="336" w:type="dxa"/>
            <w:hideMark/>
          </w:tcPr>
          <w:p w14:paraId="69A34FCB" w14:textId="77777777" w:rsidR="009C5968" w:rsidRPr="00F60784" w:rsidRDefault="009C5968">
            <w:pPr>
              <w:jc w:val="center"/>
              <w:rPr>
                <w:color w:val="000000"/>
                <w:sz w:val="22"/>
              </w:rPr>
            </w:pPr>
            <w:r w:rsidRPr="00F60784">
              <w:rPr>
                <w:color w:val="000000"/>
                <w:sz w:val="22"/>
              </w:rPr>
              <w:t>1</w:t>
            </w:r>
          </w:p>
        </w:tc>
        <w:tc>
          <w:tcPr>
            <w:tcW w:w="1576" w:type="dxa"/>
            <w:vMerge w:val="restart"/>
            <w:hideMark/>
          </w:tcPr>
          <w:p w14:paraId="393920D3" w14:textId="77777777" w:rsidR="009C5968" w:rsidRPr="00F60784" w:rsidRDefault="009C5968">
            <w:pPr>
              <w:jc w:val="center"/>
              <w:rPr>
                <w:color w:val="000000"/>
                <w:sz w:val="22"/>
              </w:rPr>
            </w:pPr>
            <w:r w:rsidRPr="00F60784">
              <w:rPr>
                <w:color w:val="000000"/>
                <w:sz w:val="22"/>
              </w:rPr>
              <w:t>MOF</w:t>
            </w:r>
          </w:p>
        </w:tc>
        <w:tc>
          <w:tcPr>
            <w:tcW w:w="2620" w:type="dxa"/>
            <w:hideMark/>
          </w:tcPr>
          <w:p w14:paraId="5FACFEB7" w14:textId="77777777" w:rsidR="009C5968" w:rsidRPr="00F60784" w:rsidRDefault="009C5968">
            <w:pPr>
              <w:rPr>
                <w:b/>
                <w:color w:val="000000"/>
                <w:sz w:val="22"/>
              </w:rPr>
            </w:pPr>
            <w:r w:rsidRPr="00F60784">
              <w:rPr>
                <w:b/>
                <w:color w:val="000000"/>
                <w:sz w:val="22"/>
              </w:rPr>
              <w:t>Chairperson</w:t>
            </w:r>
          </w:p>
        </w:tc>
        <w:tc>
          <w:tcPr>
            <w:tcW w:w="2393" w:type="dxa"/>
            <w:hideMark/>
          </w:tcPr>
          <w:p w14:paraId="0AB497F0" w14:textId="77777777" w:rsidR="009C5968" w:rsidRPr="00163B5E" w:rsidRDefault="009C5968">
            <w:pPr>
              <w:rPr>
                <w:b/>
                <w:color w:val="000000"/>
                <w:sz w:val="22"/>
              </w:rPr>
            </w:pPr>
            <w:r w:rsidRPr="00163B5E">
              <w:rPr>
                <w:b/>
                <w:color w:val="000000"/>
                <w:sz w:val="22"/>
              </w:rPr>
              <w:t>Minister</w:t>
            </w:r>
          </w:p>
        </w:tc>
        <w:tc>
          <w:tcPr>
            <w:tcW w:w="2767" w:type="dxa"/>
            <w:hideMark/>
          </w:tcPr>
          <w:p w14:paraId="4D35836A" w14:textId="0441B845" w:rsidR="009C5968" w:rsidRPr="00D5384A" w:rsidRDefault="009C5968" w:rsidP="00D5384A">
            <w:pPr>
              <w:pStyle w:val="ListParagraph"/>
              <w:numPr>
                <w:ilvl w:val="0"/>
                <w:numId w:val="18"/>
              </w:numPr>
              <w:rPr>
                <w:color w:val="000000"/>
                <w:sz w:val="22"/>
              </w:rPr>
            </w:pPr>
            <w:r w:rsidRPr="00D5384A">
              <w:rPr>
                <w:color w:val="000000"/>
                <w:sz w:val="22"/>
              </w:rPr>
              <w:t>Mr. Ibrahim Ameer</w:t>
            </w:r>
          </w:p>
        </w:tc>
      </w:tr>
      <w:tr w:rsidR="009C5968" w:rsidRPr="00F60784" w14:paraId="76BD56A8" w14:textId="77777777" w:rsidTr="00D5384A">
        <w:trPr>
          <w:trHeight w:val="300"/>
        </w:trPr>
        <w:tc>
          <w:tcPr>
            <w:tcW w:w="336" w:type="dxa"/>
            <w:hideMark/>
          </w:tcPr>
          <w:p w14:paraId="181E98A2" w14:textId="77777777" w:rsidR="009C5968" w:rsidRPr="00F60784" w:rsidRDefault="009C5968">
            <w:pPr>
              <w:jc w:val="center"/>
              <w:rPr>
                <w:color w:val="000000"/>
                <w:sz w:val="22"/>
              </w:rPr>
            </w:pPr>
            <w:r w:rsidRPr="00F60784">
              <w:rPr>
                <w:color w:val="000000"/>
                <w:sz w:val="22"/>
              </w:rPr>
              <w:t>2</w:t>
            </w:r>
          </w:p>
        </w:tc>
        <w:tc>
          <w:tcPr>
            <w:tcW w:w="0" w:type="auto"/>
            <w:vMerge/>
            <w:hideMark/>
          </w:tcPr>
          <w:p w14:paraId="68D241D6" w14:textId="77777777" w:rsidR="009C5968" w:rsidRPr="00F60784" w:rsidRDefault="009C5968">
            <w:pPr>
              <w:rPr>
                <w:rFonts w:ascii="Calibri" w:hAnsi="Calibri" w:cs="Calibri"/>
                <w:color w:val="000000"/>
                <w:sz w:val="22"/>
              </w:rPr>
            </w:pPr>
          </w:p>
        </w:tc>
        <w:tc>
          <w:tcPr>
            <w:tcW w:w="2620" w:type="dxa"/>
            <w:hideMark/>
          </w:tcPr>
          <w:p w14:paraId="6534976A" w14:textId="77777777" w:rsidR="009C5968" w:rsidRPr="00F60784" w:rsidRDefault="009C5968">
            <w:pPr>
              <w:rPr>
                <w:color w:val="000000"/>
                <w:sz w:val="22"/>
              </w:rPr>
            </w:pPr>
            <w:r w:rsidRPr="00F60784">
              <w:rPr>
                <w:color w:val="000000"/>
                <w:sz w:val="22"/>
              </w:rPr>
              <w:t>Co- Chairperson / Member</w:t>
            </w:r>
          </w:p>
        </w:tc>
        <w:tc>
          <w:tcPr>
            <w:tcW w:w="2393" w:type="dxa"/>
            <w:hideMark/>
          </w:tcPr>
          <w:p w14:paraId="2DA1B432" w14:textId="77777777" w:rsidR="009C5968" w:rsidRPr="00F60784" w:rsidRDefault="009C5968">
            <w:pPr>
              <w:rPr>
                <w:color w:val="000000"/>
                <w:sz w:val="22"/>
              </w:rPr>
            </w:pPr>
            <w:r w:rsidRPr="00F60784">
              <w:rPr>
                <w:color w:val="000000"/>
                <w:sz w:val="22"/>
              </w:rPr>
              <w:t>State Minister</w:t>
            </w:r>
          </w:p>
        </w:tc>
        <w:tc>
          <w:tcPr>
            <w:tcW w:w="2767" w:type="dxa"/>
            <w:hideMark/>
          </w:tcPr>
          <w:p w14:paraId="2F8AB137"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Mr. Ismail Ali </w:t>
            </w:r>
            <w:proofErr w:type="spellStart"/>
            <w:r w:rsidRPr="00F60784">
              <w:rPr>
                <w:color w:val="000000"/>
                <w:sz w:val="22"/>
              </w:rPr>
              <w:t>Manik</w:t>
            </w:r>
            <w:proofErr w:type="spellEnd"/>
          </w:p>
        </w:tc>
      </w:tr>
      <w:tr w:rsidR="009C5968" w:rsidRPr="00F60784" w14:paraId="07A57AEF" w14:textId="77777777" w:rsidTr="00D5384A">
        <w:trPr>
          <w:trHeight w:val="300"/>
        </w:trPr>
        <w:tc>
          <w:tcPr>
            <w:tcW w:w="336" w:type="dxa"/>
            <w:hideMark/>
          </w:tcPr>
          <w:p w14:paraId="58B25667" w14:textId="77777777" w:rsidR="009C5968" w:rsidRPr="00F60784" w:rsidRDefault="009C5968">
            <w:pPr>
              <w:jc w:val="center"/>
              <w:rPr>
                <w:color w:val="000000"/>
                <w:sz w:val="22"/>
              </w:rPr>
            </w:pPr>
            <w:r w:rsidRPr="00F60784">
              <w:rPr>
                <w:color w:val="000000"/>
                <w:sz w:val="22"/>
              </w:rPr>
              <w:t>3</w:t>
            </w:r>
          </w:p>
        </w:tc>
        <w:tc>
          <w:tcPr>
            <w:tcW w:w="0" w:type="auto"/>
            <w:vMerge/>
            <w:hideMark/>
          </w:tcPr>
          <w:p w14:paraId="4CA9927F" w14:textId="77777777" w:rsidR="009C5968" w:rsidRPr="00F60784" w:rsidRDefault="009C5968">
            <w:pPr>
              <w:rPr>
                <w:rFonts w:ascii="Calibri" w:hAnsi="Calibri" w:cs="Calibri"/>
                <w:color w:val="000000"/>
                <w:sz w:val="22"/>
              </w:rPr>
            </w:pPr>
          </w:p>
        </w:tc>
        <w:tc>
          <w:tcPr>
            <w:tcW w:w="2620" w:type="dxa"/>
            <w:hideMark/>
          </w:tcPr>
          <w:p w14:paraId="2065ED40" w14:textId="77777777" w:rsidR="009C5968" w:rsidRPr="00F60784" w:rsidRDefault="009C5968">
            <w:pPr>
              <w:rPr>
                <w:color w:val="000000"/>
                <w:sz w:val="22"/>
              </w:rPr>
            </w:pPr>
            <w:r w:rsidRPr="00F60784">
              <w:rPr>
                <w:color w:val="000000"/>
                <w:sz w:val="22"/>
              </w:rPr>
              <w:t>Member</w:t>
            </w:r>
          </w:p>
        </w:tc>
        <w:tc>
          <w:tcPr>
            <w:tcW w:w="2393" w:type="dxa"/>
            <w:hideMark/>
          </w:tcPr>
          <w:p w14:paraId="014B854C" w14:textId="77777777" w:rsidR="009C5968" w:rsidRPr="00F60784" w:rsidRDefault="009C5968">
            <w:pPr>
              <w:rPr>
                <w:color w:val="000000"/>
                <w:sz w:val="22"/>
              </w:rPr>
            </w:pPr>
            <w:r w:rsidRPr="00F60784">
              <w:rPr>
                <w:color w:val="000000"/>
                <w:sz w:val="22"/>
              </w:rPr>
              <w:t>Financial Controller</w:t>
            </w:r>
          </w:p>
        </w:tc>
        <w:tc>
          <w:tcPr>
            <w:tcW w:w="2767" w:type="dxa"/>
            <w:hideMark/>
          </w:tcPr>
          <w:p w14:paraId="49456E4E"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Ms. </w:t>
            </w:r>
            <w:proofErr w:type="spellStart"/>
            <w:r w:rsidRPr="00F60784">
              <w:rPr>
                <w:color w:val="000000"/>
                <w:sz w:val="22"/>
              </w:rPr>
              <w:t>Fathimath</w:t>
            </w:r>
            <w:proofErr w:type="spellEnd"/>
            <w:r w:rsidRPr="00F60784">
              <w:rPr>
                <w:color w:val="000000"/>
                <w:sz w:val="22"/>
              </w:rPr>
              <w:t xml:space="preserve"> </w:t>
            </w:r>
            <w:proofErr w:type="spellStart"/>
            <w:r w:rsidRPr="00F60784">
              <w:rPr>
                <w:color w:val="000000"/>
                <w:sz w:val="22"/>
              </w:rPr>
              <w:t>Razeena</w:t>
            </w:r>
            <w:proofErr w:type="spellEnd"/>
          </w:p>
        </w:tc>
      </w:tr>
      <w:tr w:rsidR="009C5968" w:rsidRPr="00F60784" w14:paraId="73F38E96" w14:textId="77777777" w:rsidTr="00D5384A">
        <w:trPr>
          <w:trHeight w:val="300"/>
        </w:trPr>
        <w:tc>
          <w:tcPr>
            <w:tcW w:w="336" w:type="dxa"/>
            <w:vMerge w:val="restart"/>
            <w:hideMark/>
          </w:tcPr>
          <w:p w14:paraId="7269E489" w14:textId="77777777" w:rsidR="009C5968" w:rsidRPr="00F60784" w:rsidRDefault="009C5968">
            <w:pPr>
              <w:jc w:val="center"/>
              <w:rPr>
                <w:color w:val="000000"/>
                <w:sz w:val="22"/>
              </w:rPr>
            </w:pPr>
            <w:r w:rsidRPr="00F60784">
              <w:rPr>
                <w:color w:val="000000"/>
                <w:sz w:val="22"/>
              </w:rPr>
              <w:t>4</w:t>
            </w:r>
          </w:p>
        </w:tc>
        <w:tc>
          <w:tcPr>
            <w:tcW w:w="1576" w:type="dxa"/>
            <w:vMerge w:val="restart"/>
            <w:hideMark/>
          </w:tcPr>
          <w:p w14:paraId="63714112" w14:textId="77777777" w:rsidR="009C5968" w:rsidRPr="00F60784" w:rsidRDefault="009C5968">
            <w:pPr>
              <w:jc w:val="center"/>
              <w:rPr>
                <w:sz w:val="22"/>
              </w:rPr>
            </w:pPr>
            <w:r w:rsidRPr="00F60784">
              <w:rPr>
                <w:sz w:val="22"/>
              </w:rPr>
              <w:t>PO</w:t>
            </w:r>
          </w:p>
        </w:tc>
        <w:tc>
          <w:tcPr>
            <w:tcW w:w="2620" w:type="dxa"/>
            <w:hideMark/>
          </w:tcPr>
          <w:p w14:paraId="0ADA3F8F" w14:textId="77777777" w:rsidR="009C5968" w:rsidRPr="00F60784" w:rsidRDefault="009C5968">
            <w:pPr>
              <w:rPr>
                <w:color w:val="000000"/>
                <w:sz w:val="22"/>
              </w:rPr>
            </w:pPr>
            <w:r w:rsidRPr="00F60784">
              <w:rPr>
                <w:color w:val="000000"/>
                <w:sz w:val="22"/>
              </w:rPr>
              <w:t>Member</w:t>
            </w:r>
          </w:p>
        </w:tc>
        <w:tc>
          <w:tcPr>
            <w:tcW w:w="2393" w:type="dxa"/>
            <w:hideMark/>
          </w:tcPr>
          <w:p w14:paraId="71C519A0" w14:textId="77777777" w:rsidR="009C5968" w:rsidRPr="00F60784" w:rsidRDefault="009C5968">
            <w:pPr>
              <w:rPr>
                <w:sz w:val="22"/>
              </w:rPr>
            </w:pPr>
            <w:r w:rsidRPr="00F60784">
              <w:rPr>
                <w:sz w:val="22"/>
              </w:rPr>
              <w:t>Under Secretary</w:t>
            </w:r>
          </w:p>
        </w:tc>
        <w:tc>
          <w:tcPr>
            <w:tcW w:w="2767" w:type="dxa"/>
            <w:hideMark/>
          </w:tcPr>
          <w:p w14:paraId="317516AC" w14:textId="77777777" w:rsidR="009C5968" w:rsidRPr="00D5384A" w:rsidRDefault="009C5968" w:rsidP="00D5384A">
            <w:pPr>
              <w:pStyle w:val="ListParagraph"/>
              <w:numPr>
                <w:ilvl w:val="0"/>
                <w:numId w:val="18"/>
              </w:numPr>
              <w:rPr>
                <w:color w:val="000000"/>
                <w:sz w:val="22"/>
              </w:rPr>
            </w:pPr>
            <w:r w:rsidRPr="00D5384A">
              <w:rPr>
                <w:color w:val="000000"/>
                <w:sz w:val="22"/>
              </w:rPr>
              <w:t xml:space="preserve">Ms. </w:t>
            </w:r>
            <w:proofErr w:type="spellStart"/>
            <w:r w:rsidRPr="00D5384A">
              <w:rPr>
                <w:color w:val="000000"/>
                <w:sz w:val="22"/>
              </w:rPr>
              <w:t>Nuha</w:t>
            </w:r>
            <w:proofErr w:type="spellEnd"/>
            <w:r w:rsidRPr="00D5384A">
              <w:rPr>
                <w:color w:val="000000"/>
                <w:sz w:val="22"/>
              </w:rPr>
              <w:t xml:space="preserve"> Mohamed Riza</w:t>
            </w:r>
          </w:p>
        </w:tc>
      </w:tr>
      <w:tr w:rsidR="009C5968" w:rsidRPr="00F60784" w14:paraId="5D5A4DEA" w14:textId="77777777" w:rsidTr="00D5384A">
        <w:trPr>
          <w:trHeight w:val="300"/>
        </w:trPr>
        <w:tc>
          <w:tcPr>
            <w:tcW w:w="0" w:type="auto"/>
            <w:vMerge/>
            <w:hideMark/>
          </w:tcPr>
          <w:p w14:paraId="61B202FB" w14:textId="77777777" w:rsidR="009C5968" w:rsidRPr="00F60784" w:rsidRDefault="009C5968">
            <w:pPr>
              <w:rPr>
                <w:rFonts w:ascii="Calibri" w:hAnsi="Calibri" w:cs="Calibri"/>
                <w:color w:val="000000"/>
                <w:sz w:val="22"/>
              </w:rPr>
            </w:pPr>
          </w:p>
        </w:tc>
        <w:tc>
          <w:tcPr>
            <w:tcW w:w="0" w:type="auto"/>
            <w:vMerge/>
            <w:hideMark/>
          </w:tcPr>
          <w:p w14:paraId="05294602" w14:textId="77777777" w:rsidR="009C5968" w:rsidRPr="00F60784" w:rsidRDefault="009C5968">
            <w:pPr>
              <w:rPr>
                <w:rFonts w:ascii="Calibri" w:hAnsi="Calibri" w:cs="Calibri"/>
                <w:sz w:val="22"/>
              </w:rPr>
            </w:pPr>
          </w:p>
        </w:tc>
        <w:tc>
          <w:tcPr>
            <w:tcW w:w="2620" w:type="dxa"/>
            <w:hideMark/>
          </w:tcPr>
          <w:p w14:paraId="1B6F60A5" w14:textId="77777777" w:rsidR="009C5968" w:rsidRPr="00F60784" w:rsidRDefault="009C5968">
            <w:pPr>
              <w:rPr>
                <w:color w:val="000000"/>
                <w:sz w:val="22"/>
              </w:rPr>
            </w:pPr>
            <w:r w:rsidRPr="00F60784">
              <w:rPr>
                <w:color w:val="000000"/>
                <w:sz w:val="22"/>
              </w:rPr>
              <w:t>Alternate Member</w:t>
            </w:r>
          </w:p>
        </w:tc>
        <w:tc>
          <w:tcPr>
            <w:tcW w:w="2393" w:type="dxa"/>
            <w:hideMark/>
          </w:tcPr>
          <w:p w14:paraId="1ADB49F9" w14:textId="77777777" w:rsidR="009C5968" w:rsidRPr="00F60784" w:rsidRDefault="009C5968">
            <w:pPr>
              <w:rPr>
                <w:sz w:val="22"/>
              </w:rPr>
            </w:pPr>
            <w:r w:rsidRPr="00F60784">
              <w:rPr>
                <w:sz w:val="22"/>
              </w:rPr>
              <w:t>Under Secretary</w:t>
            </w:r>
          </w:p>
        </w:tc>
        <w:tc>
          <w:tcPr>
            <w:tcW w:w="2767" w:type="dxa"/>
            <w:hideMark/>
          </w:tcPr>
          <w:p w14:paraId="69B1997D" w14:textId="77777777" w:rsidR="009C5968" w:rsidRPr="00D5384A" w:rsidRDefault="009C5968" w:rsidP="00D5384A">
            <w:pPr>
              <w:pStyle w:val="ListParagraph"/>
              <w:numPr>
                <w:ilvl w:val="0"/>
                <w:numId w:val="18"/>
              </w:numPr>
              <w:rPr>
                <w:color w:val="000000"/>
                <w:sz w:val="22"/>
              </w:rPr>
            </w:pPr>
            <w:r w:rsidRPr="00D5384A">
              <w:rPr>
                <w:color w:val="000000"/>
                <w:sz w:val="22"/>
              </w:rPr>
              <w:t xml:space="preserve">Mr. Ahmed </w:t>
            </w:r>
            <w:proofErr w:type="spellStart"/>
            <w:r w:rsidRPr="00D5384A">
              <w:rPr>
                <w:color w:val="000000"/>
                <w:sz w:val="22"/>
              </w:rPr>
              <w:t>Hamdhan</w:t>
            </w:r>
            <w:proofErr w:type="spellEnd"/>
          </w:p>
        </w:tc>
      </w:tr>
      <w:tr w:rsidR="009C5968" w:rsidRPr="00F60784" w14:paraId="5D16C238" w14:textId="77777777" w:rsidTr="00D5384A">
        <w:trPr>
          <w:trHeight w:val="300"/>
        </w:trPr>
        <w:tc>
          <w:tcPr>
            <w:tcW w:w="336" w:type="dxa"/>
            <w:vMerge w:val="restart"/>
            <w:hideMark/>
          </w:tcPr>
          <w:p w14:paraId="6C6BED5C" w14:textId="77777777" w:rsidR="009C5968" w:rsidRPr="00F60784" w:rsidRDefault="009C5968">
            <w:pPr>
              <w:jc w:val="center"/>
              <w:rPr>
                <w:color w:val="000000"/>
                <w:sz w:val="22"/>
              </w:rPr>
            </w:pPr>
            <w:r w:rsidRPr="00F60784">
              <w:rPr>
                <w:color w:val="000000"/>
                <w:sz w:val="22"/>
              </w:rPr>
              <w:t>5</w:t>
            </w:r>
          </w:p>
        </w:tc>
        <w:tc>
          <w:tcPr>
            <w:tcW w:w="1576" w:type="dxa"/>
            <w:vMerge w:val="restart"/>
            <w:hideMark/>
          </w:tcPr>
          <w:p w14:paraId="037DDD15" w14:textId="77777777" w:rsidR="009C5968" w:rsidRPr="00F60784" w:rsidRDefault="009C5968">
            <w:pPr>
              <w:jc w:val="center"/>
              <w:rPr>
                <w:color w:val="000000"/>
                <w:sz w:val="22"/>
              </w:rPr>
            </w:pPr>
            <w:r w:rsidRPr="00F60784">
              <w:rPr>
                <w:color w:val="000000"/>
                <w:sz w:val="22"/>
              </w:rPr>
              <w:t>Audit Office</w:t>
            </w:r>
          </w:p>
        </w:tc>
        <w:tc>
          <w:tcPr>
            <w:tcW w:w="2620" w:type="dxa"/>
            <w:hideMark/>
          </w:tcPr>
          <w:p w14:paraId="0E972F72" w14:textId="77777777" w:rsidR="009C5968" w:rsidRPr="00F60784" w:rsidRDefault="009C5968">
            <w:pPr>
              <w:rPr>
                <w:color w:val="000000"/>
                <w:sz w:val="22"/>
              </w:rPr>
            </w:pPr>
            <w:r w:rsidRPr="00F60784">
              <w:rPr>
                <w:color w:val="000000"/>
                <w:sz w:val="22"/>
              </w:rPr>
              <w:t>Member</w:t>
            </w:r>
          </w:p>
        </w:tc>
        <w:tc>
          <w:tcPr>
            <w:tcW w:w="2393" w:type="dxa"/>
            <w:hideMark/>
          </w:tcPr>
          <w:p w14:paraId="5903E076" w14:textId="77777777" w:rsidR="009C5968" w:rsidRPr="00F60784" w:rsidRDefault="009C5968">
            <w:pPr>
              <w:rPr>
                <w:color w:val="000000"/>
                <w:sz w:val="22"/>
              </w:rPr>
            </w:pPr>
            <w:r w:rsidRPr="00F60784">
              <w:rPr>
                <w:color w:val="000000"/>
                <w:sz w:val="22"/>
              </w:rPr>
              <w:t>Assistant Auditor General</w:t>
            </w:r>
          </w:p>
        </w:tc>
        <w:tc>
          <w:tcPr>
            <w:tcW w:w="2767" w:type="dxa"/>
            <w:hideMark/>
          </w:tcPr>
          <w:p w14:paraId="04C6E39D"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Mr. Hussain </w:t>
            </w:r>
            <w:proofErr w:type="spellStart"/>
            <w:r w:rsidRPr="00F60784">
              <w:rPr>
                <w:color w:val="000000"/>
                <w:sz w:val="22"/>
              </w:rPr>
              <w:t>Niyazy</w:t>
            </w:r>
            <w:proofErr w:type="spellEnd"/>
          </w:p>
        </w:tc>
      </w:tr>
      <w:tr w:rsidR="009C5968" w:rsidRPr="00F60784" w14:paraId="0767307C" w14:textId="77777777" w:rsidTr="00D5384A">
        <w:trPr>
          <w:trHeight w:val="300"/>
        </w:trPr>
        <w:tc>
          <w:tcPr>
            <w:tcW w:w="0" w:type="auto"/>
            <w:vMerge/>
            <w:hideMark/>
          </w:tcPr>
          <w:p w14:paraId="4D25C36C" w14:textId="77777777" w:rsidR="009C5968" w:rsidRPr="00F60784" w:rsidRDefault="009C5968">
            <w:pPr>
              <w:rPr>
                <w:rFonts w:ascii="Calibri" w:hAnsi="Calibri" w:cs="Calibri"/>
                <w:color w:val="000000"/>
                <w:sz w:val="22"/>
              </w:rPr>
            </w:pPr>
          </w:p>
        </w:tc>
        <w:tc>
          <w:tcPr>
            <w:tcW w:w="0" w:type="auto"/>
            <w:vMerge/>
            <w:hideMark/>
          </w:tcPr>
          <w:p w14:paraId="3CC6E159" w14:textId="77777777" w:rsidR="009C5968" w:rsidRPr="00F60784" w:rsidRDefault="009C5968">
            <w:pPr>
              <w:rPr>
                <w:rFonts w:ascii="Calibri" w:hAnsi="Calibri" w:cs="Calibri"/>
                <w:color w:val="000000"/>
                <w:sz w:val="22"/>
              </w:rPr>
            </w:pPr>
          </w:p>
        </w:tc>
        <w:tc>
          <w:tcPr>
            <w:tcW w:w="2620" w:type="dxa"/>
            <w:hideMark/>
          </w:tcPr>
          <w:p w14:paraId="34BFE860" w14:textId="77777777" w:rsidR="009C5968" w:rsidRPr="00F60784" w:rsidRDefault="009C5968">
            <w:pPr>
              <w:rPr>
                <w:color w:val="000000"/>
                <w:sz w:val="22"/>
              </w:rPr>
            </w:pPr>
            <w:r w:rsidRPr="00F60784">
              <w:rPr>
                <w:color w:val="000000"/>
                <w:sz w:val="22"/>
              </w:rPr>
              <w:t>Alternate Member</w:t>
            </w:r>
          </w:p>
        </w:tc>
        <w:tc>
          <w:tcPr>
            <w:tcW w:w="2393" w:type="dxa"/>
            <w:hideMark/>
          </w:tcPr>
          <w:p w14:paraId="41428AEF" w14:textId="77777777" w:rsidR="009C5968" w:rsidRPr="00F60784" w:rsidRDefault="009C5968">
            <w:pPr>
              <w:rPr>
                <w:color w:val="000000"/>
                <w:sz w:val="22"/>
              </w:rPr>
            </w:pPr>
            <w:r w:rsidRPr="00F60784">
              <w:rPr>
                <w:color w:val="000000"/>
                <w:sz w:val="22"/>
              </w:rPr>
              <w:t xml:space="preserve">Director </w:t>
            </w:r>
          </w:p>
        </w:tc>
        <w:tc>
          <w:tcPr>
            <w:tcW w:w="2767" w:type="dxa"/>
            <w:hideMark/>
          </w:tcPr>
          <w:p w14:paraId="30D8C76B"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Mr. Ibrahim </w:t>
            </w:r>
            <w:proofErr w:type="spellStart"/>
            <w:r w:rsidRPr="00F60784">
              <w:rPr>
                <w:color w:val="000000"/>
                <w:sz w:val="22"/>
              </w:rPr>
              <w:t>Fazeel</w:t>
            </w:r>
            <w:proofErr w:type="spellEnd"/>
            <w:r w:rsidRPr="00F60784">
              <w:rPr>
                <w:color w:val="000000"/>
                <w:sz w:val="22"/>
              </w:rPr>
              <w:t xml:space="preserve"> </w:t>
            </w:r>
          </w:p>
        </w:tc>
      </w:tr>
      <w:tr w:rsidR="009C5968" w:rsidRPr="00F60784" w14:paraId="39DE8EA0" w14:textId="77777777" w:rsidTr="00D5384A">
        <w:trPr>
          <w:trHeight w:val="300"/>
        </w:trPr>
        <w:tc>
          <w:tcPr>
            <w:tcW w:w="336" w:type="dxa"/>
            <w:vMerge w:val="restart"/>
            <w:hideMark/>
          </w:tcPr>
          <w:p w14:paraId="1CBBCC02" w14:textId="77777777" w:rsidR="009C5968" w:rsidRPr="00F60784" w:rsidRDefault="009C5968">
            <w:pPr>
              <w:jc w:val="center"/>
              <w:rPr>
                <w:color w:val="000000"/>
                <w:sz w:val="22"/>
              </w:rPr>
            </w:pPr>
            <w:r w:rsidRPr="00F60784">
              <w:rPr>
                <w:color w:val="000000"/>
                <w:sz w:val="22"/>
              </w:rPr>
              <w:t>6</w:t>
            </w:r>
          </w:p>
        </w:tc>
        <w:tc>
          <w:tcPr>
            <w:tcW w:w="1576" w:type="dxa"/>
            <w:vMerge w:val="restart"/>
            <w:hideMark/>
          </w:tcPr>
          <w:p w14:paraId="6B8E1CB9" w14:textId="77777777" w:rsidR="009C5968" w:rsidRPr="00F60784" w:rsidRDefault="009C5968">
            <w:pPr>
              <w:jc w:val="center"/>
              <w:rPr>
                <w:sz w:val="22"/>
              </w:rPr>
            </w:pPr>
            <w:r w:rsidRPr="00F60784">
              <w:rPr>
                <w:sz w:val="22"/>
              </w:rPr>
              <w:t>CSC</w:t>
            </w:r>
          </w:p>
        </w:tc>
        <w:tc>
          <w:tcPr>
            <w:tcW w:w="2620" w:type="dxa"/>
            <w:hideMark/>
          </w:tcPr>
          <w:p w14:paraId="45F0E7A8" w14:textId="77777777" w:rsidR="009C5968" w:rsidRPr="00F60784" w:rsidRDefault="009C5968">
            <w:pPr>
              <w:rPr>
                <w:sz w:val="22"/>
              </w:rPr>
            </w:pPr>
            <w:r w:rsidRPr="00F60784">
              <w:rPr>
                <w:sz w:val="22"/>
              </w:rPr>
              <w:t>Member</w:t>
            </w:r>
          </w:p>
        </w:tc>
        <w:tc>
          <w:tcPr>
            <w:tcW w:w="2393" w:type="dxa"/>
            <w:noWrap/>
            <w:hideMark/>
          </w:tcPr>
          <w:p w14:paraId="45F3FB03" w14:textId="77777777" w:rsidR="009C5968" w:rsidRPr="00F60784" w:rsidRDefault="009C5968">
            <w:pPr>
              <w:rPr>
                <w:color w:val="000000"/>
                <w:sz w:val="22"/>
              </w:rPr>
            </w:pPr>
            <w:r w:rsidRPr="00F60784">
              <w:rPr>
                <w:color w:val="000000"/>
                <w:sz w:val="22"/>
              </w:rPr>
              <w:t>Senior Finance Executive</w:t>
            </w:r>
          </w:p>
        </w:tc>
        <w:tc>
          <w:tcPr>
            <w:tcW w:w="2767" w:type="dxa"/>
            <w:noWrap/>
            <w:hideMark/>
          </w:tcPr>
          <w:p w14:paraId="3BF179E8"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Mr. </w:t>
            </w:r>
            <w:proofErr w:type="spellStart"/>
            <w:r w:rsidRPr="00F60784">
              <w:rPr>
                <w:color w:val="000000"/>
                <w:sz w:val="22"/>
              </w:rPr>
              <w:t>Shahmeel</w:t>
            </w:r>
            <w:proofErr w:type="spellEnd"/>
            <w:r w:rsidRPr="00F60784">
              <w:rPr>
                <w:color w:val="000000"/>
                <w:sz w:val="22"/>
              </w:rPr>
              <w:t xml:space="preserve"> Ahmed</w:t>
            </w:r>
          </w:p>
        </w:tc>
      </w:tr>
      <w:tr w:rsidR="009C5968" w:rsidRPr="00F60784" w14:paraId="74568D01" w14:textId="77777777" w:rsidTr="00D5384A">
        <w:trPr>
          <w:trHeight w:val="300"/>
        </w:trPr>
        <w:tc>
          <w:tcPr>
            <w:tcW w:w="0" w:type="auto"/>
            <w:vMerge/>
            <w:hideMark/>
          </w:tcPr>
          <w:p w14:paraId="2A1265B2" w14:textId="77777777" w:rsidR="009C5968" w:rsidRPr="00F60784" w:rsidRDefault="009C5968">
            <w:pPr>
              <w:rPr>
                <w:rFonts w:ascii="Calibri" w:hAnsi="Calibri" w:cs="Calibri"/>
                <w:color w:val="000000"/>
                <w:sz w:val="22"/>
              </w:rPr>
            </w:pPr>
          </w:p>
        </w:tc>
        <w:tc>
          <w:tcPr>
            <w:tcW w:w="0" w:type="auto"/>
            <w:vMerge/>
            <w:hideMark/>
          </w:tcPr>
          <w:p w14:paraId="1ED421C7" w14:textId="77777777" w:rsidR="009C5968" w:rsidRPr="00F60784" w:rsidRDefault="009C5968">
            <w:pPr>
              <w:rPr>
                <w:rFonts w:ascii="Calibri" w:hAnsi="Calibri" w:cs="Calibri"/>
                <w:sz w:val="22"/>
              </w:rPr>
            </w:pPr>
          </w:p>
        </w:tc>
        <w:tc>
          <w:tcPr>
            <w:tcW w:w="2620" w:type="dxa"/>
            <w:hideMark/>
          </w:tcPr>
          <w:p w14:paraId="4B20870A" w14:textId="77777777" w:rsidR="009C5968" w:rsidRPr="00F60784" w:rsidRDefault="009C5968">
            <w:pPr>
              <w:rPr>
                <w:sz w:val="22"/>
              </w:rPr>
            </w:pPr>
            <w:r w:rsidRPr="00F60784">
              <w:rPr>
                <w:sz w:val="22"/>
              </w:rPr>
              <w:t>Alternate Member</w:t>
            </w:r>
          </w:p>
        </w:tc>
        <w:tc>
          <w:tcPr>
            <w:tcW w:w="2393" w:type="dxa"/>
            <w:hideMark/>
          </w:tcPr>
          <w:p w14:paraId="39E969DE" w14:textId="77777777" w:rsidR="009C5968" w:rsidRPr="00F60784" w:rsidRDefault="009C5968">
            <w:pPr>
              <w:rPr>
                <w:sz w:val="22"/>
              </w:rPr>
            </w:pPr>
            <w:r w:rsidRPr="00F60784">
              <w:rPr>
                <w:sz w:val="22"/>
              </w:rPr>
              <w:t xml:space="preserve">Director General </w:t>
            </w:r>
          </w:p>
        </w:tc>
        <w:tc>
          <w:tcPr>
            <w:tcW w:w="2767" w:type="dxa"/>
            <w:hideMark/>
          </w:tcPr>
          <w:p w14:paraId="4A8F3E51" w14:textId="77777777" w:rsidR="009C5968" w:rsidRPr="00D5384A" w:rsidRDefault="009C5968" w:rsidP="00D5384A">
            <w:pPr>
              <w:pStyle w:val="ListParagraph"/>
              <w:numPr>
                <w:ilvl w:val="0"/>
                <w:numId w:val="18"/>
              </w:numPr>
              <w:rPr>
                <w:color w:val="000000"/>
                <w:sz w:val="22"/>
              </w:rPr>
            </w:pPr>
            <w:r w:rsidRPr="00D5384A">
              <w:rPr>
                <w:color w:val="000000"/>
                <w:sz w:val="22"/>
              </w:rPr>
              <w:t>Mr. Abdulla Saeed</w:t>
            </w:r>
          </w:p>
        </w:tc>
      </w:tr>
      <w:tr w:rsidR="009C5968" w:rsidRPr="00F60784" w14:paraId="35CAADF7" w14:textId="77777777" w:rsidTr="00D5384A">
        <w:trPr>
          <w:trHeight w:val="300"/>
        </w:trPr>
        <w:tc>
          <w:tcPr>
            <w:tcW w:w="336" w:type="dxa"/>
            <w:vMerge w:val="restart"/>
            <w:hideMark/>
          </w:tcPr>
          <w:p w14:paraId="376C4890" w14:textId="77777777" w:rsidR="009C5968" w:rsidRPr="00F60784" w:rsidRDefault="009C5968">
            <w:pPr>
              <w:jc w:val="center"/>
              <w:rPr>
                <w:color w:val="000000"/>
                <w:sz w:val="22"/>
              </w:rPr>
            </w:pPr>
            <w:r w:rsidRPr="00F60784">
              <w:rPr>
                <w:color w:val="000000"/>
                <w:sz w:val="22"/>
              </w:rPr>
              <w:t>7</w:t>
            </w:r>
          </w:p>
        </w:tc>
        <w:tc>
          <w:tcPr>
            <w:tcW w:w="1576" w:type="dxa"/>
            <w:vMerge w:val="restart"/>
            <w:noWrap/>
            <w:hideMark/>
          </w:tcPr>
          <w:p w14:paraId="5028970D" w14:textId="77777777" w:rsidR="009C5968" w:rsidRPr="00F60784" w:rsidRDefault="009C5968">
            <w:pPr>
              <w:jc w:val="center"/>
              <w:rPr>
                <w:color w:val="000000"/>
                <w:sz w:val="22"/>
              </w:rPr>
            </w:pPr>
            <w:r w:rsidRPr="00F60784">
              <w:rPr>
                <w:color w:val="000000"/>
                <w:sz w:val="22"/>
              </w:rPr>
              <w:t>MIRA</w:t>
            </w:r>
          </w:p>
        </w:tc>
        <w:tc>
          <w:tcPr>
            <w:tcW w:w="2620" w:type="dxa"/>
            <w:noWrap/>
            <w:hideMark/>
          </w:tcPr>
          <w:p w14:paraId="4037A64A" w14:textId="77777777" w:rsidR="009C5968" w:rsidRPr="00F60784" w:rsidRDefault="009C5968">
            <w:pPr>
              <w:rPr>
                <w:color w:val="000000"/>
                <w:sz w:val="22"/>
              </w:rPr>
            </w:pPr>
            <w:r w:rsidRPr="00F60784">
              <w:rPr>
                <w:color w:val="000000"/>
                <w:sz w:val="22"/>
              </w:rPr>
              <w:t>Member</w:t>
            </w:r>
          </w:p>
        </w:tc>
        <w:tc>
          <w:tcPr>
            <w:tcW w:w="2393" w:type="dxa"/>
            <w:noWrap/>
            <w:hideMark/>
          </w:tcPr>
          <w:p w14:paraId="31F3332F" w14:textId="77777777" w:rsidR="009C5968" w:rsidRPr="00F60784" w:rsidRDefault="009C5968">
            <w:pPr>
              <w:rPr>
                <w:color w:val="000000"/>
                <w:sz w:val="22"/>
              </w:rPr>
            </w:pPr>
            <w:r w:rsidRPr="00F60784">
              <w:rPr>
                <w:color w:val="000000"/>
                <w:sz w:val="22"/>
              </w:rPr>
              <w:t xml:space="preserve">Director General </w:t>
            </w:r>
          </w:p>
        </w:tc>
        <w:tc>
          <w:tcPr>
            <w:tcW w:w="2767" w:type="dxa"/>
            <w:noWrap/>
            <w:hideMark/>
          </w:tcPr>
          <w:p w14:paraId="59FF64CB"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Mr. Ahmed </w:t>
            </w:r>
            <w:proofErr w:type="spellStart"/>
            <w:r w:rsidRPr="00F60784">
              <w:rPr>
                <w:color w:val="000000"/>
                <w:sz w:val="22"/>
              </w:rPr>
              <w:t>Shafneez</w:t>
            </w:r>
            <w:proofErr w:type="spellEnd"/>
          </w:p>
        </w:tc>
      </w:tr>
      <w:tr w:rsidR="009C5968" w:rsidRPr="00F60784" w14:paraId="226011E9" w14:textId="77777777" w:rsidTr="00D5384A">
        <w:trPr>
          <w:trHeight w:val="300"/>
        </w:trPr>
        <w:tc>
          <w:tcPr>
            <w:tcW w:w="0" w:type="auto"/>
            <w:vMerge/>
            <w:hideMark/>
          </w:tcPr>
          <w:p w14:paraId="3B80BDFD" w14:textId="77777777" w:rsidR="009C5968" w:rsidRPr="00F60784" w:rsidRDefault="009C5968">
            <w:pPr>
              <w:rPr>
                <w:rFonts w:ascii="Calibri" w:hAnsi="Calibri" w:cs="Calibri"/>
                <w:color w:val="000000"/>
                <w:sz w:val="22"/>
              </w:rPr>
            </w:pPr>
          </w:p>
        </w:tc>
        <w:tc>
          <w:tcPr>
            <w:tcW w:w="0" w:type="auto"/>
            <w:vMerge/>
            <w:hideMark/>
          </w:tcPr>
          <w:p w14:paraId="550563E8" w14:textId="77777777" w:rsidR="009C5968" w:rsidRPr="00F60784" w:rsidRDefault="009C5968">
            <w:pPr>
              <w:rPr>
                <w:rFonts w:ascii="Calibri" w:hAnsi="Calibri" w:cs="Calibri"/>
                <w:color w:val="000000"/>
                <w:sz w:val="22"/>
              </w:rPr>
            </w:pPr>
          </w:p>
        </w:tc>
        <w:tc>
          <w:tcPr>
            <w:tcW w:w="2620" w:type="dxa"/>
            <w:noWrap/>
            <w:hideMark/>
          </w:tcPr>
          <w:p w14:paraId="4AD6A2AF" w14:textId="77777777" w:rsidR="009C5968" w:rsidRPr="00F60784" w:rsidRDefault="009C5968">
            <w:pPr>
              <w:rPr>
                <w:color w:val="000000"/>
                <w:sz w:val="22"/>
              </w:rPr>
            </w:pPr>
            <w:r w:rsidRPr="00F60784">
              <w:rPr>
                <w:color w:val="000000"/>
                <w:sz w:val="22"/>
              </w:rPr>
              <w:t>Alternate Member</w:t>
            </w:r>
          </w:p>
        </w:tc>
        <w:tc>
          <w:tcPr>
            <w:tcW w:w="2393" w:type="dxa"/>
            <w:noWrap/>
            <w:hideMark/>
          </w:tcPr>
          <w:p w14:paraId="272BE087" w14:textId="77777777" w:rsidR="009C5968" w:rsidRPr="00F60784" w:rsidRDefault="009C5968">
            <w:pPr>
              <w:rPr>
                <w:color w:val="000000"/>
                <w:sz w:val="22"/>
              </w:rPr>
            </w:pPr>
            <w:r w:rsidRPr="00F60784">
              <w:rPr>
                <w:color w:val="000000"/>
                <w:sz w:val="22"/>
              </w:rPr>
              <w:t xml:space="preserve">Director General </w:t>
            </w:r>
          </w:p>
        </w:tc>
        <w:tc>
          <w:tcPr>
            <w:tcW w:w="2767" w:type="dxa"/>
            <w:noWrap/>
            <w:hideMark/>
          </w:tcPr>
          <w:p w14:paraId="5951636C"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Mr. Mohamed </w:t>
            </w:r>
            <w:proofErr w:type="spellStart"/>
            <w:r w:rsidRPr="00F60784">
              <w:rPr>
                <w:color w:val="000000"/>
                <w:sz w:val="22"/>
              </w:rPr>
              <w:t>Najid</w:t>
            </w:r>
            <w:proofErr w:type="spellEnd"/>
          </w:p>
        </w:tc>
      </w:tr>
      <w:tr w:rsidR="009C5968" w:rsidRPr="00F60784" w14:paraId="226C1EDD" w14:textId="77777777" w:rsidTr="00D5384A">
        <w:trPr>
          <w:trHeight w:val="300"/>
        </w:trPr>
        <w:tc>
          <w:tcPr>
            <w:tcW w:w="336" w:type="dxa"/>
            <w:vMerge w:val="restart"/>
            <w:hideMark/>
          </w:tcPr>
          <w:p w14:paraId="5A9BCBCB" w14:textId="77777777" w:rsidR="009C5968" w:rsidRPr="00F60784" w:rsidRDefault="009C5968">
            <w:pPr>
              <w:jc w:val="center"/>
              <w:rPr>
                <w:color w:val="000000"/>
                <w:sz w:val="22"/>
              </w:rPr>
            </w:pPr>
            <w:r w:rsidRPr="00F60784">
              <w:rPr>
                <w:color w:val="000000"/>
                <w:sz w:val="22"/>
              </w:rPr>
              <w:t>8</w:t>
            </w:r>
          </w:p>
        </w:tc>
        <w:tc>
          <w:tcPr>
            <w:tcW w:w="1576" w:type="dxa"/>
            <w:vMerge w:val="restart"/>
            <w:hideMark/>
          </w:tcPr>
          <w:p w14:paraId="25E614C6" w14:textId="77777777" w:rsidR="009C5968" w:rsidRPr="00F60784" w:rsidRDefault="009C5968">
            <w:pPr>
              <w:jc w:val="center"/>
              <w:rPr>
                <w:sz w:val="22"/>
              </w:rPr>
            </w:pPr>
            <w:r w:rsidRPr="00F60784">
              <w:rPr>
                <w:sz w:val="22"/>
              </w:rPr>
              <w:t>MMA</w:t>
            </w:r>
          </w:p>
        </w:tc>
        <w:tc>
          <w:tcPr>
            <w:tcW w:w="2620" w:type="dxa"/>
            <w:hideMark/>
          </w:tcPr>
          <w:p w14:paraId="06B7A43C" w14:textId="77777777" w:rsidR="009C5968" w:rsidRPr="00F60784" w:rsidRDefault="009C5968">
            <w:pPr>
              <w:rPr>
                <w:sz w:val="22"/>
              </w:rPr>
            </w:pPr>
            <w:r w:rsidRPr="00F60784">
              <w:rPr>
                <w:sz w:val="22"/>
              </w:rPr>
              <w:t>Member</w:t>
            </w:r>
          </w:p>
        </w:tc>
        <w:tc>
          <w:tcPr>
            <w:tcW w:w="2393" w:type="dxa"/>
            <w:hideMark/>
          </w:tcPr>
          <w:p w14:paraId="4E243D08" w14:textId="77777777" w:rsidR="009C5968" w:rsidRPr="00F60784" w:rsidRDefault="009C5968">
            <w:pPr>
              <w:rPr>
                <w:sz w:val="22"/>
              </w:rPr>
            </w:pPr>
            <w:r w:rsidRPr="00F60784">
              <w:rPr>
                <w:sz w:val="22"/>
              </w:rPr>
              <w:t>Assistant Governor</w:t>
            </w:r>
          </w:p>
        </w:tc>
        <w:tc>
          <w:tcPr>
            <w:tcW w:w="2767" w:type="dxa"/>
            <w:hideMark/>
          </w:tcPr>
          <w:p w14:paraId="5F462E53" w14:textId="77777777" w:rsidR="009C5968" w:rsidRPr="00D5384A" w:rsidRDefault="009C5968" w:rsidP="00D5384A">
            <w:pPr>
              <w:pStyle w:val="ListParagraph"/>
              <w:numPr>
                <w:ilvl w:val="0"/>
                <w:numId w:val="18"/>
              </w:numPr>
              <w:rPr>
                <w:color w:val="000000"/>
                <w:sz w:val="22"/>
              </w:rPr>
            </w:pPr>
            <w:r w:rsidRPr="00D5384A">
              <w:rPr>
                <w:color w:val="000000"/>
                <w:sz w:val="22"/>
              </w:rPr>
              <w:t>Mariyam Hussain Didi</w:t>
            </w:r>
          </w:p>
        </w:tc>
      </w:tr>
      <w:tr w:rsidR="009C5968" w:rsidRPr="00F60784" w14:paraId="44B8A7B0" w14:textId="77777777" w:rsidTr="00D5384A">
        <w:trPr>
          <w:trHeight w:val="300"/>
        </w:trPr>
        <w:tc>
          <w:tcPr>
            <w:tcW w:w="0" w:type="auto"/>
            <w:vMerge/>
            <w:hideMark/>
          </w:tcPr>
          <w:p w14:paraId="28E8CFAA" w14:textId="77777777" w:rsidR="009C5968" w:rsidRPr="00F60784" w:rsidRDefault="009C5968">
            <w:pPr>
              <w:rPr>
                <w:rFonts w:ascii="Calibri" w:hAnsi="Calibri" w:cs="Calibri"/>
                <w:color w:val="000000"/>
                <w:sz w:val="22"/>
              </w:rPr>
            </w:pPr>
          </w:p>
        </w:tc>
        <w:tc>
          <w:tcPr>
            <w:tcW w:w="0" w:type="auto"/>
            <w:vMerge/>
            <w:hideMark/>
          </w:tcPr>
          <w:p w14:paraId="06737C43" w14:textId="77777777" w:rsidR="009C5968" w:rsidRPr="00F60784" w:rsidRDefault="009C5968">
            <w:pPr>
              <w:rPr>
                <w:rFonts w:ascii="Calibri" w:hAnsi="Calibri" w:cs="Calibri"/>
                <w:sz w:val="22"/>
              </w:rPr>
            </w:pPr>
          </w:p>
        </w:tc>
        <w:tc>
          <w:tcPr>
            <w:tcW w:w="2620" w:type="dxa"/>
            <w:hideMark/>
          </w:tcPr>
          <w:p w14:paraId="1772BF1B" w14:textId="77777777" w:rsidR="009C5968" w:rsidRPr="00F60784" w:rsidRDefault="009C5968">
            <w:pPr>
              <w:rPr>
                <w:sz w:val="22"/>
              </w:rPr>
            </w:pPr>
            <w:r w:rsidRPr="00F60784">
              <w:rPr>
                <w:sz w:val="22"/>
              </w:rPr>
              <w:t>Alternate Member</w:t>
            </w:r>
          </w:p>
        </w:tc>
        <w:tc>
          <w:tcPr>
            <w:tcW w:w="2393" w:type="dxa"/>
            <w:hideMark/>
          </w:tcPr>
          <w:p w14:paraId="281A1B18" w14:textId="77777777" w:rsidR="009C5968" w:rsidRPr="00F60784" w:rsidRDefault="009C5968">
            <w:pPr>
              <w:rPr>
                <w:sz w:val="22"/>
              </w:rPr>
            </w:pPr>
            <w:r w:rsidRPr="00F60784">
              <w:rPr>
                <w:sz w:val="22"/>
              </w:rPr>
              <w:t>Executive Director</w:t>
            </w:r>
          </w:p>
        </w:tc>
        <w:tc>
          <w:tcPr>
            <w:tcW w:w="2767" w:type="dxa"/>
            <w:hideMark/>
          </w:tcPr>
          <w:p w14:paraId="0C8E289C" w14:textId="77777777" w:rsidR="009C5968" w:rsidRPr="00D5384A" w:rsidRDefault="009C5968" w:rsidP="00D5384A">
            <w:pPr>
              <w:pStyle w:val="ListParagraph"/>
              <w:numPr>
                <w:ilvl w:val="0"/>
                <w:numId w:val="18"/>
              </w:numPr>
              <w:rPr>
                <w:color w:val="000000"/>
                <w:sz w:val="22"/>
              </w:rPr>
            </w:pPr>
            <w:proofErr w:type="spellStart"/>
            <w:r w:rsidRPr="00D5384A">
              <w:rPr>
                <w:color w:val="000000"/>
                <w:sz w:val="22"/>
              </w:rPr>
              <w:t>Muna</w:t>
            </w:r>
            <w:proofErr w:type="spellEnd"/>
            <w:r w:rsidRPr="00D5384A">
              <w:rPr>
                <w:color w:val="000000"/>
                <w:sz w:val="22"/>
              </w:rPr>
              <w:t xml:space="preserve"> Ibrahim</w:t>
            </w:r>
          </w:p>
        </w:tc>
      </w:tr>
      <w:tr w:rsidR="009C5968" w:rsidRPr="00F60784" w14:paraId="563F0FF2" w14:textId="77777777" w:rsidTr="00D5384A">
        <w:trPr>
          <w:trHeight w:val="300"/>
        </w:trPr>
        <w:tc>
          <w:tcPr>
            <w:tcW w:w="336" w:type="dxa"/>
            <w:vMerge w:val="restart"/>
            <w:hideMark/>
          </w:tcPr>
          <w:p w14:paraId="7B05DB8F" w14:textId="77777777" w:rsidR="009C5968" w:rsidRPr="00F60784" w:rsidRDefault="009C5968">
            <w:pPr>
              <w:jc w:val="center"/>
              <w:rPr>
                <w:color w:val="000000"/>
                <w:sz w:val="22"/>
              </w:rPr>
            </w:pPr>
            <w:r w:rsidRPr="00F60784">
              <w:rPr>
                <w:color w:val="000000"/>
                <w:sz w:val="22"/>
              </w:rPr>
              <w:t>9</w:t>
            </w:r>
          </w:p>
        </w:tc>
        <w:tc>
          <w:tcPr>
            <w:tcW w:w="1576" w:type="dxa"/>
            <w:vMerge w:val="restart"/>
            <w:noWrap/>
            <w:hideMark/>
          </w:tcPr>
          <w:p w14:paraId="2AC4E7E0" w14:textId="77777777" w:rsidR="009C5968" w:rsidRPr="00F60784" w:rsidRDefault="009C5968">
            <w:pPr>
              <w:jc w:val="center"/>
              <w:rPr>
                <w:color w:val="000000"/>
                <w:sz w:val="22"/>
              </w:rPr>
            </w:pPr>
            <w:proofErr w:type="spellStart"/>
            <w:r w:rsidRPr="00F60784">
              <w:rPr>
                <w:color w:val="000000"/>
                <w:sz w:val="22"/>
              </w:rPr>
              <w:t>MoCST</w:t>
            </w:r>
            <w:proofErr w:type="spellEnd"/>
          </w:p>
        </w:tc>
        <w:tc>
          <w:tcPr>
            <w:tcW w:w="2620" w:type="dxa"/>
            <w:noWrap/>
            <w:hideMark/>
          </w:tcPr>
          <w:p w14:paraId="5F0037A4" w14:textId="77777777" w:rsidR="009C5968" w:rsidRPr="00F60784" w:rsidRDefault="009C5968">
            <w:pPr>
              <w:rPr>
                <w:color w:val="000000"/>
                <w:sz w:val="22"/>
              </w:rPr>
            </w:pPr>
            <w:r w:rsidRPr="00F60784">
              <w:rPr>
                <w:color w:val="000000"/>
                <w:sz w:val="22"/>
              </w:rPr>
              <w:t>Member</w:t>
            </w:r>
          </w:p>
        </w:tc>
        <w:tc>
          <w:tcPr>
            <w:tcW w:w="2393" w:type="dxa"/>
            <w:noWrap/>
            <w:hideMark/>
          </w:tcPr>
          <w:p w14:paraId="2663826B" w14:textId="77777777" w:rsidR="009C5968" w:rsidRPr="00F60784" w:rsidRDefault="009C5968">
            <w:pPr>
              <w:rPr>
                <w:color w:val="000000"/>
                <w:sz w:val="22"/>
              </w:rPr>
            </w:pPr>
            <w:r w:rsidRPr="00F60784">
              <w:rPr>
                <w:color w:val="000000"/>
                <w:sz w:val="22"/>
              </w:rPr>
              <w:t>Director</w:t>
            </w:r>
          </w:p>
        </w:tc>
        <w:tc>
          <w:tcPr>
            <w:tcW w:w="2767" w:type="dxa"/>
            <w:noWrap/>
            <w:hideMark/>
          </w:tcPr>
          <w:p w14:paraId="528F15AB" w14:textId="77777777" w:rsidR="009C5968" w:rsidRPr="00F60784" w:rsidRDefault="009C5968" w:rsidP="00D5384A">
            <w:pPr>
              <w:pStyle w:val="ListParagraph"/>
              <w:numPr>
                <w:ilvl w:val="0"/>
                <w:numId w:val="18"/>
              </w:numPr>
              <w:rPr>
                <w:color w:val="000000"/>
                <w:sz w:val="22"/>
              </w:rPr>
            </w:pPr>
            <w:r w:rsidRPr="00F60784">
              <w:rPr>
                <w:color w:val="000000"/>
                <w:sz w:val="22"/>
              </w:rPr>
              <w:t xml:space="preserve">Ms. </w:t>
            </w:r>
            <w:proofErr w:type="spellStart"/>
            <w:r w:rsidRPr="00F60784">
              <w:rPr>
                <w:color w:val="000000"/>
                <w:sz w:val="22"/>
              </w:rPr>
              <w:t>Shafaath</w:t>
            </w:r>
            <w:proofErr w:type="spellEnd"/>
            <w:r w:rsidRPr="00F60784">
              <w:rPr>
                <w:color w:val="000000"/>
                <w:sz w:val="22"/>
              </w:rPr>
              <w:t xml:space="preserve"> Habeeb</w:t>
            </w:r>
          </w:p>
        </w:tc>
      </w:tr>
      <w:tr w:rsidR="009C5968" w:rsidRPr="00F60784" w14:paraId="3AC83390" w14:textId="77777777" w:rsidTr="00D5384A">
        <w:trPr>
          <w:trHeight w:val="300"/>
        </w:trPr>
        <w:tc>
          <w:tcPr>
            <w:tcW w:w="0" w:type="auto"/>
            <w:vMerge/>
            <w:hideMark/>
          </w:tcPr>
          <w:p w14:paraId="4C53940D" w14:textId="77777777" w:rsidR="009C5968" w:rsidRPr="00F60784" w:rsidRDefault="009C5968">
            <w:pPr>
              <w:rPr>
                <w:rFonts w:ascii="Calibri" w:hAnsi="Calibri" w:cs="Calibri"/>
                <w:color w:val="000000"/>
                <w:sz w:val="22"/>
              </w:rPr>
            </w:pPr>
          </w:p>
        </w:tc>
        <w:tc>
          <w:tcPr>
            <w:tcW w:w="0" w:type="auto"/>
            <w:vMerge/>
            <w:hideMark/>
          </w:tcPr>
          <w:p w14:paraId="3D638818" w14:textId="77777777" w:rsidR="009C5968" w:rsidRPr="00F60784" w:rsidRDefault="009C5968">
            <w:pPr>
              <w:rPr>
                <w:rFonts w:ascii="Calibri" w:hAnsi="Calibri" w:cs="Calibri"/>
                <w:color w:val="000000"/>
                <w:sz w:val="22"/>
              </w:rPr>
            </w:pPr>
          </w:p>
        </w:tc>
        <w:tc>
          <w:tcPr>
            <w:tcW w:w="2620" w:type="dxa"/>
            <w:noWrap/>
            <w:hideMark/>
          </w:tcPr>
          <w:p w14:paraId="2E68E499" w14:textId="77777777" w:rsidR="009C5968" w:rsidRPr="00F60784" w:rsidRDefault="009C5968">
            <w:pPr>
              <w:rPr>
                <w:color w:val="000000"/>
                <w:sz w:val="22"/>
              </w:rPr>
            </w:pPr>
            <w:r w:rsidRPr="00F60784">
              <w:rPr>
                <w:color w:val="000000"/>
                <w:sz w:val="22"/>
              </w:rPr>
              <w:t>Alternate Member</w:t>
            </w:r>
          </w:p>
        </w:tc>
        <w:tc>
          <w:tcPr>
            <w:tcW w:w="2393" w:type="dxa"/>
            <w:noWrap/>
            <w:hideMark/>
          </w:tcPr>
          <w:p w14:paraId="0916A04C" w14:textId="77777777" w:rsidR="009C5968" w:rsidRPr="00F60784" w:rsidRDefault="009C5968">
            <w:pPr>
              <w:rPr>
                <w:color w:val="000000"/>
                <w:sz w:val="22"/>
              </w:rPr>
            </w:pPr>
            <w:r w:rsidRPr="00F60784">
              <w:rPr>
                <w:color w:val="000000"/>
                <w:sz w:val="22"/>
              </w:rPr>
              <w:t>IT Manager</w:t>
            </w:r>
          </w:p>
        </w:tc>
        <w:tc>
          <w:tcPr>
            <w:tcW w:w="2767" w:type="dxa"/>
            <w:noWrap/>
            <w:hideMark/>
          </w:tcPr>
          <w:p w14:paraId="44102780" w14:textId="77777777" w:rsidR="009C5968" w:rsidRPr="00F60784" w:rsidRDefault="009C5968" w:rsidP="00D5384A">
            <w:pPr>
              <w:pStyle w:val="ListParagraph"/>
              <w:numPr>
                <w:ilvl w:val="0"/>
                <w:numId w:val="18"/>
              </w:numPr>
              <w:rPr>
                <w:color w:val="000000"/>
                <w:sz w:val="22"/>
              </w:rPr>
            </w:pPr>
            <w:r w:rsidRPr="00F60784">
              <w:rPr>
                <w:color w:val="000000"/>
                <w:sz w:val="22"/>
              </w:rPr>
              <w:t>Mr. Ahmed Haleem</w:t>
            </w:r>
          </w:p>
        </w:tc>
      </w:tr>
    </w:tbl>
    <w:p w14:paraId="7CF59B48" w14:textId="23FE42B5" w:rsidR="00F60784" w:rsidRDefault="00F60784" w:rsidP="009C5968">
      <w:pPr>
        <w:rPr>
          <w:b/>
        </w:rPr>
      </w:pPr>
    </w:p>
    <w:p w14:paraId="6C51E25B" w14:textId="1C65BDA3" w:rsidR="009225EE" w:rsidRDefault="009225EE" w:rsidP="009C5968">
      <w:pPr>
        <w:rPr>
          <w:b/>
        </w:rPr>
      </w:pPr>
    </w:p>
    <w:p w14:paraId="0628E45E" w14:textId="69CDAEEE" w:rsidR="009225EE" w:rsidRDefault="009225EE" w:rsidP="009C5968">
      <w:pPr>
        <w:rPr>
          <w:b/>
        </w:rPr>
      </w:pPr>
    </w:p>
    <w:p w14:paraId="12BCD6ED" w14:textId="718DFC3D" w:rsidR="009225EE" w:rsidRDefault="009225EE" w:rsidP="009C5968">
      <w:pPr>
        <w:rPr>
          <w:b/>
        </w:rPr>
      </w:pPr>
    </w:p>
    <w:p w14:paraId="6F12AE90" w14:textId="3ABFB4A3" w:rsidR="009225EE" w:rsidRDefault="009225EE" w:rsidP="009C5968">
      <w:pPr>
        <w:rPr>
          <w:b/>
        </w:rPr>
      </w:pPr>
    </w:p>
    <w:p w14:paraId="6781A176" w14:textId="731C1A4F" w:rsidR="009225EE" w:rsidRDefault="009225EE" w:rsidP="009C5968">
      <w:pPr>
        <w:rPr>
          <w:b/>
        </w:rPr>
      </w:pPr>
    </w:p>
    <w:p w14:paraId="182A3EDD" w14:textId="27BA68FF" w:rsidR="009225EE" w:rsidRDefault="009225EE" w:rsidP="009C5968">
      <w:pPr>
        <w:rPr>
          <w:b/>
        </w:rPr>
      </w:pPr>
    </w:p>
    <w:p w14:paraId="355AC7C5" w14:textId="76AE8ED4" w:rsidR="009225EE" w:rsidRDefault="009225EE" w:rsidP="009C5968">
      <w:pPr>
        <w:rPr>
          <w:b/>
        </w:rPr>
      </w:pPr>
    </w:p>
    <w:p w14:paraId="21AA590C" w14:textId="1F26E8EB" w:rsidR="009225EE" w:rsidRDefault="009225EE" w:rsidP="009C5968">
      <w:pPr>
        <w:rPr>
          <w:b/>
        </w:rPr>
      </w:pPr>
    </w:p>
    <w:p w14:paraId="32C244C1" w14:textId="61D48198" w:rsidR="009225EE" w:rsidRDefault="009225EE" w:rsidP="009C5968">
      <w:pPr>
        <w:rPr>
          <w:b/>
        </w:rPr>
      </w:pPr>
    </w:p>
    <w:p w14:paraId="307C8A1F" w14:textId="34CBA24D" w:rsidR="009225EE" w:rsidRDefault="009225EE" w:rsidP="009C5968">
      <w:pPr>
        <w:rPr>
          <w:b/>
        </w:rPr>
      </w:pPr>
    </w:p>
    <w:p w14:paraId="031E320D" w14:textId="3872DA8A" w:rsidR="009225EE" w:rsidRDefault="009225EE" w:rsidP="009C5968">
      <w:pPr>
        <w:rPr>
          <w:b/>
        </w:rPr>
      </w:pPr>
    </w:p>
    <w:p w14:paraId="2936B45B" w14:textId="32B1D7D5" w:rsidR="009225EE" w:rsidRDefault="009225EE" w:rsidP="009C5968">
      <w:pPr>
        <w:rPr>
          <w:b/>
        </w:rPr>
      </w:pPr>
    </w:p>
    <w:p w14:paraId="6BB1D8DF" w14:textId="20D9E2B1" w:rsidR="009225EE" w:rsidRDefault="009225EE" w:rsidP="009C5968">
      <w:pPr>
        <w:rPr>
          <w:b/>
        </w:rPr>
      </w:pPr>
    </w:p>
    <w:p w14:paraId="61DA678E" w14:textId="12C3A8D3" w:rsidR="009225EE" w:rsidRDefault="009225EE" w:rsidP="009C5968">
      <w:pPr>
        <w:rPr>
          <w:b/>
        </w:rPr>
      </w:pPr>
    </w:p>
    <w:p w14:paraId="00CA848C" w14:textId="36DE582A" w:rsidR="009C5968" w:rsidRPr="002642EC" w:rsidRDefault="009D4A77" w:rsidP="002642EC">
      <w:pPr>
        <w:spacing w:after="0"/>
        <w:rPr>
          <w:b/>
          <w:sz w:val="20"/>
          <w:szCs w:val="20"/>
        </w:rPr>
      </w:pPr>
      <w:bookmarkStart w:id="9" w:name="_GoBack"/>
      <w:bookmarkEnd w:id="9"/>
      <w:r>
        <w:rPr>
          <w:b/>
          <w:sz w:val="20"/>
          <w:szCs w:val="20"/>
        </w:rPr>
        <w:t xml:space="preserve">Annex </w:t>
      </w:r>
      <w:r w:rsidR="00E61EB2">
        <w:rPr>
          <w:b/>
          <w:sz w:val="20"/>
          <w:szCs w:val="20"/>
        </w:rPr>
        <w:t xml:space="preserve">5. </w:t>
      </w:r>
      <w:r w:rsidR="002642EC" w:rsidRPr="002642EC">
        <w:rPr>
          <w:b/>
          <w:sz w:val="20"/>
          <w:szCs w:val="20"/>
        </w:rPr>
        <w:t xml:space="preserve">List of </w:t>
      </w:r>
      <w:r w:rsidR="004E69F0">
        <w:rPr>
          <w:b/>
          <w:sz w:val="20"/>
          <w:szCs w:val="20"/>
        </w:rPr>
        <w:t>the 16</w:t>
      </w:r>
      <w:r w:rsidR="002642EC" w:rsidRPr="002642EC">
        <w:rPr>
          <w:b/>
          <w:sz w:val="20"/>
          <w:szCs w:val="20"/>
        </w:rPr>
        <w:t xml:space="preserve"> </w:t>
      </w:r>
      <w:r w:rsidR="00F44A49" w:rsidRPr="00F44A49">
        <w:rPr>
          <w:b/>
          <w:sz w:val="20"/>
          <w:szCs w:val="20"/>
        </w:rPr>
        <w:t xml:space="preserve">Public Finance Development Service </w:t>
      </w:r>
      <w:r w:rsidR="00F44A49">
        <w:rPr>
          <w:b/>
          <w:sz w:val="20"/>
          <w:szCs w:val="20"/>
        </w:rPr>
        <w:t>(</w:t>
      </w:r>
      <w:r w:rsidR="002642EC" w:rsidRPr="002642EC">
        <w:rPr>
          <w:b/>
          <w:sz w:val="20"/>
          <w:szCs w:val="20"/>
        </w:rPr>
        <w:t>PFDS</w:t>
      </w:r>
      <w:r w:rsidR="00F44A49">
        <w:rPr>
          <w:b/>
          <w:sz w:val="20"/>
          <w:szCs w:val="20"/>
        </w:rPr>
        <w:t>)</w:t>
      </w:r>
      <w:r w:rsidR="002642EC" w:rsidRPr="002642EC">
        <w:rPr>
          <w:b/>
          <w:sz w:val="20"/>
          <w:szCs w:val="20"/>
        </w:rPr>
        <w:t xml:space="preserve"> positions </w:t>
      </w:r>
    </w:p>
    <w:tbl>
      <w:tblPr>
        <w:tblStyle w:val="TableGridLight"/>
        <w:tblW w:w="5760" w:type="dxa"/>
        <w:tblLook w:val="04A0" w:firstRow="1" w:lastRow="0" w:firstColumn="1" w:lastColumn="0" w:noHBand="0" w:noVBand="1"/>
      </w:tblPr>
      <w:tblGrid>
        <w:gridCol w:w="1005"/>
        <w:gridCol w:w="2578"/>
        <w:gridCol w:w="1740"/>
        <w:gridCol w:w="1908"/>
        <w:gridCol w:w="2119"/>
      </w:tblGrid>
      <w:tr w:rsidR="003F250B" w:rsidRPr="009B3975" w14:paraId="2C9E222D" w14:textId="77777777" w:rsidTr="00D312E8">
        <w:trPr>
          <w:trHeight w:val="260"/>
        </w:trPr>
        <w:tc>
          <w:tcPr>
            <w:tcW w:w="715" w:type="dxa"/>
            <w:noWrap/>
            <w:hideMark/>
          </w:tcPr>
          <w:p w14:paraId="4D4434D3" w14:textId="77777777" w:rsidR="003F250B" w:rsidRPr="007557BF" w:rsidRDefault="003F250B" w:rsidP="007557BF">
            <w:pPr>
              <w:pStyle w:val="ListParagraph"/>
              <w:jc w:val="center"/>
              <w:rPr>
                <w:rFonts w:cs="Times New Roman"/>
                <w:bCs/>
                <w:color w:val="000000"/>
                <w:sz w:val="20"/>
                <w:szCs w:val="20"/>
              </w:rPr>
            </w:pPr>
            <w:r w:rsidRPr="007557BF">
              <w:rPr>
                <w:rFonts w:cs="Times New Roman"/>
                <w:bCs/>
                <w:color w:val="000000"/>
                <w:sz w:val="20"/>
                <w:szCs w:val="20"/>
              </w:rPr>
              <w:t>#</w:t>
            </w:r>
          </w:p>
        </w:tc>
        <w:tc>
          <w:tcPr>
            <w:tcW w:w="2671" w:type="dxa"/>
            <w:noWrap/>
            <w:hideMark/>
          </w:tcPr>
          <w:p w14:paraId="4CAB5D9D" w14:textId="77777777" w:rsidR="003F250B" w:rsidRPr="007557BF" w:rsidRDefault="003F250B" w:rsidP="00521992">
            <w:pPr>
              <w:jc w:val="center"/>
              <w:rPr>
                <w:rFonts w:cs="Times New Roman"/>
                <w:b/>
                <w:color w:val="000000"/>
                <w:sz w:val="20"/>
                <w:szCs w:val="20"/>
              </w:rPr>
            </w:pPr>
            <w:r w:rsidRPr="007557BF">
              <w:rPr>
                <w:rFonts w:cs="Times New Roman"/>
                <w:b/>
                <w:color w:val="000000"/>
                <w:sz w:val="20"/>
                <w:szCs w:val="20"/>
              </w:rPr>
              <w:t>Name</w:t>
            </w:r>
          </w:p>
        </w:tc>
        <w:tc>
          <w:tcPr>
            <w:tcW w:w="1800" w:type="dxa"/>
            <w:noWrap/>
            <w:hideMark/>
          </w:tcPr>
          <w:p w14:paraId="65333D81" w14:textId="77777777" w:rsidR="003F250B" w:rsidRPr="007557BF" w:rsidRDefault="003F250B" w:rsidP="00521992">
            <w:pPr>
              <w:jc w:val="center"/>
              <w:rPr>
                <w:rFonts w:cs="Times New Roman"/>
                <w:b/>
                <w:color w:val="000000"/>
                <w:sz w:val="20"/>
                <w:szCs w:val="20"/>
              </w:rPr>
            </w:pPr>
            <w:r w:rsidRPr="007557BF">
              <w:rPr>
                <w:rFonts w:cs="Times New Roman"/>
                <w:b/>
                <w:color w:val="000000"/>
                <w:sz w:val="20"/>
                <w:szCs w:val="20"/>
              </w:rPr>
              <w:t>Designation</w:t>
            </w:r>
          </w:p>
        </w:tc>
        <w:tc>
          <w:tcPr>
            <w:tcW w:w="1975" w:type="dxa"/>
            <w:noWrap/>
            <w:hideMark/>
          </w:tcPr>
          <w:p w14:paraId="79CB6629" w14:textId="77777777" w:rsidR="003F250B" w:rsidRPr="007557BF" w:rsidRDefault="003F250B" w:rsidP="00521992">
            <w:pPr>
              <w:jc w:val="center"/>
              <w:rPr>
                <w:rFonts w:cs="Times New Roman"/>
                <w:b/>
                <w:color w:val="000000"/>
                <w:sz w:val="20"/>
                <w:szCs w:val="20"/>
              </w:rPr>
            </w:pPr>
            <w:r w:rsidRPr="007557BF">
              <w:rPr>
                <w:rFonts w:cs="Times New Roman"/>
                <w:b/>
                <w:color w:val="000000"/>
                <w:sz w:val="20"/>
                <w:szCs w:val="20"/>
              </w:rPr>
              <w:t>Main Supervisor</w:t>
            </w:r>
          </w:p>
        </w:tc>
        <w:tc>
          <w:tcPr>
            <w:tcW w:w="2194" w:type="dxa"/>
            <w:hideMark/>
          </w:tcPr>
          <w:p w14:paraId="0B1B2D1B" w14:textId="77777777" w:rsidR="003F250B" w:rsidRPr="007557BF" w:rsidRDefault="003F250B" w:rsidP="00521992">
            <w:pPr>
              <w:jc w:val="center"/>
              <w:rPr>
                <w:rFonts w:cs="Times New Roman"/>
                <w:b/>
                <w:color w:val="000000"/>
                <w:sz w:val="20"/>
                <w:szCs w:val="20"/>
              </w:rPr>
            </w:pPr>
            <w:r w:rsidRPr="007557BF">
              <w:rPr>
                <w:rFonts w:cs="Times New Roman"/>
                <w:b/>
                <w:color w:val="000000"/>
                <w:sz w:val="20"/>
                <w:szCs w:val="20"/>
              </w:rPr>
              <w:t>SAP Trained Status</w:t>
            </w:r>
          </w:p>
        </w:tc>
      </w:tr>
      <w:tr w:rsidR="003F250B" w:rsidRPr="009B3975" w14:paraId="3B9ECBC3" w14:textId="77777777" w:rsidTr="00D312E8">
        <w:trPr>
          <w:trHeight w:val="300"/>
        </w:trPr>
        <w:tc>
          <w:tcPr>
            <w:tcW w:w="715" w:type="dxa"/>
            <w:noWrap/>
          </w:tcPr>
          <w:p w14:paraId="4991E91F"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tcPr>
          <w:p w14:paraId="7DA91CC1"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Mohamed </w:t>
            </w:r>
            <w:proofErr w:type="spellStart"/>
            <w:r w:rsidRPr="009B3975">
              <w:rPr>
                <w:rFonts w:cs="Times New Roman"/>
                <w:color w:val="000000"/>
                <w:sz w:val="20"/>
                <w:szCs w:val="20"/>
              </w:rPr>
              <w:t>Naiz</w:t>
            </w:r>
            <w:proofErr w:type="spellEnd"/>
          </w:p>
        </w:tc>
        <w:tc>
          <w:tcPr>
            <w:tcW w:w="1800" w:type="dxa"/>
            <w:noWrap/>
          </w:tcPr>
          <w:p w14:paraId="5BC117CA" w14:textId="77777777" w:rsidR="003F250B" w:rsidRPr="009B3975" w:rsidRDefault="003F250B" w:rsidP="00521992">
            <w:pPr>
              <w:rPr>
                <w:rFonts w:cs="Times New Roman"/>
                <w:color w:val="000000"/>
                <w:sz w:val="20"/>
                <w:szCs w:val="20"/>
              </w:rPr>
            </w:pPr>
            <w:r w:rsidRPr="009B3975">
              <w:rPr>
                <w:rFonts w:cs="Times New Roman"/>
                <w:color w:val="000000"/>
                <w:sz w:val="20"/>
                <w:szCs w:val="20"/>
              </w:rPr>
              <w:t>Chief Information Officer</w:t>
            </w:r>
          </w:p>
        </w:tc>
        <w:tc>
          <w:tcPr>
            <w:tcW w:w="1975" w:type="dxa"/>
            <w:noWrap/>
          </w:tcPr>
          <w:p w14:paraId="19BA8E01" w14:textId="77777777" w:rsidR="003F250B" w:rsidRPr="009B3975" w:rsidRDefault="003F250B" w:rsidP="00521992">
            <w:pPr>
              <w:rPr>
                <w:rFonts w:cs="Times New Roman"/>
                <w:color w:val="000000"/>
                <w:sz w:val="20"/>
                <w:szCs w:val="20"/>
              </w:rPr>
            </w:pPr>
            <w:r w:rsidRPr="009B3975">
              <w:rPr>
                <w:rFonts w:cs="Times New Roman"/>
                <w:color w:val="000000"/>
                <w:sz w:val="20"/>
                <w:szCs w:val="20"/>
              </w:rPr>
              <w:t>Project Director</w:t>
            </w:r>
          </w:p>
        </w:tc>
        <w:tc>
          <w:tcPr>
            <w:tcW w:w="2194" w:type="dxa"/>
            <w:noWrap/>
          </w:tcPr>
          <w:p w14:paraId="24E68C3D" w14:textId="77777777" w:rsidR="003F250B" w:rsidRPr="009B3975" w:rsidRDefault="003F250B" w:rsidP="00521992">
            <w:pPr>
              <w:rPr>
                <w:rFonts w:cs="Times New Roman"/>
                <w:color w:val="000000"/>
                <w:sz w:val="20"/>
                <w:szCs w:val="20"/>
              </w:rPr>
            </w:pPr>
            <w:r w:rsidRPr="009B3975">
              <w:rPr>
                <w:rFonts w:cs="Times New Roman"/>
                <w:color w:val="000000"/>
                <w:sz w:val="20"/>
                <w:szCs w:val="20"/>
              </w:rPr>
              <w:t>Trained and certified in BASIS module</w:t>
            </w:r>
          </w:p>
        </w:tc>
      </w:tr>
      <w:tr w:rsidR="003F250B" w:rsidRPr="009B3975" w14:paraId="780FB4E5" w14:textId="77777777" w:rsidTr="00D312E8">
        <w:trPr>
          <w:trHeight w:val="300"/>
        </w:trPr>
        <w:tc>
          <w:tcPr>
            <w:tcW w:w="715" w:type="dxa"/>
            <w:noWrap/>
          </w:tcPr>
          <w:p w14:paraId="55FBDC3E"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tcPr>
          <w:p w14:paraId="3A3D1FA6"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Mohamed </w:t>
            </w:r>
            <w:proofErr w:type="spellStart"/>
            <w:r w:rsidRPr="009B3975">
              <w:rPr>
                <w:rFonts w:cs="Times New Roman"/>
                <w:color w:val="000000"/>
                <w:sz w:val="20"/>
                <w:szCs w:val="20"/>
              </w:rPr>
              <w:t>Mushil</w:t>
            </w:r>
            <w:proofErr w:type="spellEnd"/>
          </w:p>
        </w:tc>
        <w:tc>
          <w:tcPr>
            <w:tcW w:w="1800" w:type="dxa"/>
            <w:noWrap/>
          </w:tcPr>
          <w:p w14:paraId="55F3F713"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BI Associate </w:t>
            </w:r>
          </w:p>
        </w:tc>
        <w:tc>
          <w:tcPr>
            <w:tcW w:w="1975" w:type="dxa"/>
            <w:noWrap/>
          </w:tcPr>
          <w:p w14:paraId="0B5A7098" w14:textId="77777777" w:rsidR="003F250B" w:rsidRPr="009B3975" w:rsidRDefault="003F250B" w:rsidP="00521992">
            <w:pPr>
              <w:rPr>
                <w:rFonts w:cs="Times New Roman"/>
                <w:color w:val="000000"/>
                <w:sz w:val="20"/>
                <w:szCs w:val="20"/>
              </w:rPr>
            </w:pPr>
            <w:r w:rsidRPr="009B3975">
              <w:rPr>
                <w:rFonts w:cs="Times New Roman"/>
                <w:color w:val="000000"/>
                <w:sz w:val="20"/>
                <w:szCs w:val="20"/>
              </w:rPr>
              <w:t>Chief Information Officer</w:t>
            </w:r>
          </w:p>
        </w:tc>
        <w:tc>
          <w:tcPr>
            <w:tcW w:w="2194" w:type="dxa"/>
            <w:noWrap/>
          </w:tcPr>
          <w:p w14:paraId="279E1EC8"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Trained in BI module. </w:t>
            </w:r>
            <w:r w:rsidRPr="00AB6D00">
              <w:rPr>
                <w:rFonts w:cs="Times New Roman"/>
                <w:color w:val="0070C0"/>
                <w:sz w:val="20"/>
                <w:szCs w:val="20"/>
              </w:rPr>
              <w:t>Certification pending.</w:t>
            </w:r>
          </w:p>
        </w:tc>
      </w:tr>
      <w:tr w:rsidR="003F250B" w:rsidRPr="009B3975" w14:paraId="329BE3F9" w14:textId="77777777" w:rsidTr="00D312E8">
        <w:trPr>
          <w:trHeight w:val="300"/>
        </w:trPr>
        <w:tc>
          <w:tcPr>
            <w:tcW w:w="715" w:type="dxa"/>
            <w:noWrap/>
          </w:tcPr>
          <w:p w14:paraId="0D9BB805"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tcPr>
          <w:p w14:paraId="29EF50FD"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Ahmed </w:t>
            </w:r>
            <w:proofErr w:type="spellStart"/>
            <w:r w:rsidRPr="009B3975">
              <w:rPr>
                <w:rFonts w:cs="Times New Roman"/>
                <w:color w:val="000000"/>
                <w:sz w:val="20"/>
                <w:szCs w:val="20"/>
              </w:rPr>
              <w:t>Rishad</w:t>
            </w:r>
            <w:proofErr w:type="spellEnd"/>
            <w:r w:rsidRPr="009B3975">
              <w:rPr>
                <w:rFonts w:cs="Times New Roman"/>
                <w:color w:val="000000"/>
                <w:sz w:val="20"/>
                <w:szCs w:val="20"/>
              </w:rPr>
              <w:t xml:space="preserve"> </w:t>
            </w:r>
          </w:p>
        </w:tc>
        <w:tc>
          <w:tcPr>
            <w:tcW w:w="1800" w:type="dxa"/>
            <w:noWrap/>
          </w:tcPr>
          <w:p w14:paraId="5D02C416" w14:textId="77777777" w:rsidR="003F250B" w:rsidRPr="009B3975" w:rsidRDefault="003F250B" w:rsidP="00521992">
            <w:pPr>
              <w:rPr>
                <w:rFonts w:cs="Times New Roman"/>
                <w:color w:val="000000"/>
                <w:sz w:val="20"/>
                <w:szCs w:val="20"/>
              </w:rPr>
            </w:pPr>
            <w:r w:rsidRPr="009B3975">
              <w:rPr>
                <w:rFonts w:cs="Times New Roman"/>
                <w:color w:val="000000"/>
                <w:sz w:val="20"/>
                <w:szCs w:val="20"/>
              </w:rPr>
              <w:t>BASIS Associate</w:t>
            </w:r>
          </w:p>
        </w:tc>
        <w:tc>
          <w:tcPr>
            <w:tcW w:w="1975" w:type="dxa"/>
            <w:noWrap/>
          </w:tcPr>
          <w:p w14:paraId="4E297973" w14:textId="77777777" w:rsidR="003F250B" w:rsidRPr="009B3975" w:rsidRDefault="003F250B" w:rsidP="00521992">
            <w:pPr>
              <w:rPr>
                <w:rFonts w:cs="Times New Roman"/>
                <w:color w:val="000000"/>
                <w:sz w:val="20"/>
                <w:szCs w:val="20"/>
              </w:rPr>
            </w:pPr>
            <w:r w:rsidRPr="009B3975">
              <w:rPr>
                <w:rFonts w:cs="Times New Roman"/>
                <w:color w:val="000000"/>
                <w:sz w:val="20"/>
                <w:szCs w:val="20"/>
              </w:rPr>
              <w:t>Chief Information Officer</w:t>
            </w:r>
          </w:p>
        </w:tc>
        <w:tc>
          <w:tcPr>
            <w:tcW w:w="2194" w:type="dxa"/>
            <w:noWrap/>
          </w:tcPr>
          <w:p w14:paraId="28251B7A" w14:textId="77777777" w:rsidR="003F250B" w:rsidRPr="009B3975" w:rsidRDefault="003F250B" w:rsidP="00521992">
            <w:pPr>
              <w:rPr>
                <w:rFonts w:cs="Times New Roman"/>
                <w:color w:val="000000"/>
                <w:sz w:val="20"/>
                <w:szCs w:val="20"/>
              </w:rPr>
            </w:pPr>
            <w:r w:rsidRPr="009B3975">
              <w:rPr>
                <w:rFonts w:cs="Times New Roman"/>
                <w:color w:val="000000"/>
                <w:sz w:val="20"/>
                <w:szCs w:val="20"/>
              </w:rPr>
              <w:t>Trained and certified in BASIS module</w:t>
            </w:r>
          </w:p>
        </w:tc>
      </w:tr>
      <w:tr w:rsidR="003F250B" w:rsidRPr="009B3975" w14:paraId="2907CA11" w14:textId="77777777" w:rsidTr="00D312E8">
        <w:trPr>
          <w:trHeight w:val="300"/>
        </w:trPr>
        <w:tc>
          <w:tcPr>
            <w:tcW w:w="715" w:type="dxa"/>
            <w:noWrap/>
          </w:tcPr>
          <w:p w14:paraId="21859A54"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tcPr>
          <w:p w14:paraId="1D7E5E50" w14:textId="77777777" w:rsidR="003F250B" w:rsidRPr="009B3975" w:rsidRDefault="003F250B" w:rsidP="00521992">
            <w:pPr>
              <w:rPr>
                <w:rFonts w:cs="Times New Roman"/>
                <w:color w:val="000000"/>
                <w:sz w:val="20"/>
                <w:szCs w:val="20"/>
              </w:rPr>
            </w:pPr>
            <w:r w:rsidRPr="009B3975">
              <w:rPr>
                <w:rFonts w:cs="Times New Roman"/>
                <w:color w:val="000000"/>
                <w:sz w:val="20"/>
                <w:szCs w:val="20"/>
              </w:rPr>
              <w:t>Ismail Riza</w:t>
            </w:r>
          </w:p>
        </w:tc>
        <w:tc>
          <w:tcPr>
            <w:tcW w:w="1800" w:type="dxa"/>
            <w:noWrap/>
          </w:tcPr>
          <w:p w14:paraId="13F4D5B8" w14:textId="77777777" w:rsidR="003F250B" w:rsidRPr="009B3975" w:rsidRDefault="003F250B" w:rsidP="00521992">
            <w:pPr>
              <w:rPr>
                <w:rFonts w:cs="Times New Roman"/>
                <w:color w:val="000000"/>
                <w:sz w:val="20"/>
                <w:szCs w:val="20"/>
              </w:rPr>
            </w:pPr>
            <w:r w:rsidRPr="009B3975">
              <w:rPr>
                <w:rFonts w:cs="Times New Roman"/>
                <w:color w:val="000000"/>
                <w:sz w:val="20"/>
                <w:szCs w:val="20"/>
              </w:rPr>
              <w:t>ABAP Associate</w:t>
            </w:r>
          </w:p>
        </w:tc>
        <w:tc>
          <w:tcPr>
            <w:tcW w:w="1975" w:type="dxa"/>
            <w:noWrap/>
          </w:tcPr>
          <w:p w14:paraId="32B79F3A" w14:textId="77777777" w:rsidR="003F250B" w:rsidRPr="009B3975" w:rsidRDefault="003F250B" w:rsidP="00521992">
            <w:pPr>
              <w:rPr>
                <w:rFonts w:cs="Times New Roman"/>
                <w:color w:val="000000"/>
                <w:sz w:val="20"/>
                <w:szCs w:val="20"/>
              </w:rPr>
            </w:pPr>
            <w:r w:rsidRPr="009B3975">
              <w:rPr>
                <w:rFonts w:cs="Times New Roman"/>
                <w:color w:val="000000"/>
                <w:sz w:val="20"/>
                <w:szCs w:val="20"/>
              </w:rPr>
              <w:t>Chief Information Officer</w:t>
            </w:r>
          </w:p>
        </w:tc>
        <w:tc>
          <w:tcPr>
            <w:tcW w:w="2194" w:type="dxa"/>
            <w:noWrap/>
          </w:tcPr>
          <w:p w14:paraId="4964546E" w14:textId="77777777" w:rsidR="003F250B" w:rsidRPr="009B3975" w:rsidRDefault="003F250B" w:rsidP="00521992">
            <w:pPr>
              <w:rPr>
                <w:rFonts w:cs="Times New Roman"/>
                <w:color w:val="000000"/>
                <w:sz w:val="20"/>
                <w:szCs w:val="20"/>
              </w:rPr>
            </w:pPr>
            <w:r w:rsidRPr="009B3975">
              <w:rPr>
                <w:rFonts w:cs="Times New Roman"/>
                <w:color w:val="000000"/>
                <w:sz w:val="20"/>
                <w:szCs w:val="20"/>
              </w:rPr>
              <w:t>Trained and certified in ABAP module</w:t>
            </w:r>
          </w:p>
        </w:tc>
      </w:tr>
      <w:tr w:rsidR="003F250B" w:rsidRPr="009B3975" w14:paraId="1B093CD5" w14:textId="77777777" w:rsidTr="00D312E8">
        <w:trPr>
          <w:trHeight w:val="300"/>
        </w:trPr>
        <w:tc>
          <w:tcPr>
            <w:tcW w:w="715" w:type="dxa"/>
            <w:noWrap/>
          </w:tcPr>
          <w:p w14:paraId="2ADFBA4E"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tcPr>
          <w:p w14:paraId="63FB0ACA"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Mohamed </w:t>
            </w:r>
            <w:proofErr w:type="spellStart"/>
            <w:r w:rsidRPr="009B3975">
              <w:rPr>
                <w:rFonts w:cs="Times New Roman"/>
                <w:color w:val="000000"/>
                <w:sz w:val="20"/>
                <w:szCs w:val="20"/>
              </w:rPr>
              <w:t>Inaz</w:t>
            </w:r>
            <w:proofErr w:type="spellEnd"/>
          </w:p>
        </w:tc>
        <w:tc>
          <w:tcPr>
            <w:tcW w:w="1800" w:type="dxa"/>
            <w:noWrap/>
          </w:tcPr>
          <w:p w14:paraId="30D9DA06" w14:textId="77777777" w:rsidR="003F250B" w:rsidRPr="009B3975" w:rsidRDefault="003F250B" w:rsidP="00521992">
            <w:pPr>
              <w:rPr>
                <w:rFonts w:cs="Times New Roman"/>
                <w:color w:val="000000"/>
                <w:sz w:val="20"/>
                <w:szCs w:val="20"/>
              </w:rPr>
            </w:pPr>
            <w:r w:rsidRPr="009B3975">
              <w:rPr>
                <w:rFonts w:cs="Times New Roman"/>
                <w:color w:val="000000"/>
                <w:sz w:val="20"/>
                <w:szCs w:val="20"/>
              </w:rPr>
              <w:t>PS Associate</w:t>
            </w:r>
          </w:p>
        </w:tc>
        <w:tc>
          <w:tcPr>
            <w:tcW w:w="1975" w:type="dxa"/>
            <w:noWrap/>
          </w:tcPr>
          <w:p w14:paraId="308DEE93" w14:textId="1142593E" w:rsidR="003F250B" w:rsidRPr="009B3975" w:rsidRDefault="008A7A54" w:rsidP="00521992">
            <w:pPr>
              <w:rPr>
                <w:rFonts w:cs="Times New Roman"/>
                <w:color w:val="000000"/>
                <w:sz w:val="20"/>
                <w:szCs w:val="20"/>
              </w:rPr>
            </w:pPr>
            <w:r>
              <w:rPr>
                <w:rFonts w:cs="Times New Roman"/>
                <w:color w:val="000000"/>
                <w:sz w:val="20"/>
                <w:szCs w:val="20"/>
              </w:rPr>
              <w:t xml:space="preserve">Financial </w:t>
            </w:r>
            <w:r w:rsidR="003F250B" w:rsidRPr="009B3975">
              <w:rPr>
                <w:rFonts w:cs="Times New Roman"/>
                <w:color w:val="000000"/>
                <w:sz w:val="20"/>
                <w:szCs w:val="20"/>
              </w:rPr>
              <w:t>C</w:t>
            </w:r>
            <w:r>
              <w:rPr>
                <w:rFonts w:cs="Times New Roman"/>
                <w:color w:val="000000"/>
                <w:sz w:val="20"/>
                <w:szCs w:val="20"/>
              </w:rPr>
              <w:t>ontroller</w:t>
            </w:r>
          </w:p>
        </w:tc>
        <w:tc>
          <w:tcPr>
            <w:tcW w:w="2194" w:type="dxa"/>
            <w:noWrap/>
          </w:tcPr>
          <w:p w14:paraId="50064170" w14:textId="77777777" w:rsidR="003F250B" w:rsidRPr="009B3975" w:rsidRDefault="003F250B" w:rsidP="00521992">
            <w:pPr>
              <w:rPr>
                <w:rFonts w:cs="Times New Roman"/>
                <w:color w:val="000000"/>
                <w:sz w:val="20"/>
                <w:szCs w:val="20"/>
              </w:rPr>
            </w:pPr>
            <w:r w:rsidRPr="009B3975">
              <w:rPr>
                <w:rFonts w:cs="Times New Roman"/>
                <w:color w:val="000000"/>
                <w:sz w:val="20"/>
                <w:szCs w:val="20"/>
              </w:rPr>
              <w:t>Trained and certified in FI module</w:t>
            </w:r>
          </w:p>
        </w:tc>
      </w:tr>
      <w:tr w:rsidR="008A7A54" w:rsidRPr="009B3975" w14:paraId="198FE6DF" w14:textId="77777777" w:rsidTr="00D312E8">
        <w:trPr>
          <w:trHeight w:val="300"/>
        </w:trPr>
        <w:tc>
          <w:tcPr>
            <w:tcW w:w="715" w:type="dxa"/>
            <w:noWrap/>
          </w:tcPr>
          <w:p w14:paraId="4C6F745F" w14:textId="77777777" w:rsidR="008A7A54" w:rsidRPr="00AB6D00" w:rsidRDefault="008A7A54" w:rsidP="008A7A54">
            <w:pPr>
              <w:pStyle w:val="ListParagraph"/>
              <w:numPr>
                <w:ilvl w:val="0"/>
                <w:numId w:val="19"/>
              </w:numPr>
              <w:jc w:val="center"/>
              <w:rPr>
                <w:rFonts w:cs="Times New Roman"/>
                <w:b/>
                <w:bCs/>
                <w:color w:val="000000"/>
                <w:sz w:val="20"/>
                <w:szCs w:val="20"/>
              </w:rPr>
            </w:pPr>
          </w:p>
        </w:tc>
        <w:tc>
          <w:tcPr>
            <w:tcW w:w="2671" w:type="dxa"/>
            <w:noWrap/>
          </w:tcPr>
          <w:p w14:paraId="6AD034CE" w14:textId="77777777" w:rsidR="008A7A54" w:rsidRPr="009B3975" w:rsidRDefault="008A7A54" w:rsidP="008A7A54">
            <w:pPr>
              <w:rPr>
                <w:rFonts w:cs="Times New Roman"/>
                <w:color w:val="000000"/>
                <w:sz w:val="20"/>
                <w:szCs w:val="20"/>
              </w:rPr>
            </w:pPr>
            <w:r w:rsidRPr="009B3975">
              <w:rPr>
                <w:rFonts w:cs="Times New Roman"/>
                <w:color w:val="000000"/>
                <w:sz w:val="20"/>
                <w:szCs w:val="20"/>
              </w:rPr>
              <w:t>Ali Shahid</w:t>
            </w:r>
          </w:p>
        </w:tc>
        <w:tc>
          <w:tcPr>
            <w:tcW w:w="1800" w:type="dxa"/>
            <w:noWrap/>
          </w:tcPr>
          <w:p w14:paraId="5086A9F0" w14:textId="77777777" w:rsidR="008A7A54" w:rsidRPr="009B3975" w:rsidRDefault="008A7A54" w:rsidP="008A7A54">
            <w:pPr>
              <w:rPr>
                <w:rFonts w:cs="Times New Roman"/>
                <w:color w:val="000000"/>
                <w:sz w:val="20"/>
                <w:szCs w:val="20"/>
              </w:rPr>
            </w:pPr>
            <w:r w:rsidRPr="009B3975">
              <w:rPr>
                <w:rFonts w:cs="Times New Roman"/>
                <w:color w:val="000000"/>
                <w:sz w:val="20"/>
                <w:szCs w:val="20"/>
              </w:rPr>
              <w:t xml:space="preserve">BI Associate </w:t>
            </w:r>
          </w:p>
        </w:tc>
        <w:tc>
          <w:tcPr>
            <w:tcW w:w="1975" w:type="dxa"/>
            <w:noWrap/>
          </w:tcPr>
          <w:p w14:paraId="593233A1" w14:textId="670CC2B6" w:rsidR="008A7A54" w:rsidRPr="009B3975" w:rsidRDefault="008A7A54" w:rsidP="008A7A54">
            <w:pPr>
              <w:rPr>
                <w:rFonts w:cs="Times New Roman"/>
                <w:color w:val="000000"/>
                <w:sz w:val="20"/>
                <w:szCs w:val="20"/>
              </w:rPr>
            </w:pPr>
            <w:r w:rsidRPr="00C8451A">
              <w:rPr>
                <w:rFonts w:cs="Times New Roman"/>
                <w:color w:val="000000"/>
                <w:sz w:val="20"/>
                <w:szCs w:val="20"/>
              </w:rPr>
              <w:t>Financial Controller</w:t>
            </w:r>
          </w:p>
        </w:tc>
        <w:tc>
          <w:tcPr>
            <w:tcW w:w="2194" w:type="dxa"/>
            <w:noWrap/>
          </w:tcPr>
          <w:p w14:paraId="75F3805A" w14:textId="77777777" w:rsidR="008A7A54" w:rsidRPr="009B3975" w:rsidRDefault="008A7A54" w:rsidP="008A7A54">
            <w:pPr>
              <w:rPr>
                <w:rFonts w:cs="Times New Roman"/>
                <w:color w:val="000000"/>
                <w:sz w:val="20"/>
                <w:szCs w:val="20"/>
              </w:rPr>
            </w:pPr>
            <w:r w:rsidRPr="009B3975">
              <w:rPr>
                <w:rFonts w:cs="Times New Roman"/>
                <w:color w:val="000000"/>
                <w:sz w:val="20"/>
                <w:szCs w:val="20"/>
              </w:rPr>
              <w:t>Trained and certified in BI module</w:t>
            </w:r>
          </w:p>
        </w:tc>
      </w:tr>
      <w:tr w:rsidR="008A7A54" w:rsidRPr="009B3975" w14:paraId="426D3047" w14:textId="77777777" w:rsidTr="00D312E8">
        <w:trPr>
          <w:trHeight w:val="300"/>
        </w:trPr>
        <w:tc>
          <w:tcPr>
            <w:tcW w:w="715" w:type="dxa"/>
            <w:noWrap/>
          </w:tcPr>
          <w:p w14:paraId="4098BB53" w14:textId="77777777" w:rsidR="008A7A54" w:rsidRPr="00AB6D00" w:rsidRDefault="008A7A54" w:rsidP="008A7A54">
            <w:pPr>
              <w:pStyle w:val="ListParagraph"/>
              <w:numPr>
                <w:ilvl w:val="0"/>
                <w:numId w:val="19"/>
              </w:numPr>
              <w:jc w:val="center"/>
              <w:rPr>
                <w:rFonts w:cs="Times New Roman"/>
                <w:b/>
                <w:bCs/>
                <w:color w:val="000000"/>
                <w:sz w:val="20"/>
                <w:szCs w:val="20"/>
              </w:rPr>
            </w:pPr>
          </w:p>
        </w:tc>
        <w:tc>
          <w:tcPr>
            <w:tcW w:w="2671" w:type="dxa"/>
            <w:noWrap/>
          </w:tcPr>
          <w:p w14:paraId="3E572F7A" w14:textId="77777777" w:rsidR="008A7A54" w:rsidRPr="009B3975" w:rsidRDefault="008A7A54" w:rsidP="008A7A54">
            <w:pPr>
              <w:rPr>
                <w:rFonts w:cs="Times New Roman"/>
                <w:color w:val="000000"/>
                <w:sz w:val="20"/>
                <w:szCs w:val="20"/>
              </w:rPr>
            </w:pPr>
            <w:r w:rsidRPr="009B3975">
              <w:rPr>
                <w:rFonts w:cs="Times New Roman"/>
                <w:color w:val="000000"/>
                <w:sz w:val="20"/>
                <w:szCs w:val="20"/>
              </w:rPr>
              <w:t xml:space="preserve">Mohamed </w:t>
            </w:r>
            <w:proofErr w:type="spellStart"/>
            <w:r w:rsidRPr="009B3975">
              <w:rPr>
                <w:rFonts w:cs="Times New Roman"/>
                <w:color w:val="000000"/>
                <w:sz w:val="20"/>
                <w:szCs w:val="20"/>
              </w:rPr>
              <w:t>Areesh</w:t>
            </w:r>
            <w:proofErr w:type="spellEnd"/>
          </w:p>
        </w:tc>
        <w:tc>
          <w:tcPr>
            <w:tcW w:w="1800" w:type="dxa"/>
            <w:noWrap/>
          </w:tcPr>
          <w:p w14:paraId="31C52A5F" w14:textId="77777777" w:rsidR="008A7A54" w:rsidRPr="009B3975" w:rsidRDefault="008A7A54" w:rsidP="008A7A54">
            <w:pPr>
              <w:rPr>
                <w:rFonts w:cs="Times New Roman"/>
                <w:color w:val="000000"/>
                <w:sz w:val="20"/>
                <w:szCs w:val="20"/>
              </w:rPr>
            </w:pPr>
            <w:r w:rsidRPr="009B3975">
              <w:rPr>
                <w:rFonts w:cs="Times New Roman"/>
                <w:color w:val="000000"/>
                <w:sz w:val="20"/>
                <w:szCs w:val="20"/>
              </w:rPr>
              <w:t>HCM Associate</w:t>
            </w:r>
          </w:p>
        </w:tc>
        <w:tc>
          <w:tcPr>
            <w:tcW w:w="1975" w:type="dxa"/>
            <w:noWrap/>
          </w:tcPr>
          <w:p w14:paraId="73F74A30" w14:textId="0420A9B1" w:rsidR="008A7A54" w:rsidRPr="009B3975" w:rsidRDefault="008A7A54" w:rsidP="008A7A54">
            <w:pPr>
              <w:rPr>
                <w:rFonts w:cs="Times New Roman"/>
                <w:color w:val="000000"/>
                <w:sz w:val="20"/>
                <w:szCs w:val="20"/>
              </w:rPr>
            </w:pPr>
            <w:r w:rsidRPr="00C8451A">
              <w:rPr>
                <w:rFonts w:cs="Times New Roman"/>
                <w:color w:val="000000"/>
                <w:sz w:val="20"/>
                <w:szCs w:val="20"/>
              </w:rPr>
              <w:t>Financial Controller</w:t>
            </w:r>
          </w:p>
        </w:tc>
        <w:tc>
          <w:tcPr>
            <w:tcW w:w="2194" w:type="dxa"/>
            <w:noWrap/>
          </w:tcPr>
          <w:p w14:paraId="70E5FECF" w14:textId="77777777" w:rsidR="008A7A54" w:rsidRPr="009B3975" w:rsidRDefault="008A7A54" w:rsidP="008A7A54">
            <w:pPr>
              <w:rPr>
                <w:rFonts w:cs="Times New Roman"/>
                <w:color w:val="000000"/>
                <w:sz w:val="20"/>
                <w:szCs w:val="20"/>
              </w:rPr>
            </w:pPr>
            <w:r w:rsidRPr="009B3975">
              <w:rPr>
                <w:rFonts w:cs="Times New Roman"/>
                <w:color w:val="000000"/>
                <w:sz w:val="20"/>
                <w:szCs w:val="20"/>
              </w:rPr>
              <w:t>Trained and certified in HCM module</w:t>
            </w:r>
          </w:p>
        </w:tc>
      </w:tr>
      <w:tr w:rsidR="008A7A54" w:rsidRPr="009B3975" w14:paraId="7354A04B" w14:textId="77777777" w:rsidTr="00D312E8">
        <w:trPr>
          <w:trHeight w:val="300"/>
        </w:trPr>
        <w:tc>
          <w:tcPr>
            <w:tcW w:w="715" w:type="dxa"/>
            <w:noWrap/>
          </w:tcPr>
          <w:p w14:paraId="71E1EEFA" w14:textId="77777777" w:rsidR="008A7A54" w:rsidRPr="00AB6D00" w:rsidRDefault="008A7A54" w:rsidP="008A7A54">
            <w:pPr>
              <w:pStyle w:val="ListParagraph"/>
              <w:numPr>
                <w:ilvl w:val="0"/>
                <w:numId w:val="19"/>
              </w:numPr>
              <w:jc w:val="center"/>
              <w:rPr>
                <w:rFonts w:cs="Times New Roman"/>
                <w:b/>
                <w:bCs/>
                <w:color w:val="000000"/>
                <w:sz w:val="20"/>
                <w:szCs w:val="20"/>
              </w:rPr>
            </w:pPr>
          </w:p>
        </w:tc>
        <w:tc>
          <w:tcPr>
            <w:tcW w:w="2671" w:type="dxa"/>
            <w:noWrap/>
          </w:tcPr>
          <w:p w14:paraId="0399EF33" w14:textId="77777777" w:rsidR="008A7A54" w:rsidRPr="009B3975" w:rsidRDefault="008A7A54" w:rsidP="008A7A54">
            <w:pPr>
              <w:rPr>
                <w:rFonts w:cs="Times New Roman"/>
                <w:color w:val="000000"/>
                <w:sz w:val="20"/>
                <w:szCs w:val="20"/>
              </w:rPr>
            </w:pPr>
            <w:r w:rsidRPr="009B3975">
              <w:rPr>
                <w:rFonts w:cs="Times New Roman"/>
                <w:color w:val="000000"/>
                <w:sz w:val="20"/>
                <w:szCs w:val="20"/>
              </w:rPr>
              <w:t xml:space="preserve">Ali </w:t>
            </w:r>
            <w:proofErr w:type="spellStart"/>
            <w:r w:rsidRPr="009B3975">
              <w:rPr>
                <w:rFonts w:cs="Times New Roman"/>
                <w:color w:val="000000"/>
                <w:sz w:val="20"/>
                <w:szCs w:val="20"/>
              </w:rPr>
              <w:t>Irufan</w:t>
            </w:r>
            <w:proofErr w:type="spellEnd"/>
          </w:p>
        </w:tc>
        <w:tc>
          <w:tcPr>
            <w:tcW w:w="1800" w:type="dxa"/>
            <w:noWrap/>
          </w:tcPr>
          <w:p w14:paraId="437A2D1A" w14:textId="77777777" w:rsidR="008A7A54" w:rsidRPr="009B3975" w:rsidRDefault="008A7A54" w:rsidP="008A7A54">
            <w:pPr>
              <w:rPr>
                <w:rFonts w:cs="Times New Roman"/>
                <w:color w:val="000000"/>
                <w:sz w:val="20"/>
                <w:szCs w:val="20"/>
              </w:rPr>
            </w:pPr>
            <w:r w:rsidRPr="009B3975">
              <w:rPr>
                <w:rFonts w:cs="Times New Roman"/>
                <w:color w:val="000000"/>
                <w:sz w:val="20"/>
                <w:szCs w:val="20"/>
              </w:rPr>
              <w:t>MM Associate</w:t>
            </w:r>
          </w:p>
        </w:tc>
        <w:tc>
          <w:tcPr>
            <w:tcW w:w="1975" w:type="dxa"/>
            <w:noWrap/>
          </w:tcPr>
          <w:p w14:paraId="4121136A" w14:textId="3B2A96E6" w:rsidR="008A7A54" w:rsidRPr="009B3975" w:rsidRDefault="008A7A54" w:rsidP="008A7A54">
            <w:pPr>
              <w:rPr>
                <w:rFonts w:cs="Times New Roman"/>
                <w:color w:val="000000"/>
                <w:sz w:val="20"/>
                <w:szCs w:val="20"/>
              </w:rPr>
            </w:pPr>
            <w:r w:rsidRPr="00C8451A">
              <w:rPr>
                <w:rFonts w:cs="Times New Roman"/>
                <w:color w:val="000000"/>
                <w:sz w:val="20"/>
                <w:szCs w:val="20"/>
              </w:rPr>
              <w:t>Financial Controller</w:t>
            </w:r>
          </w:p>
        </w:tc>
        <w:tc>
          <w:tcPr>
            <w:tcW w:w="2194" w:type="dxa"/>
            <w:noWrap/>
          </w:tcPr>
          <w:p w14:paraId="2CF2A299" w14:textId="77777777" w:rsidR="008A7A54" w:rsidRPr="009B3975" w:rsidRDefault="008A7A54" w:rsidP="008A7A54">
            <w:pPr>
              <w:rPr>
                <w:rFonts w:cs="Times New Roman"/>
                <w:color w:val="000000"/>
                <w:sz w:val="20"/>
                <w:szCs w:val="20"/>
              </w:rPr>
            </w:pPr>
            <w:r w:rsidRPr="009B3975">
              <w:rPr>
                <w:rFonts w:cs="Times New Roman"/>
                <w:color w:val="000000"/>
                <w:sz w:val="20"/>
                <w:szCs w:val="20"/>
              </w:rPr>
              <w:t>Trained and certified in MM module</w:t>
            </w:r>
          </w:p>
        </w:tc>
      </w:tr>
      <w:tr w:rsidR="008A7A54" w:rsidRPr="009B3975" w14:paraId="4C50F4A0" w14:textId="77777777" w:rsidTr="00D312E8">
        <w:trPr>
          <w:trHeight w:val="300"/>
        </w:trPr>
        <w:tc>
          <w:tcPr>
            <w:tcW w:w="715" w:type="dxa"/>
            <w:noWrap/>
          </w:tcPr>
          <w:p w14:paraId="10965FD9" w14:textId="77777777" w:rsidR="008A7A54" w:rsidRPr="00AB6D00" w:rsidRDefault="008A7A54" w:rsidP="008A7A54">
            <w:pPr>
              <w:pStyle w:val="ListParagraph"/>
              <w:numPr>
                <w:ilvl w:val="0"/>
                <w:numId w:val="19"/>
              </w:numPr>
              <w:jc w:val="center"/>
              <w:rPr>
                <w:rFonts w:cs="Times New Roman"/>
                <w:b/>
                <w:bCs/>
                <w:color w:val="000000"/>
                <w:sz w:val="20"/>
                <w:szCs w:val="20"/>
              </w:rPr>
            </w:pPr>
          </w:p>
        </w:tc>
        <w:tc>
          <w:tcPr>
            <w:tcW w:w="2671" w:type="dxa"/>
            <w:noWrap/>
          </w:tcPr>
          <w:p w14:paraId="73E7D262" w14:textId="77777777" w:rsidR="008A7A54" w:rsidRPr="009B3975" w:rsidRDefault="008A7A54" w:rsidP="008A7A54">
            <w:pPr>
              <w:rPr>
                <w:rFonts w:cs="Times New Roman"/>
                <w:color w:val="000000"/>
                <w:sz w:val="20"/>
                <w:szCs w:val="20"/>
              </w:rPr>
            </w:pPr>
            <w:proofErr w:type="spellStart"/>
            <w:r w:rsidRPr="009B3975">
              <w:rPr>
                <w:rFonts w:cs="Times New Roman"/>
                <w:color w:val="000000"/>
                <w:sz w:val="20"/>
                <w:szCs w:val="20"/>
              </w:rPr>
              <w:t>Zumra</w:t>
            </w:r>
            <w:proofErr w:type="spellEnd"/>
            <w:r w:rsidRPr="009B3975">
              <w:rPr>
                <w:rFonts w:cs="Times New Roman"/>
                <w:color w:val="000000"/>
                <w:sz w:val="20"/>
                <w:szCs w:val="20"/>
              </w:rPr>
              <w:t xml:space="preserve"> Ahmed</w:t>
            </w:r>
          </w:p>
        </w:tc>
        <w:tc>
          <w:tcPr>
            <w:tcW w:w="1800" w:type="dxa"/>
            <w:noWrap/>
          </w:tcPr>
          <w:p w14:paraId="1F7EEF8B" w14:textId="77777777" w:rsidR="008A7A54" w:rsidRPr="009B3975" w:rsidRDefault="008A7A54" w:rsidP="008A7A54">
            <w:pPr>
              <w:rPr>
                <w:rFonts w:cs="Times New Roman"/>
                <w:color w:val="000000"/>
                <w:sz w:val="20"/>
                <w:szCs w:val="20"/>
              </w:rPr>
            </w:pPr>
            <w:r w:rsidRPr="009B3975">
              <w:rPr>
                <w:rFonts w:cs="Times New Roman"/>
                <w:color w:val="000000"/>
                <w:sz w:val="20"/>
                <w:szCs w:val="20"/>
              </w:rPr>
              <w:t>FICO Associate</w:t>
            </w:r>
          </w:p>
        </w:tc>
        <w:tc>
          <w:tcPr>
            <w:tcW w:w="1975" w:type="dxa"/>
            <w:noWrap/>
          </w:tcPr>
          <w:p w14:paraId="63B85760" w14:textId="4EF938F3" w:rsidR="008A7A54" w:rsidRPr="009B3975" w:rsidRDefault="008A7A54" w:rsidP="008A7A54">
            <w:pPr>
              <w:rPr>
                <w:rFonts w:cs="Times New Roman"/>
                <w:color w:val="000000"/>
                <w:sz w:val="20"/>
                <w:szCs w:val="20"/>
              </w:rPr>
            </w:pPr>
            <w:r w:rsidRPr="00C8451A">
              <w:rPr>
                <w:rFonts w:cs="Times New Roman"/>
                <w:color w:val="000000"/>
                <w:sz w:val="20"/>
                <w:szCs w:val="20"/>
              </w:rPr>
              <w:t>Financial Controller</w:t>
            </w:r>
          </w:p>
        </w:tc>
        <w:tc>
          <w:tcPr>
            <w:tcW w:w="2194" w:type="dxa"/>
            <w:noWrap/>
          </w:tcPr>
          <w:p w14:paraId="31FCDA56" w14:textId="77777777" w:rsidR="008A7A54" w:rsidRPr="009B3975" w:rsidRDefault="008A7A54" w:rsidP="008A7A54">
            <w:pPr>
              <w:rPr>
                <w:rFonts w:cs="Times New Roman"/>
                <w:color w:val="000000"/>
                <w:sz w:val="20"/>
                <w:szCs w:val="20"/>
              </w:rPr>
            </w:pPr>
            <w:r w:rsidRPr="009B3975">
              <w:rPr>
                <w:rFonts w:cs="Times New Roman"/>
                <w:color w:val="000000"/>
                <w:sz w:val="20"/>
                <w:szCs w:val="20"/>
              </w:rPr>
              <w:t>Trained and certified in FI module</w:t>
            </w:r>
          </w:p>
        </w:tc>
      </w:tr>
      <w:tr w:rsidR="008A7A54" w:rsidRPr="009B3975" w14:paraId="67E3FCB9" w14:textId="77777777" w:rsidTr="00D312E8">
        <w:trPr>
          <w:trHeight w:val="300"/>
        </w:trPr>
        <w:tc>
          <w:tcPr>
            <w:tcW w:w="715" w:type="dxa"/>
            <w:noWrap/>
            <w:hideMark/>
          </w:tcPr>
          <w:p w14:paraId="58C580BB" w14:textId="77777777" w:rsidR="008A7A54" w:rsidRPr="00AB6D00" w:rsidRDefault="008A7A54" w:rsidP="008A7A54">
            <w:pPr>
              <w:pStyle w:val="ListParagraph"/>
              <w:numPr>
                <w:ilvl w:val="0"/>
                <w:numId w:val="19"/>
              </w:numPr>
              <w:jc w:val="center"/>
              <w:rPr>
                <w:rFonts w:cs="Times New Roman"/>
                <w:b/>
                <w:bCs/>
                <w:color w:val="000000"/>
                <w:sz w:val="20"/>
                <w:szCs w:val="20"/>
              </w:rPr>
            </w:pPr>
          </w:p>
        </w:tc>
        <w:tc>
          <w:tcPr>
            <w:tcW w:w="2671" w:type="dxa"/>
            <w:noWrap/>
            <w:hideMark/>
          </w:tcPr>
          <w:p w14:paraId="2BE86146" w14:textId="77777777" w:rsidR="008A7A54" w:rsidRPr="009B3975" w:rsidRDefault="008A7A54" w:rsidP="008A7A54">
            <w:pPr>
              <w:rPr>
                <w:rFonts w:cs="Times New Roman"/>
                <w:color w:val="000000"/>
                <w:sz w:val="20"/>
                <w:szCs w:val="20"/>
              </w:rPr>
            </w:pPr>
            <w:proofErr w:type="spellStart"/>
            <w:r w:rsidRPr="009B3975">
              <w:rPr>
                <w:rFonts w:cs="Times New Roman"/>
                <w:color w:val="000000"/>
                <w:sz w:val="20"/>
                <w:szCs w:val="20"/>
              </w:rPr>
              <w:t>Hawwa</w:t>
            </w:r>
            <w:proofErr w:type="spellEnd"/>
            <w:r w:rsidRPr="009B3975">
              <w:rPr>
                <w:rFonts w:cs="Times New Roman"/>
                <w:color w:val="000000"/>
                <w:sz w:val="20"/>
                <w:szCs w:val="20"/>
              </w:rPr>
              <w:t xml:space="preserve"> </w:t>
            </w:r>
            <w:proofErr w:type="spellStart"/>
            <w:r w:rsidRPr="009B3975">
              <w:rPr>
                <w:rFonts w:cs="Times New Roman"/>
                <w:color w:val="000000"/>
                <w:sz w:val="20"/>
                <w:szCs w:val="20"/>
              </w:rPr>
              <w:t>Fajuwa</w:t>
            </w:r>
            <w:proofErr w:type="spellEnd"/>
          </w:p>
        </w:tc>
        <w:tc>
          <w:tcPr>
            <w:tcW w:w="1800" w:type="dxa"/>
            <w:noWrap/>
            <w:hideMark/>
          </w:tcPr>
          <w:p w14:paraId="0CE87E05" w14:textId="77777777" w:rsidR="008A7A54" w:rsidRPr="009B3975" w:rsidRDefault="008A7A54" w:rsidP="008A7A54">
            <w:pPr>
              <w:rPr>
                <w:rFonts w:cs="Times New Roman"/>
                <w:color w:val="000000"/>
                <w:sz w:val="20"/>
                <w:szCs w:val="20"/>
              </w:rPr>
            </w:pPr>
            <w:r w:rsidRPr="009B3975">
              <w:rPr>
                <w:rFonts w:cs="Times New Roman"/>
                <w:color w:val="000000"/>
                <w:sz w:val="20"/>
                <w:szCs w:val="20"/>
              </w:rPr>
              <w:t>Asset Management Consultant</w:t>
            </w:r>
          </w:p>
        </w:tc>
        <w:tc>
          <w:tcPr>
            <w:tcW w:w="1975" w:type="dxa"/>
            <w:noWrap/>
            <w:hideMark/>
          </w:tcPr>
          <w:p w14:paraId="4E373326" w14:textId="178954BE" w:rsidR="008A7A54" w:rsidRPr="009B3975" w:rsidRDefault="008A7A54" w:rsidP="008A7A54">
            <w:pPr>
              <w:rPr>
                <w:rFonts w:cs="Times New Roman"/>
                <w:color w:val="000000"/>
                <w:sz w:val="20"/>
                <w:szCs w:val="20"/>
              </w:rPr>
            </w:pPr>
            <w:r w:rsidRPr="00C8451A">
              <w:rPr>
                <w:rFonts w:cs="Times New Roman"/>
                <w:color w:val="000000"/>
                <w:sz w:val="20"/>
                <w:szCs w:val="20"/>
              </w:rPr>
              <w:t>Financial Controller</w:t>
            </w:r>
          </w:p>
        </w:tc>
        <w:tc>
          <w:tcPr>
            <w:tcW w:w="2194" w:type="dxa"/>
            <w:noWrap/>
            <w:hideMark/>
          </w:tcPr>
          <w:p w14:paraId="36B20E86" w14:textId="77777777" w:rsidR="008A7A54" w:rsidRPr="009B3975" w:rsidRDefault="008A7A54" w:rsidP="00D312E8">
            <w:pPr>
              <w:jc w:val="center"/>
              <w:rPr>
                <w:rFonts w:cs="Times New Roman"/>
                <w:color w:val="000000"/>
                <w:sz w:val="20"/>
                <w:szCs w:val="20"/>
              </w:rPr>
            </w:pPr>
            <w:r w:rsidRPr="009B3975">
              <w:rPr>
                <w:rFonts w:cs="Times New Roman"/>
                <w:color w:val="000000"/>
                <w:sz w:val="20"/>
                <w:szCs w:val="20"/>
              </w:rPr>
              <w:t>N/A</w:t>
            </w:r>
          </w:p>
        </w:tc>
      </w:tr>
      <w:tr w:rsidR="003F250B" w:rsidRPr="009B3975" w14:paraId="696E792B" w14:textId="77777777" w:rsidTr="00D312E8">
        <w:trPr>
          <w:trHeight w:val="300"/>
        </w:trPr>
        <w:tc>
          <w:tcPr>
            <w:tcW w:w="715" w:type="dxa"/>
            <w:noWrap/>
          </w:tcPr>
          <w:p w14:paraId="30634170"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tcPr>
          <w:p w14:paraId="6AD245AB" w14:textId="77777777" w:rsidR="003F250B" w:rsidRPr="009B3975" w:rsidRDefault="003F250B" w:rsidP="00521992">
            <w:pPr>
              <w:rPr>
                <w:rFonts w:cs="Times New Roman"/>
                <w:color w:val="000000"/>
                <w:sz w:val="20"/>
                <w:szCs w:val="20"/>
              </w:rPr>
            </w:pPr>
            <w:proofErr w:type="spellStart"/>
            <w:r w:rsidRPr="009B3975">
              <w:rPr>
                <w:rFonts w:cs="Times New Roman"/>
                <w:color w:val="000000"/>
                <w:sz w:val="20"/>
                <w:szCs w:val="20"/>
              </w:rPr>
              <w:t>Zunain</w:t>
            </w:r>
            <w:proofErr w:type="spellEnd"/>
            <w:r w:rsidRPr="009B3975">
              <w:rPr>
                <w:rFonts w:cs="Times New Roman"/>
                <w:color w:val="000000"/>
                <w:sz w:val="20"/>
                <w:szCs w:val="20"/>
              </w:rPr>
              <w:t xml:space="preserve"> Shareef</w:t>
            </w:r>
          </w:p>
        </w:tc>
        <w:tc>
          <w:tcPr>
            <w:tcW w:w="1800" w:type="dxa"/>
            <w:noWrap/>
          </w:tcPr>
          <w:p w14:paraId="1FC7A51D" w14:textId="77777777" w:rsidR="003F250B" w:rsidRPr="009B3975" w:rsidRDefault="003F250B" w:rsidP="00521992">
            <w:pPr>
              <w:rPr>
                <w:rFonts w:cs="Times New Roman"/>
                <w:color w:val="000000"/>
                <w:sz w:val="20"/>
                <w:szCs w:val="20"/>
              </w:rPr>
            </w:pPr>
            <w:r w:rsidRPr="009B3975">
              <w:rPr>
                <w:rFonts w:cs="Times New Roman"/>
                <w:color w:val="000000"/>
                <w:sz w:val="20"/>
                <w:szCs w:val="20"/>
              </w:rPr>
              <w:t>BPC Associate</w:t>
            </w:r>
          </w:p>
        </w:tc>
        <w:tc>
          <w:tcPr>
            <w:tcW w:w="1975" w:type="dxa"/>
            <w:noWrap/>
          </w:tcPr>
          <w:p w14:paraId="491603E7" w14:textId="77777777" w:rsidR="003F250B" w:rsidRPr="009B3975" w:rsidRDefault="003F250B" w:rsidP="00521992">
            <w:pPr>
              <w:rPr>
                <w:rFonts w:cs="Times New Roman"/>
                <w:color w:val="000000"/>
                <w:sz w:val="20"/>
                <w:szCs w:val="20"/>
              </w:rPr>
            </w:pPr>
            <w:r w:rsidRPr="009B3975">
              <w:rPr>
                <w:rFonts w:cs="Times New Roman"/>
                <w:color w:val="000000"/>
                <w:sz w:val="20"/>
                <w:szCs w:val="20"/>
              </w:rPr>
              <w:t>Chief Financial Budget Executive (from FAD)</w:t>
            </w:r>
          </w:p>
        </w:tc>
        <w:tc>
          <w:tcPr>
            <w:tcW w:w="2194" w:type="dxa"/>
            <w:noWrap/>
          </w:tcPr>
          <w:p w14:paraId="6CA0A1DC" w14:textId="77777777" w:rsidR="003F250B" w:rsidRPr="009B3975" w:rsidRDefault="003F250B" w:rsidP="00521992">
            <w:pPr>
              <w:rPr>
                <w:rFonts w:cs="Times New Roman"/>
                <w:color w:val="000000"/>
                <w:sz w:val="20"/>
                <w:szCs w:val="20"/>
              </w:rPr>
            </w:pPr>
            <w:r w:rsidRPr="009B3975">
              <w:rPr>
                <w:rFonts w:cs="Times New Roman"/>
                <w:color w:val="000000"/>
                <w:sz w:val="20"/>
                <w:szCs w:val="20"/>
              </w:rPr>
              <w:t>Not trained yet</w:t>
            </w:r>
          </w:p>
        </w:tc>
      </w:tr>
      <w:tr w:rsidR="003F250B" w:rsidRPr="009B3975" w14:paraId="3D73AD82" w14:textId="77777777" w:rsidTr="00D312E8">
        <w:trPr>
          <w:trHeight w:val="300"/>
        </w:trPr>
        <w:tc>
          <w:tcPr>
            <w:tcW w:w="715" w:type="dxa"/>
            <w:noWrap/>
            <w:hideMark/>
          </w:tcPr>
          <w:p w14:paraId="4E2B5763"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hideMark/>
          </w:tcPr>
          <w:p w14:paraId="6FC458F6" w14:textId="77777777" w:rsidR="003F250B" w:rsidRPr="009B3975" w:rsidRDefault="003F250B" w:rsidP="00521992">
            <w:pPr>
              <w:rPr>
                <w:rFonts w:cs="Times New Roman"/>
                <w:color w:val="000000"/>
                <w:sz w:val="20"/>
                <w:szCs w:val="20"/>
              </w:rPr>
            </w:pPr>
            <w:r w:rsidRPr="009B3975">
              <w:rPr>
                <w:rFonts w:cs="Times New Roman"/>
                <w:color w:val="000000"/>
                <w:sz w:val="20"/>
                <w:szCs w:val="20"/>
              </w:rPr>
              <w:t>Mohamed Azad</w:t>
            </w:r>
          </w:p>
        </w:tc>
        <w:tc>
          <w:tcPr>
            <w:tcW w:w="1800" w:type="dxa"/>
            <w:noWrap/>
            <w:hideMark/>
          </w:tcPr>
          <w:p w14:paraId="5A95DA10" w14:textId="77777777" w:rsidR="003F250B" w:rsidRPr="009B3975" w:rsidRDefault="003F250B" w:rsidP="00521992">
            <w:pPr>
              <w:rPr>
                <w:rFonts w:cs="Times New Roman"/>
                <w:color w:val="000000"/>
                <w:sz w:val="20"/>
                <w:szCs w:val="20"/>
              </w:rPr>
            </w:pPr>
            <w:r w:rsidRPr="009B3975">
              <w:rPr>
                <w:rFonts w:cs="Times New Roman"/>
                <w:color w:val="000000"/>
                <w:sz w:val="20"/>
                <w:szCs w:val="20"/>
              </w:rPr>
              <w:t>SOE's Financial Consultant</w:t>
            </w:r>
          </w:p>
        </w:tc>
        <w:tc>
          <w:tcPr>
            <w:tcW w:w="1975" w:type="dxa"/>
            <w:noWrap/>
            <w:hideMark/>
          </w:tcPr>
          <w:p w14:paraId="41DB8C07" w14:textId="77777777" w:rsidR="003F250B" w:rsidRPr="009B3975" w:rsidRDefault="003F250B" w:rsidP="00521992">
            <w:pPr>
              <w:rPr>
                <w:rFonts w:cs="Times New Roman"/>
                <w:color w:val="000000"/>
                <w:sz w:val="20"/>
                <w:szCs w:val="20"/>
              </w:rPr>
            </w:pPr>
            <w:r w:rsidRPr="009B3975">
              <w:rPr>
                <w:rFonts w:cs="Times New Roman"/>
                <w:color w:val="000000"/>
                <w:sz w:val="20"/>
                <w:szCs w:val="20"/>
              </w:rPr>
              <w:t>Secretary General (from PCB)</w:t>
            </w:r>
          </w:p>
        </w:tc>
        <w:tc>
          <w:tcPr>
            <w:tcW w:w="2194" w:type="dxa"/>
            <w:noWrap/>
            <w:hideMark/>
          </w:tcPr>
          <w:p w14:paraId="1E97B7D2" w14:textId="77777777" w:rsidR="003F250B" w:rsidRPr="009B3975" w:rsidRDefault="003F250B" w:rsidP="00D312E8">
            <w:pPr>
              <w:jc w:val="center"/>
              <w:rPr>
                <w:rFonts w:cs="Times New Roman"/>
                <w:color w:val="000000"/>
                <w:sz w:val="20"/>
                <w:szCs w:val="20"/>
              </w:rPr>
            </w:pPr>
            <w:r w:rsidRPr="009B3975">
              <w:rPr>
                <w:rFonts w:cs="Times New Roman"/>
                <w:color w:val="000000"/>
                <w:sz w:val="20"/>
                <w:szCs w:val="20"/>
              </w:rPr>
              <w:t>N/A</w:t>
            </w:r>
          </w:p>
        </w:tc>
      </w:tr>
      <w:tr w:rsidR="003F250B" w:rsidRPr="009B3975" w14:paraId="1949F312" w14:textId="77777777" w:rsidTr="00D312E8">
        <w:trPr>
          <w:trHeight w:val="300"/>
        </w:trPr>
        <w:tc>
          <w:tcPr>
            <w:tcW w:w="715" w:type="dxa"/>
            <w:noWrap/>
            <w:hideMark/>
          </w:tcPr>
          <w:p w14:paraId="19D4333D"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hideMark/>
          </w:tcPr>
          <w:p w14:paraId="7CBE6AEC"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Ahmed </w:t>
            </w:r>
            <w:proofErr w:type="spellStart"/>
            <w:r w:rsidRPr="009B3975">
              <w:rPr>
                <w:rFonts w:cs="Times New Roman"/>
                <w:color w:val="000000"/>
                <w:sz w:val="20"/>
                <w:szCs w:val="20"/>
              </w:rPr>
              <w:t>Zayan</w:t>
            </w:r>
            <w:proofErr w:type="spellEnd"/>
            <w:r w:rsidRPr="009B3975">
              <w:rPr>
                <w:rFonts w:cs="Times New Roman"/>
                <w:color w:val="000000"/>
                <w:sz w:val="20"/>
                <w:szCs w:val="20"/>
              </w:rPr>
              <w:t xml:space="preserve"> Mohamed</w:t>
            </w:r>
          </w:p>
        </w:tc>
        <w:tc>
          <w:tcPr>
            <w:tcW w:w="1800" w:type="dxa"/>
            <w:noWrap/>
            <w:hideMark/>
          </w:tcPr>
          <w:p w14:paraId="3018CFAE" w14:textId="77777777" w:rsidR="003F250B" w:rsidRPr="009B3975" w:rsidRDefault="003F250B" w:rsidP="00521992">
            <w:pPr>
              <w:rPr>
                <w:rFonts w:cs="Times New Roman"/>
                <w:color w:val="000000"/>
                <w:sz w:val="20"/>
                <w:szCs w:val="20"/>
              </w:rPr>
            </w:pPr>
            <w:r w:rsidRPr="009B3975">
              <w:rPr>
                <w:rFonts w:cs="Times New Roman"/>
                <w:color w:val="000000"/>
                <w:sz w:val="20"/>
                <w:szCs w:val="20"/>
              </w:rPr>
              <w:t>Economic and Fiscal Consultant</w:t>
            </w:r>
          </w:p>
        </w:tc>
        <w:tc>
          <w:tcPr>
            <w:tcW w:w="1975" w:type="dxa"/>
            <w:noWrap/>
            <w:hideMark/>
          </w:tcPr>
          <w:p w14:paraId="42E40813" w14:textId="77777777" w:rsidR="003F250B" w:rsidRPr="009B3975" w:rsidRDefault="003F250B" w:rsidP="00521992">
            <w:pPr>
              <w:rPr>
                <w:rFonts w:cs="Times New Roman"/>
                <w:color w:val="000000"/>
                <w:sz w:val="20"/>
                <w:szCs w:val="20"/>
              </w:rPr>
            </w:pPr>
            <w:r w:rsidRPr="009B3975">
              <w:rPr>
                <w:rFonts w:cs="Times New Roman"/>
                <w:color w:val="000000"/>
                <w:sz w:val="20"/>
                <w:szCs w:val="20"/>
              </w:rPr>
              <w:t>Chief Financial Budget Executive (from FAD)</w:t>
            </w:r>
          </w:p>
        </w:tc>
        <w:tc>
          <w:tcPr>
            <w:tcW w:w="2194" w:type="dxa"/>
            <w:noWrap/>
            <w:hideMark/>
          </w:tcPr>
          <w:p w14:paraId="41168DC7" w14:textId="77777777" w:rsidR="003F250B" w:rsidRPr="009B3975" w:rsidRDefault="003F250B" w:rsidP="00D312E8">
            <w:pPr>
              <w:jc w:val="center"/>
              <w:rPr>
                <w:rFonts w:cs="Times New Roman"/>
                <w:color w:val="000000"/>
                <w:sz w:val="20"/>
                <w:szCs w:val="20"/>
              </w:rPr>
            </w:pPr>
            <w:r w:rsidRPr="009B3975">
              <w:rPr>
                <w:rFonts w:cs="Times New Roman"/>
                <w:color w:val="000000"/>
                <w:sz w:val="20"/>
                <w:szCs w:val="20"/>
              </w:rPr>
              <w:t>N/A</w:t>
            </w:r>
          </w:p>
        </w:tc>
      </w:tr>
      <w:tr w:rsidR="003F250B" w:rsidRPr="009B3975" w14:paraId="1A807914" w14:textId="77777777" w:rsidTr="00D312E8">
        <w:trPr>
          <w:trHeight w:val="300"/>
        </w:trPr>
        <w:tc>
          <w:tcPr>
            <w:tcW w:w="715" w:type="dxa"/>
            <w:noWrap/>
            <w:hideMark/>
          </w:tcPr>
          <w:p w14:paraId="44FEC2F8" w14:textId="77777777" w:rsidR="003F250B" w:rsidRPr="00AB6D00" w:rsidRDefault="003F250B" w:rsidP="003F250B">
            <w:pPr>
              <w:pStyle w:val="ListParagraph"/>
              <w:numPr>
                <w:ilvl w:val="0"/>
                <w:numId w:val="19"/>
              </w:numPr>
              <w:jc w:val="center"/>
              <w:rPr>
                <w:rFonts w:cs="Times New Roman"/>
                <w:b/>
                <w:bCs/>
                <w:color w:val="000000"/>
                <w:sz w:val="20"/>
                <w:szCs w:val="20"/>
              </w:rPr>
            </w:pPr>
          </w:p>
        </w:tc>
        <w:tc>
          <w:tcPr>
            <w:tcW w:w="2671" w:type="dxa"/>
            <w:noWrap/>
            <w:hideMark/>
          </w:tcPr>
          <w:p w14:paraId="7C8A7E3B" w14:textId="77777777" w:rsidR="003F250B" w:rsidRPr="009B3975" w:rsidRDefault="003F250B" w:rsidP="00521992">
            <w:pPr>
              <w:rPr>
                <w:rFonts w:cs="Times New Roman"/>
                <w:color w:val="000000"/>
                <w:sz w:val="20"/>
                <w:szCs w:val="20"/>
              </w:rPr>
            </w:pPr>
            <w:r w:rsidRPr="009B3975">
              <w:rPr>
                <w:rFonts w:cs="Times New Roman"/>
                <w:color w:val="000000"/>
                <w:sz w:val="20"/>
                <w:szCs w:val="20"/>
              </w:rPr>
              <w:t xml:space="preserve">Hany </w:t>
            </w:r>
            <w:proofErr w:type="spellStart"/>
            <w:r w:rsidRPr="009B3975">
              <w:rPr>
                <w:rFonts w:cs="Times New Roman"/>
                <w:color w:val="000000"/>
                <w:sz w:val="20"/>
                <w:szCs w:val="20"/>
              </w:rPr>
              <w:t>Nasyr</w:t>
            </w:r>
            <w:proofErr w:type="spellEnd"/>
          </w:p>
        </w:tc>
        <w:tc>
          <w:tcPr>
            <w:tcW w:w="1800" w:type="dxa"/>
            <w:noWrap/>
            <w:hideMark/>
          </w:tcPr>
          <w:p w14:paraId="68198AFA" w14:textId="77777777" w:rsidR="003F250B" w:rsidRPr="009B3975" w:rsidRDefault="003F250B" w:rsidP="00521992">
            <w:pPr>
              <w:rPr>
                <w:rFonts w:cs="Times New Roman"/>
                <w:color w:val="000000"/>
                <w:sz w:val="20"/>
                <w:szCs w:val="20"/>
              </w:rPr>
            </w:pPr>
            <w:r w:rsidRPr="009B3975">
              <w:rPr>
                <w:rFonts w:cs="Times New Roman"/>
                <w:color w:val="000000"/>
                <w:sz w:val="20"/>
                <w:szCs w:val="20"/>
              </w:rPr>
              <w:t>ICT Consultant</w:t>
            </w:r>
          </w:p>
        </w:tc>
        <w:tc>
          <w:tcPr>
            <w:tcW w:w="1975" w:type="dxa"/>
            <w:noWrap/>
            <w:hideMark/>
          </w:tcPr>
          <w:p w14:paraId="36F5883D" w14:textId="77777777" w:rsidR="003F250B" w:rsidRPr="009B3975" w:rsidRDefault="003F250B" w:rsidP="00521992">
            <w:pPr>
              <w:rPr>
                <w:rFonts w:cs="Times New Roman"/>
                <w:color w:val="000000"/>
                <w:sz w:val="20"/>
                <w:szCs w:val="20"/>
              </w:rPr>
            </w:pPr>
            <w:r w:rsidRPr="009B3975">
              <w:rPr>
                <w:rFonts w:cs="Times New Roman"/>
                <w:color w:val="000000"/>
                <w:sz w:val="20"/>
                <w:szCs w:val="20"/>
              </w:rPr>
              <w:t>Project Director</w:t>
            </w:r>
          </w:p>
        </w:tc>
        <w:tc>
          <w:tcPr>
            <w:tcW w:w="2194" w:type="dxa"/>
            <w:noWrap/>
            <w:hideMark/>
          </w:tcPr>
          <w:p w14:paraId="047869D3" w14:textId="77777777" w:rsidR="003F250B" w:rsidRPr="009B3975" w:rsidRDefault="003F250B" w:rsidP="00D312E8">
            <w:pPr>
              <w:jc w:val="center"/>
              <w:rPr>
                <w:rFonts w:cs="Times New Roman"/>
                <w:color w:val="000000"/>
                <w:sz w:val="20"/>
                <w:szCs w:val="20"/>
              </w:rPr>
            </w:pPr>
            <w:r w:rsidRPr="009B3975">
              <w:rPr>
                <w:rFonts w:cs="Times New Roman"/>
                <w:color w:val="000000"/>
                <w:sz w:val="20"/>
                <w:szCs w:val="20"/>
              </w:rPr>
              <w:t>N/A</w:t>
            </w:r>
          </w:p>
        </w:tc>
      </w:tr>
      <w:tr w:rsidR="003F250B" w:rsidRPr="009B3975" w14:paraId="5369FE7C" w14:textId="77777777" w:rsidTr="00D312E8">
        <w:trPr>
          <w:trHeight w:val="60"/>
        </w:trPr>
        <w:tc>
          <w:tcPr>
            <w:tcW w:w="715" w:type="dxa"/>
            <w:noWrap/>
            <w:hideMark/>
          </w:tcPr>
          <w:p w14:paraId="4DB1BB4C" w14:textId="77777777" w:rsidR="003F250B" w:rsidRPr="00AB6D00" w:rsidRDefault="003F250B" w:rsidP="003F250B">
            <w:pPr>
              <w:pStyle w:val="ListParagraph"/>
              <w:numPr>
                <w:ilvl w:val="0"/>
                <w:numId w:val="19"/>
              </w:numPr>
              <w:jc w:val="center"/>
              <w:rPr>
                <w:rFonts w:cs="Times New Roman"/>
                <w:b/>
                <w:bCs/>
                <w:color w:val="7F7F7F"/>
                <w:sz w:val="20"/>
                <w:szCs w:val="20"/>
              </w:rPr>
            </w:pPr>
          </w:p>
        </w:tc>
        <w:tc>
          <w:tcPr>
            <w:tcW w:w="2671" w:type="dxa"/>
            <w:noWrap/>
            <w:hideMark/>
          </w:tcPr>
          <w:p w14:paraId="366B33F1" w14:textId="77777777" w:rsidR="003F250B" w:rsidRPr="00AB6D00" w:rsidRDefault="003F250B" w:rsidP="00521992">
            <w:pPr>
              <w:rPr>
                <w:rFonts w:cs="Times New Roman"/>
                <w:color w:val="0070C0"/>
                <w:sz w:val="20"/>
                <w:szCs w:val="20"/>
              </w:rPr>
            </w:pPr>
            <w:r w:rsidRPr="00AB6D00">
              <w:rPr>
                <w:rFonts w:cs="Times New Roman"/>
                <w:color w:val="0070C0"/>
                <w:sz w:val="20"/>
                <w:szCs w:val="20"/>
              </w:rPr>
              <w:t>To be hired</w:t>
            </w:r>
          </w:p>
        </w:tc>
        <w:tc>
          <w:tcPr>
            <w:tcW w:w="1800" w:type="dxa"/>
            <w:noWrap/>
            <w:hideMark/>
          </w:tcPr>
          <w:p w14:paraId="49B47C84" w14:textId="77777777" w:rsidR="003F250B" w:rsidRPr="009B3975" w:rsidRDefault="003F250B" w:rsidP="00521992">
            <w:pPr>
              <w:rPr>
                <w:rFonts w:cs="Times New Roman"/>
                <w:color w:val="7F7F7F"/>
                <w:sz w:val="20"/>
                <w:szCs w:val="20"/>
              </w:rPr>
            </w:pPr>
            <w:r w:rsidRPr="009B3975">
              <w:rPr>
                <w:rFonts w:cs="Times New Roman"/>
                <w:color w:val="7F7F7F"/>
                <w:sz w:val="20"/>
                <w:szCs w:val="20"/>
              </w:rPr>
              <w:t>Internal Audit Specialist</w:t>
            </w:r>
          </w:p>
        </w:tc>
        <w:tc>
          <w:tcPr>
            <w:tcW w:w="1975" w:type="dxa"/>
            <w:noWrap/>
            <w:hideMark/>
          </w:tcPr>
          <w:p w14:paraId="2C19B73C" w14:textId="77777777" w:rsidR="003F250B" w:rsidRPr="009B3975" w:rsidRDefault="003F250B" w:rsidP="00521992">
            <w:pPr>
              <w:rPr>
                <w:rFonts w:cs="Times New Roman"/>
                <w:color w:val="7F7F7F"/>
                <w:sz w:val="20"/>
                <w:szCs w:val="20"/>
              </w:rPr>
            </w:pPr>
            <w:r w:rsidRPr="009B3975">
              <w:rPr>
                <w:rFonts w:cs="Times New Roman"/>
                <w:color w:val="7F7F7F"/>
                <w:sz w:val="20"/>
                <w:szCs w:val="20"/>
              </w:rPr>
              <w:t>Chief Internal Auditor</w:t>
            </w:r>
          </w:p>
        </w:tc>
        <w:tc>
          <w:tcPr>
            <w:tcW w:w="2194" w:type="dxa"/>
            <w:noWrap/>
            <w:hideMark/>
          </w:tcPr>
          <w:p w14:paraId="7197461F" w14:textId="77777777" w:rsidR="003F250B" w:rsidRPr="009B3975" w:rsidRDefault="003F250B" w:rsidP="00D312E8">
            <w:pPr>
              <w:jc w:val="center"/>
              <w:rPr>
                <w:rFonts w:cs="Times New Roman"/>
                <w:color w:val="7F7F7F"/>
                <w:sz w:val="20"/>
                <w:szCs w:val="20"/>
              </w:rPr>
            </w:pPr>
            <w:r w:rsidRPr="009B3975">
              <w:rPr>
                <w:rFonts w:cs="Times New Roman"/>
                <w:color w:val="7F7F7F"/>
                <w:sz w:val="20"/>
                <w:szCs w:val="20"/>
              </w:rPr>
              <w:t>N/A</w:t>
            </w:r>
          </w:p>
        </w:tc>
      </w:tr>
      <w:tr w:rsidR="003F250B" w:rsidRPr="009B3975" w14:paraId="1B86B69A" w14:textId="77777777" w:rsidTr="00D312E8">
        <w:trPr>
          <w:trHeight w:val="300"/>
        </w:trPr>
        <w:tc>
          <w:tcPr>
            <w:tcW w:w="715" w:type="dxa"/>
            <w:noWrap/>
            <w:hideMark/>
          </w:tcPr>
          <w:p w14:paraId="2454B231" w14:textId="77777777" w:rsidR="003F250B" w:rsidRPr="00AB6D00" w:rsidRDefault="003F250B" w:rsidP="003F250B">
            <w:pPr>
              <w:pStyle w:val="ListParagraph"/>
              <w:numPr>
                <w:ilvl w:val="0"/>
                <w:numId w:val="19"/>
              </w:numPr>
              <w:jc w:val="center"/>
              <w:rPr>
                <w:rFonts w:cs="Times New Roman"/>
                <w:b/>
                <w:bCs/>
                <w:color w:val="7F7F7F"/>
                <w:sz w:val="20"/>
                <w:szCs w:val="20"/>
              </w:rPr>
            </w:pPr>
          </w:p>
        </w:tc>
        <w:tc>
          <w:tcPr>
            <w:tcW w:w="2671" w:type="dxa"/>
            <w:noWrap/>
            <w:hideMark/>
          </w:tcPr>
          <w:p w14:paraId="6044BECA" w14:textId="77777777" w:rsidR="003F250B" w:rsidRPr="00AB6D00" w:rsidRDefault="003F250B" w:rsidP="00521992">
            <w:pPr>
              <w:rPr>
                <w:rFonts w:cs="Times New Roman"/>
                <w:color w:val="0070C0"/>
                <w:sz w:val="20"/>
                <w:szCs w:val="20"/>
              </w:rPr>
            </w:pPr>
            <w:r w:rsidRPr="00AB6D00">
              <w:rPr>
                <w:rFonts w:cs="Times New Roman"/>
                <w:color w:val="0070C0"/>
                <w:sz w:val="20"/>
                <w:szCs w:val="20"/>
              </w:rPr>
              <w:t>To be hired</w:t>
            </w:r>
          </w:p>
        </w:tc>
        <w:tc>
          <w:tcPr>
            <w:tcW w:w="1800" w:type="dxa"/>
            <w:noWrap/>
            <w:hideMark/>
          </w:tcPr>
          <w:p w14:paraId="4858460A" w14:textId="77777777" w:rsidR="003F250B" w:rsidRPr="009B3975" w:rsidRDefault="003F250B" w:rsidP="00521992">
            <w:pPr>
              <w:rPr>
                <w:rFonts w:cs="Times New Roman"/>
                <w:color w:val="7F7F7F"/>
                <w:sz w:val="20"/>
                <w:szCs w:val="20"/>
              </w:rPr>
            </w:pPr>
            <w:r w:rsidRPr="009B3975">
              <w:rPr>
                <w:rFonts w:cs="Times New Roman"/>
                <w:color w:val="7F7F7F"/>
                <w:sz w:val="20"/>
                <w:szCs w:val="20"/>
              </w:rPr>
              <w:t>RMDMD Consultant</w:t>
            </w:r>
          </w:p>
        </w:tc>
        <w:tc>
          <w:tcPr>
            <w:tcW w:w="1975" w:type="dxa"/>
            <w:noWrap/>
            <w:hideMark/>
          </w:tcPr>
          <w:p w14:paraId="7D83D4BB" w14:textId="77777777" w:rsidR="003F250B" w:rsidRPr="009B3975" w:rsidRDefault="003F250B" w:rsidP="00521992">
            <w:pPr>
              <w:rPr>
                <w:rFonts w:cs="Times New Roman"/>
                <w:color w:val="7F7F7F"/>
                <w:sz w:val="20"/>
                <w:szCs w:val="20"/>
              </w:rPr>
            </w:pPr>
            <w:r w:rsidRPr="009B3975">
              <w:rPr>
                <w:rFonts w:cs="Times New Roman"/>
                <w:color w:val="7F7F7F"/>
                <w:sz w:val="20"/>
                <w:szCs w:val="20"/>
              </w:rPr>
              <w:t>Chief RMDM Executive</w:t>
            </w:r>
          </w:p>
        </w:tc>
        <w:tc>
          <w:tcPr>
            <w:tcW w:w="2194" w:type="dxa"/>
            <w:noWrap/>
            <w:hideMark/>
          </w:tcPr>
          <w:p w14:paraId="458507BD" w14:textId="77777777" w:rsidR="003F250B" w:rsidRPr="009B3975" w:rsidRDefault="003F250B" w:rsidP="00D312E8">
            <w:pPr>
              <w:jc w:val="center"/>
              <w:rPr>
                <w:rFonts w:cs="Times New Roman"/>
                <w:color w:val="7F7F7F"/>
                <w:sz w:val="20"/>
                <w:szCs w:val="20"/>
              </w:rPr>
            </w:pPr>
            <w:r w:rsidRPr="009B3975">
              <w:rPr>
                <w:rFonts w:cs="Times New Roman"/>
                <w:color w:val="7F7F7F"/>
                <w:sz w:val="20"/>
                <w:szCs w:val="20"/>
              </w:rPr>
              <w:t>N/A</w:t>
            </w:r>
          </w:p>
        </w:tc>
      </w:tr>
    </w:tbl>
    <w:p w14:paraId="5BE5D941" w14:textId="5EFBA387" w:rsidR="00A23562" w:rsidRDefault="007B154B" w:rsidP="007B154B">
      <w:pPr>
        <w:rPr>
          <w:rFonts w:cs="Times New Roman"/>
          <w:color w:val="000000"/>
          <w:sz w:val="20"/>
          <w:szCs w:val="20"/>
        </w:rPr>
      </w:pPr>
      <w:r w:rsidRPr="007B154B">
        <w:rPr>
          <w:rFonts w:cs="Times New Roman"/>
          <w:color w:val="000000"/>
          <w:sz w:val="20"/>
          <w:szCs w:val="20"/>
        </w:rPr>
        <w:t>Note: In addition to the above, 3 staff were trained and certified in BPC in 2017</w:t>
      </w:r>
    </w:p>
    <w:p w14:paraId="00F7AFDE" w14:textId="77777777" w:rsidR="00E61EB2" w:rsidRPr="009C5968" w:rsidRDefault="00E61EB2" w:rsidP="00E61EB2">
      <w:pPr>
        <w:rPr>
          <w:b/>
        </w:rPr>
      </w:pPr>
      <w:r>
        <w:rPr>
          <w:b/>
        </w:rPr>
        <w:t>Annex 6: R</w:t>
      </w:r>
      <w:r w:rsidRPr="009C5968">
        <w:rPr>
          <w:b/>
        </w:rPr>
        <w:t xml:space="preserve">elevant links of published documents  </w:t>
      </w:r>
    </w:p>
    <w:p w14:paraId="3922923E" w14:textId="77777777" w:rsidR="00E61EB2" w:rsidRDefault="00E61EB2" w:rsidP="00E61EB2">
      <w:pPr>
        <w:pStyle w:val="ListParagraph"/>
        <w:numPr>
          <w:ilvl w:val="0"/>
          <w:numId w:val="17"/>
        </w:numPr>
        <w:spacing w:after="0" w:line="240" w:lineRule="auto"/>
        <w:contextualSpacing w:val="0"/>
        <w:rPr>
          <w:color w:val="1F497D"/>
        </w:rPr>
      </w:pPr>
      <w:r w:rsidRPr="009C5968">
        <w:t xml:space="preserve">NPC Job Families – </w:t>
      </w:r>
      <w:hyperlink r:id="rId44" w:history="1">
        <w:r>
          <w:rPr>
            <w:rStyle w:val="Hyperlink"/>
          </w:rPr>
          <w:t>http://www.finance.gov.mv/public/attachments/liK2STjDDjEPyPQ8Ts0CQFHY95e4fo3SeGlTAhK6.pdf</w:t>
        </w:r>
      </w:hyperlink>
    </w:p>
    <w:p w14:paraId="7E513002" w14:textId="77777777" w:rsidR="00E61EB2" w:rsidRDefault="00E61EB2" w:rsidP="00E61EB2">
      <w:pPr>
        <w:pStyle w:val="ListParagraph"/>
        <w:numPr>
          <w:ilvl w:val="0"/>
          <w:numId w:val="17"/>
        </w:numPr>
        <w:spacing w:after="0" w:line="240" w:lineRule="auto"/>
        <w:contextualSpacing w:val="0"/>
        <w:rPr>
          <w:color w:val="1F497D"/>
        </w:rPr>
      </w:pPr>
      <w:r w:rsidRPr="009C5968">
        <w:t xml:space="preserve">NPC Job Classification – </w:t>
      </w:r>
      <w:hyperlink r:id="rId45" w:history="1">
        <w:r>
          <w:rPr>
            <w:rStyle w:val="Hyperlink"/>
          </w:rPr>
          <w:t>http://www.finance.gov.mv/public/attachments/CmRig4sPYGArlG5MrDV6TQSbCT5oJXz77gytmCBG.pdf</w:t>
        </w:r>
      </w:hyperlink>
    </w:p>
    <w:p w14:paraId="0BABC014" w14:textId="77777777" w:rsidR="00E61EB2" w:rsidRDefault="00E61EB2" w:rsidP="00E61EB2">
      <w:pPr>
        <w:pStyle w:val="ListParagraph"/>
        <w:numPr>
          <w:ilvl w:val="0"/>
          <w:numId w:val="17"/>
        </w:numPr>
        <w:spacing w:after="0" w:line="240" w:lineRule="auto"/>
        <w:contextualSpacing w:val="0"/>
        <w:rPr>
          <w:color w:val="1F497D"/>
        </w:rPr>
      </w:pPr>
      <w:r w:rsidRPr="009C5968">
        <w:t xml:space="preserve">SOE Gateway – </w:t>
      </w:r>
      <w:hyperlink r:id="rId46" w:history="1">
        <w:r>
          <w:rPr>
            <w:rStyle w:val="Hyperlink"/>
          </w:rPr>
          <w:t>https://soegateway.egov.mv</w:t>
        </w:r>
      </w:hyperlink>
      <w:r>
        <w:rPr>
          <w:color w:val="1F497D"/>
        </w:rPr>
        <w:t xml:space="preserve"> </w:t>
      </w:r>
    </w:p>
    <w:p w14:paraId="56F482C6" w14:textId="77777777" w:rsidR="00E61EB2" w:rsidRDefault="00E61EB2" w:rsidP="00E61EB2">
      <w:pPr>
        <w:pStyle w:val="ListParagraph"/>
        <w:numPr>
          <w:ilvl w:val="0"/>
          <w:numId w:val="17"/>
        </w:numPr>
        <w:spacing w:after="0" w:line="240" w:lineRule="auto"/>
        <w:contextualSpacing w:val="0"/>
        <w:rPr>
          <w:color w:val="1F497D"/>
        </w:rPr>
      </w:pPr>
      <w:r w:rsidRPr="009C5968">
        <w:t xml:space="preserve">Budget related documents - </w:t>
      </w:r>
      <w:hyperlink r:id="rId47" w:history="1">
        <w:r>
          <w:rPr>
            <w:rStyle w:val="Hyperlink"/>
          </w:rPr>
          <w:t>http://www.finance.gov.mv/public-finance/national-budget</w:t>
        </w:r>
      </w:hyperlink>
      <w:r>
        <w:rPr>
          <w:color w:val="1F497D"/>
        </w:rPr>
        <w:t xml:space="preserve"> </w:t>
      </w:r>
    </w:p>
    <w:p w14:paraId="7D49D904" w14:textId="77777777" w:rsidR="00E61EB2" w:rsidRDefault="00E61EB2" w:rsidP="00E61EB2">
      <w:pPr>
        <w:pStyle w:val="ListParagraph"/>
        <w:numPr>
          <w:ilvl w:val="0"/>
          <w:numId w:val="17"/>
        </w:numPr>
        <w:spacing w:after="0" w:line="240" w:lineRule="auto"/>
        <w:contextualSpacing w:val="0"/>
        <w:rPr>
          <w:color w:val="1F497D"/>
        </w:rPr>
      </w:pPr>
      <w:r w:rsidRPr="009C5968">
        <w:t xml:space="preserve">Budget, Fiscal and Debt related reports – </w:t>
      </w:r>
      <w:hyperlink r:id="rId48" w:history="1">
        <w:r>
          <w:rPr>
            <w:rStyle w:val="Hyperlink"/>
          </w:rPr>
          <w:t>http://www.finance.gov.mv/publications/reports-and-analyses</w:t>
        </w:r>
      </w:hyperlink>
    </w:p>
    <w:p w14:paraId="15176EA9" w14:textId="77777777" w:rsidR="00E61EB2" w:rsidRDefault="00E61EB2" w:rsidP="00E61EB2">
      <w:pPr>
        <w:pStyle w:val="ListParagraph"/>
        <w:numPr>
          <w:ilvl w:val="0"/>
          <w:numId w:val="17"/>
        </w:numPr>
        <w:spacing w:after="0" w:line="240" w:lineRule="auto"/>
        <w:contextualSpacing w:val="0"/>
        <w:rPr>
          <w:color w:val="1F497D"/>
        </w:rPr>
      </w:pPr>
      <w:r w:rsidRPr="009C5968">
        <w:t xml:space="preserve">Contracts Awarded </w:t>
      </w:r>
      <w:r>
        <w:rPr>
          <w:color w:val="1F497D"/>
        </w:rPr>
        <w:t xml:space="preserve">– </w:t>
      </w:r>
      <w:hyperlink r:id="rId49" w:history="1">
        <w:r>
          <w:rPr>
            <w:rStyle w:val="Hyperlink"/>
          </w:rPr>
          <w:t>http://www.finance.gov.mv/awarded-projects</w:t>
        </w:r>
      </w:hyperlink>
    </w:p>
    <w:p w14:paraId="76BD6B59" w14:textId="38F979AF" w:rsidR="00E61EB2" w:rsidRPr="00E61EB2" w:rsidRDefault="00E61EB2" w:rsidP="00930C92">
      <w:pPr>
        <w:pStyle w:val="ListParagraph"/>
        <w:numPr>
          <w:ilvl w:val="0"/>
          <w:numId w:val="17"/>
        </w:numPr>
        <w:spacing w:after="0" w:line="240" w:lineRule="auto"/>
        <w:contextualSpacing w:val="0"/>
        <w:rPr>
          <w:rFonts w:cs="Times New Roman"/>
          <w:color w:val="000000"/>
          <w:sz w:val="20"/>
          <w:szCs w:val="20"/>
        </w:rPr>
      </w:pPr>
      <w:r w:rsidRPr="009C5968">
        <w:t xml:space="preserve">Maldivian Gazette </w:t>
      </w:r>
      <w:r w:rsidRPr="00E61EB2">
        <w:rPr>
          <w:color w:val="1F497D"/>
        </w:rPr>
        <w:t xml:space="preserve">( this page is in Dhivehi) – </w:t>
      </w:r>
      <w:hyperlink r:id="rId50" w:history="1">
        <w:r>
          <w:rPr>
            <w:rStyle w:val="Hyperlink"/>
          </w:rPr>
          <w:t>http://www.gazette.gov.mv/</w:t>
        </w:r>
      </w:hyperlink>
    </w:p>
    <w:sectPr w:rsidR="00E61EB2" w:rsidRPr="00E61EB2" w:rsidSect="00454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2B5DE" w14:textId="77777777" w:rsidR="003033FA" w:rsidRDefault="003033FA" w:rsidP="002C1FAC">
      <w:pPr>
        <w:spacing w:after="0" w:line="240" w:lineRule="auto"/>
      </w:pPr>
      <w:r>
        <w:separator/>
      </w:r>
    </w:p>
  </w:endnote>
  <w:endnote w:type="continuationSeparator" w:id="0">
    <w:p w14:paraId="3B700041" w14:textId="77777777" w:rsidR="003033FA" w:rsidRDefault="003033FA" w:rsidP="002C1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192384"/>
      <w:docPartObj>
        <w:docPartGallery w:val="Page Numbers (Bottom of Page)"/>
        <w:docPartUnique/>
      </w:docPartObj>
    </w:sdtPr>
    <w:sdtEndPr/>
    <w:sdtContent>
      <w:sdt>
        <w:sdtPr>
          <w:id w:val="1528988783"/>
          <w:docPartObj>
            <w:docPartGallery w:val="Page Numbers (Top of Page)"/>
            <w:docPartUnique/>
          </w:docPartObj>
        </w:sdtPr>
        <w:sdtEndPr/>
        <w:sdtContent>
          <w:p w14:paraId="161F45AD" w14:textId="36D3977A" w:rsidR="007164CB" w:rsidRDefault="007164CB">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8215C">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8215C">
              <w:rPr>
                <w:b/>
                <w:bCs/>
                <w:noProof/>
              </w:rPr>
              <w:t>3</w:t>
            </w:r>
            <w:r>
              <w:rPr>
                <w:b/>
                <w:bCs/>
                <w:szCs w:val="24"/>
              </w:rPr>
              <w:fldChar w:fldCharType="end"/>
            </w:r>
          </w:p>
        </w:sdtContent>
      </w:sdt>
    </w:sdtContent>
  </w:sdt>
  <w:p w14:paraId="5CF47412" w14:textId="77777777" w:rsidR="007164CB" w:rsidRDefault="00716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2D384" w14:textId="77777777" w:rsidR="003033FA" w:rsidRDefault="003033FA" w:rsidP="002C1FAC">
      <w:pPr>
        <w:spacing w:after="0" w:line="240" w:lineRule="auto"/>
      </w:pPr>
      <w:r>
        <w:separator/>
      </w:r>
    </w:p>
  </w:footnote>
  <w:footnote w:type="continuationSeparator" w:id="0">
    <w:p w14:paraId="72FA400E" w14:textId="77777777" w:rsidR="003033FA" w:rsidRDefault="003033FA" w:rsidP="002C1FAC">
      <w:pPr>
        <w:spacing w:after="0" w:line="240" w:lineRule="auto"/>
      </w:pPr>
      <w:r>
        <w:continuationSeparator/>
      </w:r>
    </w:p>
  </w:footnote>
  <w:footnote w:id="1">
    <w:p w14:paraId="6963065D" w14:textId="77777777" w:rsidR="00A23562" w:rsidRPr="00E95BA8" w:rsidRDefault="00A23562" w:rsidP="00A23562">
      <w:pPr>
        <w:pStyle w:val="FootnoteText"/>
        <w:rPr>
          <w:rFonts w:cs="Times New Roman"/>
        </w:rPr>
      </w:pPr>
      <w:r w:rsidRPr="00E95BA8">
        <w:rPr>
          <w:rStyle w:val="FootnoteReference"/>
          <w:rFonts w:cs="Times New Roman"/>
        </w:rPr>
        <w:footnoteRef/>
      </w:r>
      <w:r w:rsidRPr="00E95BA8">
        <w:rPr>
          <w:rFonts w:cs="Times New Roman"/>
        </w:rPr>
        <w:t xml:space="preserve"> </w:t>
      </w:r>
      <w:hyperlink r:id="rId1" w:history="1">
        <w:r w:rsidRPr="00E95BA8">
          <w:rPr>
            <w:rStyle w:val="Hyperlink"/>
            <w:rFonts w:cs="Times New Roman"/>
          </w:rPr>
          <w:t>http://www.finance.gov.mv/public-finance/debt-management</w:t>
        </w:r>
      </w:hyperlink>
    </w:p>
  </w:footnote>
  <w:footnote w:id="2">
    <w:p w14:paraId="16F82017" w14:textId="77777777" w:rsidR="00A23562" w:rsidRPr="00802E45" w:rsidRDefault="00A23562" w:rsidP="00A23562">
      <w:pPr>
        <w:pStyle w:val="FootnoteText"/>
        <w:rPr>
          <w:rFonts w:cs="Times New Roman"/>
        </w:rPr>
      </w:pPr>
      <w:r w:rsidRPr="00802E45">
        <w:rPr>
          <w:rStyle w:val="FootnoteReference"/>
          <w:rFonts w:cs="Times New Roman"/>
        </w:rPr>
        <w:footnoteRef/>
      </w:r>
      <w:r w:rsidRPr="00802E45">
        <w:rPr>
          <w:rFonts w:cs="Times New Roman"/>
        </w:rPr>
        <w:t xml:space="preserve"> </w:t>
      </w:r>
      <w:hyperlink r:id="rId2" w:history="1">
        <w:r w:rsidRPr="00802E45">
          <w:rPr>
            <w:rStyle w:val="Hyperlink"/>
            <w:rFonts w:cs="Times New Roman"/>
          </w:rPr>
          <w:t>https://bandeyri.finance.gov.mv/</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496"/>
    <w:multiLevelType w:val="multilevel"/>
    <w:tmpl w:val="3E8E1B62"/>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C7D31"/>
    <w:multiLevelType w:val="hybridMultilevel"/>
    <w:tmpl w:val="0D12B7D6"/>
    <w:lvl w:ilvl="0" w:tplc="3656EDF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337C4"/>
    <w:multiLevelType w:val="hybridMultilevel"/>
    <w:tmpl w:val="48C2C8E4"/>
    <w:lvl w:ilvl="0" w:tplc="5A1C805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43473"/>
    <w:multiLevelType w:val="hybridMultilevel"/>
    <w:tmpl w:val="CE681D88"/>
    <w:lvl w:ilvl="0" w:tplc="551ED75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B6DFE"/>
    <w:multiLevelType w:val="hybridMultilevel"/>
    <w:tmpl w:val="DB8C18A6"/>
    <w:lvl w:ilvl="0" w:tplc="9FE6DBEA">
      <w:start w:val="1"/>
      <w:numFmt w:val="bullet"/>
      <w:lvlText w:val="-"/>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E4C72"/>
    <w:multiLevelType w:val="hybridMultilevel"/>
    <w:tmpl w:val="244A7C68"/>
    <w:lvl w:ilvl="0" w:tplc="8C8C546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C23A13"/>
    <w:multiLevelType w:val="hybridMultilevel"/>
    <w:tmpl w:val="72DCD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C2619"/>
    <w:multiLevelType w:val="hybridMultilevel"/>
    <w:tmpl w:val="8E386D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F5C9C"/>
    <w:multiLevelType w:val="hybridMultilevel"/>
    <w:tmpl w:val="7FA20C9E"/>
    <w:lvl w:ilvl="0" w:tplc="9CF29F84">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9976C2C"/>
    <w:multiLevelType w:val="hybridMultilevel"/>
    <w:tmpl w:val="36B05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272A7C"/>
    <w:multiLevelType w:val="hybridMultilevel"/>
    <w:tmpl w:val="13646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8C431E3"/>
    <w:multiLevelType w:val="hybridMultilevel"/>
    <w:tmpl w:val="8D821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32A47"/>
    <w:multiLevelType w:val="hybridMultilevel"/>
    <w:tmpl w:val="5474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46052B"/>
    <w:multiLevelType w:val="hybridMultilevel"/>
    <w:tmpl w:val="6F0C78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BB707A"/>
    <w:multiLevelType w:val="hybridMultilevel"/>
    <w:tmpl w:val="43BE3DCE"/>
    <w:lvl w:ilvl="0" w:tplc="9C562BBC">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E724F2A"/>
    <w:multiLevelType w:val="hybridMultilevel"/>
    <w:tmpl w:val="7938B5F8"/>
    <w:lvl w:ilvl="0" w:tplc="C4941DC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60F6D"/>
    <w:multiLevelType w:val="hybridMultilevel"/>
    <w:tmpl w:val="695095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626F93"/>
    <w:multiLevelType w:val="hybridMultilevel"/>
    <w:tmpl w:val="780CF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80242E"/>
    <w:multiLevelType w:val="hybridMultilevel"/>
    <w:tmpl w:val="7E6EA8A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0"/>
  </w:num>
  <w:num w:numId="3">
    <w:abstractNumId w:val="5"/>
  </w:num>
  <w:num w:numId="4">
    <w:abstractNumId w:val="4"/>
  </w:num>
  <w:num w:numId="5">
    <w:abstractNumId w:val="16"/>
  </w:num>
  <w:num w:numId="6">
    <w:abstractNumId w:val="7"/>
  </w:num>
  <w:num w:numId="7">
    <w:abstractNumId w:val="1"/>
  </w:num>
  <w:num w:numId="8">
    <w:abstractNumId w:val="8"/>
  </w:num>
  <w:num w:numId="9">
    <w:abstractNumId w:val="14"/>
  </w:num>
  <w:num w:numId="10">
    <w:abstractNumId w:val="18"/>
  </w:num>
  <w:num w:numId="11">
    <w:abstractNumId w:val="3"/>
  </w:num>
  <w:num w:numId="12">
    <w:abstractNumId w:val="9"/>
  </w:num>
  <w:num w:numId="13">
    <w:abstractNumId w:val="12"/>
  </w:num>
  <w:num w:numId="14">
    <w:abstractNumId w:val="17"/>
  </w:num>
  <w:num w:numId="15">
    <w:abstractNumId w:val="11"/>
  </w:num>
  <w:num w:numId="16">
    <w:abstractNumId w:val="2"/>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FAC"/>
    <w:rsid w:val="0000008C"/>
    <w:rsid w:val="000237D4"/>
    <w:rsid w:val="000502E1"/>
    <w:rsid w:val="000717B6"/>
    <w:rsid w:val="000A60BF"/>
    <w:rsid w:val="000C13BF"/>
    <w:rsid w:val="000D2F40"/>
    <w:rsid w:val="000D5467"/>
    <w:rsid w:val="0010035B"/>
    <w:rsid w:val="0011014E"/>
    <w:rsid w:val="00126C06"/>
    <w:rsid w:val="001612E9"/>
    <w:rsid w:val="00163B5E"/>
    <w:rsid w:val="0016743D"/>
    <w:rsid w:val="001B2481"/>
    <w:rsid w:val="0022477A"/>
    <w:rsid w:val="00230830"/>
    <w:rsid w:val="00247776"/>
    <w:rsid w:val="002642EC"/>
    <w:rsid w:val="00272E08"/>
    <w:rsid w:val="002C1FAC"/>
    <w:rsid w:val="002C5B74"/>
    <w:rsid w:val="002F6B7E"/>
    <w:rsid w:val="003033FA"/>
    <w:rsid w:val="00313327"/>
    <w:rsid w:val="00344501"/>
    <w:rsid w:val="0035033D"/>
    <w:rsid w:val="0036160C"/>
    <w:rsid w:val="003925CE"/>
    <w:rsid w:val="003A0F40"/>
    <w:rsid w:val="003C75C2"/>
    <w:rsid w:val="003E3A2E"/>
    <w:rsid w:val="003F250B"/>
    <w:rsid w:val="0042034A"/>
    <w:rsid w:val="0044195C"/>
    <w:rsid w:val="00454C4D"/>
    <w:rsid w:val="00466F0D"/>
    <w:rsid w:val="004E69F0"/>
    <w:rsid w:val="004F2B81"/>
    <w:rsid w:val="005158AF"/>
    <w:rsid w:val="00517256"/>
    <w:rsid w:val="00521FFF"/>
    <w:rsid w:val="0058191A"/>
    <w:rsid w:val="005847F7"/>
    <w:rsid w:val="005C3BC0"/>
    <w:rsid w:val="0061260D"/>
    <w:rsid w:val="006443BA"/>
    <w:rsid w:val="00644D76"/>
    <w:rsid w:val="00672D22"/>
    <w:rsid w:val="007164CB"/>
    <w:rsid w:val="007557BF"/>
    <w:rsid w:val="007605A3"/>
    <w:rsid w:val="00766981"/>
    <w:rsid w:val="00766E5C"/>
    <w:rsid w:val="0077054C"/>
    <w:rsid w:val="00781EC7"/>
    <w:rsid w:val="007B154B"/>
    <w:rsid w:val="007E6EE2"/>
    <w:rsid w:val="0080797A"/>
    <w:rsid w:val="00817E1F"/>
    <w:rsid w:val="0082430C"/>
    <w:rsid w:val="0085187B"/>
    <w:rsid w:val="008A7A54"/>
    <w:rsid w:val="008E07B0"/>
    <w:rsid w:val="008E3970"/>
    <w:rsid w:val="008E7B40"/>
    <w:rsid w:val="008F6BC1"/>
    <w:rsid w:val="00902713"/>
    <w:rsid w:val="009225EE"/>
    <w:rsid w:val="00940725"/>
    <w:rsid w:val="00994AEF"/>
    <w:rsid w:val="00995548"/>
    <w:rsid w:val="009A6866"/>
    <w:rsid w:val="009C5968"/>
    <w:rsid w:val="009D030D"/>
    <w:rsid w:val="009D4A77"/>
    <w:rsid w:val="009F0256"/>
    <w:rsid w:val="00A06E26"/>
    <w:rsid w:val="00A103B6"/>
    <w:rsid w:val="00A20898"/>
    <w:rsid w:val="00A23562"/>
    <w:rsid w:val="00A443EF"/>
    <w:rsid w:val="00A57D6F"/>
    <w:rsid w:val="00A66566"/>
    <w:rsid w:val="00A84A1C"/>
    <w:rsid w:val="00A85938"/>
    <w:rsid w:val="00A957B5"/>
    <w:rsid w:val="00AA1606"/>
    <w:rsid w:val="00B6032B"/>
    <w:rsid w:val="00B8215C"/>
    <w:rsid w:val="00C01218"/>
    <w:rsid w:val="00C274CB"/>
    <w:rsid w:val="00C30C22"/>
    <w:rsid w:val="00C379BD"/>
    <w:rsid w:val="00C45961"/>
    <w:rsid w:val="00C463DC"/>
    <w:rsid w:val="00C57889"/>
    <w:rsid w:val="00CB6783"/>
    <w:rsid w:val="00CE3465"/>
    <w:rsid w:val="00CE77F1"/>
    <w:rsid w:val="00D003BD"/>
    <w:rsid w:val="00D312E8"/>
    <w:rsid w:val="00D5384A"/>
    <w:rsid w:val="00DA1385"/>
    <w:rsid w:val="00DB510D"/>
    <w:rsid w:val="00DD0FBA"/>
    <w:rsid w:val="00E10324"/>
    <w:rsid w:val="00E453B0"/>
    <w:rsid w:val="00E61EB2"/>
    <w:rsid w:val="00E8075F"/>
    <w:rsid w:val="00E9431E"/>
    <w:rsid w:val="00F219EA"/>
    <w:rsid w:val="00F44A49"/>
    <w:rsid w:val="00F527FA"/>
    <w:rsid w:val="00F60784"/>
    <w:rsid w:val="00F7126B"/>
    <w:rsid w:val="00F81BDF"/>
    <w:rsid w:val="00F86F43"/>
    <w:rsid w:val="00FE6558"/>
    <w:rsid w:val="00FF2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D272"/>
  <w15:chartTrackingRefBased/>
  <w15:docId w15:val="{1B11BBD1-898B-4646-86B1-2E033989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E5C"/>
    <w:rPr>
      <w:rFonts w:ascii="Times New Roman" w:hAnsi="Times New Roman"/>
      <w:sz w:val="24"/>
    </w:rPr>
  </w:style>
  <w:style w:type="paragraph" w:styleId="Heading1">
    <w:name w:val="heading 1"/>
    <w:basedOn w:val="Normal"/>
    <w:link w:val="Heading1Char"/>
    <w:uiPriority w:val="9"/>
    <w:qFormat/>
    <w:rsid w:val="00247776"/>
    <w:pPr>
      <w:spacing w:before="100" w:beforeAutospacing="1" w:after="100" w:afterAutospacing="1" w:line="240" w:lineRule="auto"/>
      <w:outlineLvl w:val="0"/>
    </w:pPr>
    <w:rPr>
      <w:rFonts w:eastAsia="Times New Roman" w:cs="Times New Roman"/>
      <w:b/>
      <w:bCs/>
      <w:kern w:val="36"/>
      <w:sz w:val="28"/>
      <w:szCs w:val="48"/>
    </w:rPr>
  </w:style>
  <w:style w:type="paragraph" w:styleId="Heading2">
    <w:name w:val="heading 2"/>
    <w:basedOn w:val="Normal"/>
    <w:next w:val="Normal"/>
    <w:link w:val="Heading2Char"/>
    <w:uiPriority w:val="9"/>
    <w:unhideWhenUsed/>
    <w:qFormat/>
    <w:rsid w:val="00247776"/>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7776"/>
    <w:pPr>
      <w:keepNext/>
      <w:keepLines/>
      <w:numPr>
        <w:numId w:val="2"/>
      </w:numPr>
      <w:spacing w:before="40" w:after="0"/>
      <w:ind w:hanging="36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7776"/>
    <w:pPr>
      <w:spacing w:after="0" w:line="240" w:lineRule="auto"/>
    </w:pPr>
    <w:rPr>
      <w:rFonts w:ascii="Times New Roman" w:hAnsi="Times New Roman"/>
      <w:sz w:val="24"/>
    </w:rPr>
  </w:style>
  <w:style w:type="character" w:customStyle="1" w:styleId="NoSpacingChar">
    <w:name w:val="No Spacing Char"/>
    <w:basedOn w:val="DefaultParagraphFont"/>
    <w:link w:val="NoSpacing"/>
    <w:uiPriority w:val="1"/>
    <w:rsid w:val="00247776"/>
    <w:rPr>
      <w:rFonts w:ascii="Times New Roman" w:hAnsi="Times New Roman"/>
      <w:sz w:val="24"/>
    </w:rPr>
  </w:style>
  <w:style w:type="character" w:customStyle="1" w:styleId="Heading1Char">
    <w:name w:val="Heading 1 Char"/>
    <w:basedOn w:val="DefaultParagraphFont"/>
    <w:link w:val="Heading1"/>
    <w:uiPriority w:val="9"/>
    <w:rsid w:val="00247776"/>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24777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47776"/>
    <w:rPr>
      <w:rFonts w:ascii="Times New Roman" w:eastAsiaTheme="majorEastAsia" w:hAnsi="Times New Roman" w:cstheme="majorBidi"/>
      <w:b/>
      <w:i/>
      <w:sz w:val="24"/>
      <w:szCs w:val="24"/>
    </w:rPr>
  </w:style>
  <w:style w:type="paragraph" w:styleId="ListParagraph">
    <w:name w:val="List Paragraph"/>
    <w:aliases w:val="Numbered List Paragraph,List_Paragraph,Multilevel para_II,List Paragraph1,Normal 2,List Paragraph (numbered (a)),References,Bullit,Main numbered paragraph,Colorful List - Accent 12,Bullets,Liste 1,ReferencesCxSpLast,lp1"/>
    <w:basedOn w:val="Normal"/>
    <w:link w:val="ListParagraphChar"/>
    <w:uiPriority w:val="34"/>
    <w:qFormat/>
    <w:rsid w:val="002C1FAC"/>
    <w:pPr>
      <w:ind w:left="720"/>
      <w:contextualSpacing/>
    </w:pPr>
  </w:style>
  <w:style w:type="table" w:styleId="TableGrid">
    <w:name w:val="Table Grid"/>
    <w:basedOn w:val="TableNormal"/>
    <w:uiPriority w:val="39"/>
    <w:rsid w:val="002C1FAC"/>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Numbered List Paragraph Char,List_Paragraph Char,Multilevel para_II Char,List Paragraph1 Char,Normal 2 Char,List Paragraph (numbered (a)) Char,References Char,Bullit Char,Main numbered paragraph Char,Colorful List - Accent 12 Char"/>
    <w:basedOn w:val="DefaultParagraphFont"/>
    <w:link w:val="ListParagraph"/>
    <w:uiPriority w:val="34"/>
    <w:qFormat/>
    <w:rsid w:val="002C1FAC"/>
  </w:style>
  <w:style w:type="paragraph" w:customStyle="1" w:styleId="BankNormal">
    <w:name w:val="BankNormal"/>
    <w:basedOn w:val="Normal"/>
    <w:link w:val="BankNormalChar"/>
    <w:rsid w:val="002C1FAC"/>
    <w:pPr>
      <w:spacing w:after="240" w:line="240" w:lineRule="auto"/>
    </w:pPr>
    <w:rPr>
      <w:rFonts w:eastAsia="Times New Roman" w:cs="Times New Roman"/>
      <w:szCs w:val="20"/>
    </w:rPr>
  </w:style>
  <w:style w:type="character" w:customStyle="1" w:styleId="BankNormalChar">
    <w:name w:val="BankNormal Char"/>
    <w:link w:val="BankNormal"/>
    <w:locked/>
    <w:rsid w:val="002C1FAC"/>
    <w:rPr>
      <w:rFonts w:ascii="Times New Roman" w:eastAsia="Times New Roman" w:hAnsi="Times New Roman" w:cs="Times New Roman"/>
      <w:sz w:val="24"/>
      <w:szCs w:val="20"/>
    </w:rPr>
  </w:style>
  <w:style w:type="paragraph" w:styleId="FootnoteText">
    <w:name w:val="footnote text"/>
    <w:basedOn w:val="Normal"/>
    <w:link w:val="FootnoteTextChar"/>
    <w:uiPriority w:val="99"/>
    <w:semiHidden/>
    <w:unhideWhenUsed/>
    <w:rsid w:val="002C1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1FAC"/>
    <w:rPr>
      <w:sz w:val="20"/>
      <w:szCs w:val="20"/>
    </w:rPr>
  </w:style>
  <w:style w:type="character" w:styleId="FootnoteReference">
    <w:name w:val="footnote reference"/>
    <w:basedOn w:val="DefaultParagraphFont"/>
    <w:uiPriority w:val="99"/>
    <w:semiHidden/>
    <w:unhideWhenUsed/>
    <w:rsid w:val="002C1FAC"/>
    <w:rPr>
      <w:vertAlign w:val="superscript"/>
    </w:rPr>
  </w:style>
  <w:style w:type="paragraph" w:styleId="BalloonText">
    <w:name w:val="Balloon Text"/>
    <w:basedOn w:val="Normal"/>
    <w:link w:val="BalloonTextChar"/>
    <w:uiPriority w:val="99"/>
    <w:semiHidden/>
    <w:unhideWhenUsed/>
    <w:rsid w:val="006126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60D"/>
    <w:rPr>
      <w:rFonts w:ascii="Segoe UI" w:hAnsi="Segoe UI" w:cs="Segoe UI"/>
      <w:sz w:val="18"/>
      <w:szCs w:val="18"/>
    </w:rPr>
  </w:style>
  <w:style w:type="paragraph" w:styleId="Header">
    <w:name w:val="header"/>
    <w:basedOn w:val="Normal"/>
    <w:link w:val="HeaderChar"/>
    <w:uiPriority w:val="99"/>
    <w:unhideWhenUsed/>
    <w:rsid w:val="0027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E08"/>
    <w:rPr>
      <w:rFonts w:ascii="Times New Roman" w:hAnsi="Times New Roman"/>
      <w:sz w:val="24"/>
    </w:rPr>
  </w:style>
  <w:style w:type="paragraph" w:styleId="Footer">
    <w:name w:val="footer"/>
    <w:basedOn w:val="Normal"/>
    <w:link w:val="FooterChar"/>
    <w:uiPriority w:val="99"/>
    <w:unhideWhenUsed/>
    <w:rsid w:val="0027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E08"/>
    <w:rPr>
      <w:rFonts w:ascii="Times New Roman" w:hAnsi="Times New Roman"/>
      <w:sz w:val="24"/>
    </w:rPr>
  </w:style>
  <w:style w:type="character" w:styleId="CommentReference">
    <w:name w:val="annotation reference"/>
    <w:basedOn w:val="DefaultParagraphFont"/>
    <w:uiPriority w:val="99"/>
    <w:semiHidden/>
    <w:unhideWhenUsed/>
    <w:rsid w:val="00C379BD"/>
    <w:rPr>
      <w:sz w:val="16"/>
      <w:szCs w:val="16"/>
    </w:rPr>
  </w:style>
  <w:style w:type="paragraph" w:styleId="CommentText">
    <w:name w:val="annotation text"/>
    <w:basedOn w:val="Normal"/>
    <w:link w:val="CommentTextChar"/>
    <w:uiPriority w:val="99"/>
    <w:semiHidden/>
    <w:unhideWhenUsed/>
    <w:rsid w:val="00C379BD"/>
    <w:pPr>
      <w:spacing w:line="240" w:lineRule="auto"/>
    </w:pPr>
    <w:rPr>
      <w:sz w:val="20"/>
      <w:szCs w:val="20"/>
    </w:rPr>
  </w:style>
  <w:style w:type="character" w:customStyle="1" w:styleId="CommentTextChar">
    <w:name w:val="Comment Text Char"/>
    <w:basedOn w:val="DefaultParagraphFont"/>
    <w:link w:val="CommentText"/>
    <w:uiPriority w:val="99"/>
    <w:semiHidden/>
    <w:rsid w:val="00C379B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379BD"/>
    <w:rPr>
      <w:b/>
      <w:bCs/>
    </w:rPr>
  </w:style>
  <w:style w:type="character" w:customStyle="1" w:styleId="CommentSubjectChar">
    <w:name w:val="Comment Subject Char"/>
    <w:basedOn w:val="CommentTextChar"/>
    <w:link w:val="CommentSubject"/>
    <w:uiPriority w:val="99"/>
    <w:semiHidden/>
    <w:rsid w:val="00C379BD"/>
    <w:rPr>
      <w:rFonts w:ascii="Times New Roman" w:hAnsi="Times New Roman"/>
      <w:b/>
      <w:bCs/>
      <w:sz w:val="20"/>
      <w:szCs w:val="20"/>
    </w:rPr>
  </w:style>
  <w:style w:type="paragraph" w:customStyle="1" w:styleId="Default">
    <w:name w:val="Default"/>
    <w:rsid w:val="00E8075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13327"/>
    <w:rPr>
      <w:color w:val="0000FF"/>
      <w:u w:val="single"/>
    </w:rPr>
  </w:style>
  <w:style w:type="table" w:styleId="TableGridLight">
    <w:name w:val="Grid Table Light"/>
    <w:basedOn w:val="TableNormal"/>
    <w:uiPriority w:val="40"/>
    <w:rsid w:val="009C59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3F25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94829">
      <w:bodyDiv w:val="1"/>
      <w:marLeft w:val="0"/>
      <w:marRight w:val="0"/>
      <w:marTop w:val="0"/>
      <w:marBottom w:val="0"/>
      <w:divBdr>
        <w:top w:val="none" w:sz="0" w:space="0" w:color="auto"/>
        <w:left w:val="none" w:sz="0" w:space="0" w:color="auto"/>
        <w:bottom w:val="none" w:sz="0" w:space="0" w:color="auto"/>
        <w:right w:val="none" w:sz="0" w:space="0" w:color="auto"/>
      </w:divBdr>
    </w:div>
    <w:div w:id="26890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hamed.iman@finance.gov.mv" TargetMode="External"/><Relationship Id="rId18" Type="http://schemas.openxmlformats.org/officeDocument/2006/relationships/hyperlink" Target="mailto:shifna.ali@finance.gov.mv" TargetMode="External"/><Relationship Id="rId26" Type="http://schemas.openxmlformats.org/officeDocument/2006/relationships/hyperlink" Target="mailto:mohamed.mushil@finance.gov.mv" TargetMode="External"/><Relationship Id="rId39" Type="http://schemas.openxmlformats.org/officeDocument/2006/relationships/hyperlink" Target="mailto:mohamed.imad@planning.gov.mv" TargetMode="External"/><Relationship Id="rId21" Type="http://schemas.openxmlformats.org/officeDocument/2006/relationships/hyperlink" Target="mailto:mohamed.azad@finance.gov.mv" TargetMode="External"/><Relationship Id="rId34" Type="http://schemas.openxmlformats.org/officeDocument/2006/relationships/hyperlink" Target="mailto:zaheena.rasheed@finance.gov.mv" TargetMode="External"/><Relationship Id="rId42" Type="http://schemas.openxmlformats.org/officeDocument/2006/relationships/hyperlink" Target="mailto:inaeem@audit.gov.mv" TargetMode="External"/><Relationship Id="rId47" Type="http://schemas.openxmlformats.org/officeDocument/2006/relationships/hyperlink" Target="https://nam03.safelinks.protection.outlook.com/?url=http%3A%2F%2Fwww.finance.gov.mv%2Fpublic-finance%2Fnational-budget&amp;data=02%7C01%7Cwcole%40worldbank.org%7C4bcc33f5a94449bf229e08d76e5a26bc%7C31a2fec0266b4c67b56e2796d8f59c36%7C0%7C1%7C637099205821478420&amp;sdata=etDr7MS407EkURbuJEsVxQbKZ35w3uRPgq8pbqutPcY%3D&amp;reserved=0" TargetMode="External"/><Relationship Id="rId50" Type="http://schemas.openxmlformats.org/officeDocument/2006/relationships/hyperlink" Target="https://nam03.safelinks.protection.outlook.com/?url=http%3A%2F%2Fwww.gazette.gov.mv%2F&amp;data=02%7C01%7Cwcole%40worldbank.org%7C4bcc33f5a94449bf229e08d76e5a26bc%7C31a2fec0266b4c67b56e2796d8f59c36%7C0%7C1%7C637099205821498411&amp;sdata=atBc%2BlFhlU12649CXgatAsXi4VlotxplW1zkUNygfL0%3D&amp;reserved=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mohamed.rishwan@finance.gov.mv" TargetMode="External"/><Relationship Id="rId29" Type="http://schemas.openxmlformats.org/officeDocument/2006/relationships/hyperlink" Target="mailto:zunain.shareef@finance.gov.mv" TargetMode="External"/><Relationship Id="rId11" Type="http://schemas.openxmlformats.org/officeDocument/2006/relationships/hyperlink" Target="mailto:ismail.alimanik@finance.gov.mv" TargetMode="External"/><Relationship Id="rId24" Type="http://schemas.openxmlformats.org/officeDocument/2006/relationships/hyperlink" Target="mailto:mohamed.areesh@finance.gov.mv" TargetMode="External"/><Relationship Id="rId32" Type="http://schemas.openxmlformats.org/officeDocument/2006/relationships/hyperlink" Target="mailto:kinanath.ali@finance.gov.mv" TargetMode="External"/><Relationship Id="rId37" Type="http://schemas.openxmlformats.org/officeDocument/2006/relationships/hyperlink" Target="mailto:jumaina.hassan@finance.gov.mv" TargetMode="External"/><Relationship Id="rId40" Type="http://schemas.openxmlformats.org/officeDocument/2006/relationships/hyperlink" Target="mailto:solih@audit.gov.mv" TargetMode="External"/><Relationship Id="rId45" Type="http://schemas.openxmlformats.org/officeDocument/2006/relationships/hyperlink" Target="https://nam03.safelinks.protection.outlook.com/?url=http%3A%2F%2Fwww.finance.gov.mv%2Fpublic%2Fattachments%2FCmRig4sPYGArlG5MrDV6TQSbCT5oJXz77gytmCBG.pdf&amp;data=02%7C01%7Cwcole%40worldbank.org%7C4bcc33f5a94449bf229e08d76e5a26bc%7C31a2fec0266b4c67b56e2796d8f59c36%7C0%7C1%7C637099205821468425&amp;sdata=WkJDbvIdQvX2yOuSz2u%2FWzPNkSClXJqc8zCITmI4mG4%3D&amp;reserved=0" TargetMode="External"/><Relationship Id="rId5" Type="http://schemas.openxmlformats.org/officeDocument/2006/relationships/numbering" Target="numbering.xml"/><Relationship Id="rId15" Type="http://schemas.openxmlformats.org/officeDocument/2006/relationships/hyperlink" Target="mailto:hawwa.rishda@finance.gov.mv" TargetMode="External"/><Relationship Id="rId23" Type="http://schemas.openxmlformats.org/officeDocument/2006/relationships/hyperlink" Target="mailto:ismail.riza@finance.gov.mv" TargetMode="External"/><Relationship Id="rId28" Type="http://schemas.openxmlformats.org/officeDocument/2006/relationships/hyperlink" Target="mailto:hawwa.fajuwa@finance.gov.mv" TargetMode="External"/><Relationship Id="rId36" Type="http://schemas.openxmlformats.org/officeDocument/2006/relationships/hyperlink" Target="mailto:hawwa.safna@finance.gov.mv" TargetMode="External"/><Relationship Id="rId49" Type="http://schemas.openxmlformats.org/officeDocument/2006/relationships/hyperlink" Target="https://nam03.safelinks.protection.outlook.com/?url=http%3A%2F%2Fwww.finance.gov.mv%2Fawarded-projects&amp;data=02%7C01%7Cwcole%40worldbank.org%7C4bcc33f5a94449bf229e08d76e5a26bc%7C31a2fec0266b4c67b56e2796d8f59c36%7C0%7C1%7C637099205821488415&amp;sdata=znSOgU80UvgaaIEAFhHNZ%2F7bCrW5%2FV7sAyA02G81lvo%3D&amp;reserved=0" TargetMode="External"/><Relationship Id="rId10" Type="http://schemas.openxmlformats.org/officeDocument/2006/relationships/endnotes" Target="endnotes.xml"/><Relationship Id="rId19" Type="http://schemas.openxmlformats.org/officeDocument/2006/relationships/hyperlink" Target="mailto:ahmed.mujuthaba@finance.gov.mv" TargetMode="External"/><Relationship Id="rId31" Type="http://schemas.openxmlformats.org/officeDocument/2006/relationships/hyperlink" Target="mailto:ahmed.siraj@finance.gov.mv" TargetMode="External"/><Relationship Id="rId44" Type="http://schemas.openxmlformats.org/officeDocument/2006/relationships/hyperlink" Target="https://nam03.safelinks.protection.outlook.com/?url=http%3A%2F%2Fwww.finance.gov.mv%2Fpublic%2Fattachments%2FliK2STjDDjEPyPQ8Ts0CQFHY95e4fo3SeGlTAhK6.pdf&amp;data=02%7C01%7Cwcole%40worldbank.org%7C4bcc33f5a94449bf229e08d76e5a26bc%7C31a2fec0266b4c67b56e2796d8f59c36%7C0%7C1%7C637099205821458428&amp;sdata=JP72z0Z7RlxHiTLkns10l%2B9ljhuYd%2Fzg28lDHcLMtBA%3D&amp;reserved=0"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bdulla.hassan@finance.gov.mv" TargetMode="External"/><Relationship Id="rId22" Type="http://schemas.openxmlformats.org/officeDocument/2006/relationships/hyperlink" Target="mailto:ahmed.zayan@finance.gov.mv" TargetMode="External"/><Relationship Id="rId27" Type="http://schemas.openxmlformats.org/officeDocument/2006/relationships/hyperlink" Target="mailto:ahmed.rishad@finance.gov.mv" TargetMode="External"/><Relationship Id="rId30" Type="http://schemas.openxmlformats.org/officeDocument/2006/relationships/hyperlink" Target="mailto:hassan.waheed@finance.gov.mv" TargetMode="External"/><Relationship Id="rId35" Type="http://schemas.openxmlformats.org/officeDocument/2006/relationships/hyperlink" Target="mailto:fathimath.saeed@finance.gov.mv" TargetMode="External"/><Relationship Id="rId43" Type="http://schemas.openxmlformats.org/officeDocument/2006/relationships/footer" Target="footer1.xml"/><Relationship Id="rId48" Type="http://schemas.openxmlformats.org/officeDocument/2006/relationships/hyperlink" Target="https://nam03.safelinks.protection.outlook.com/?url=http%3A%2F%2Fwww.finance.gov.mv%2Fpublications%2Freports-and-analyses&amp;data=02%7C01%7Cwcole%40worldbank.org%7C4bcc33f5a94449bf229e08d76e5a26bc%7C31a2fec0266b4c67b56e2796d8f59c36%7C0%7C1%7C637099205821478420&amp;sdata=onQUHMwVrHwpfMSLv2Azk%2BRasCNawlIC0YS%2F13%2B%2BRRw%3D&amp;reserved=0"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mailto:fathimath.razeena@finance.gov.mv" TargetMode="External"/><Relationship Id="rId17" Type="http://schemas.openxmlformats.org/officeDocument/2006/relationships/hyperlink" Target="mailto:ahmed.saruvash@finance.gov.mv" TargetMode="External"/><Relationship Id="rId25" Type="http://schemas.openxmlformats.org/officeDocument/2006/relationships/hyperlink" Target="mailto:zumra.ahmed@finance.gov.mv" TargetMode="External"/><Relationship Id="rId33" Type="http://schemas.openxmlformats.org/officeDocument/2006/relationships/hyperlink" Target="mailto:mariyam.shahida@finance.gov.mv" TargetMode="External"/><Relationship Id="rId38" Type="http://schemas.openxmlformats.org/officeDocument/2006/relationships/hyperlink" Target="mailto:aishath.shadhin@finance.gov.mv" TargetMode="External"/><Relationship Id="rId46" Type="http://schemas.openxmlformats.org/officeDocument/2006/relationships/hyperlink" Target="https://soegateway.egov.mv" TargetMode="External"/><Relationship Id="rId20" Type="http://schemas.openxmlformats.org/officeDocument/2006/relationships/hyperlink" Target="mailto:mohamed.naiz@finance.gov.mv" TargetMode="External"/><Relationship Id="rId41" Type="http://schemas.openxmlformats.org/officeDocument/2006/relationships/hyperlink" Target="mailto:fazeel@audit.gov.mv"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2" Type="http://schemas.openxmlformats.org/officeDocument/2006/relationships/hyperlink" Target="https://bandeyri.finance.gov.mv/" TargetMode="External"/><Relationship Id="rId1" Type="http://schemas.openxmlformats.org/officeDocument/2006/relationships/hyperlink" Target="http://www.finance.gov.mv/public-finance/deb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D135C35F46F242ABD78D63C2151323" ma:contentTypeVersion="15" ma:contentTypeDescription="Create a new document." ma:contentTypeScope="" ma:versionID="a59b0920eef86db5e52377f2f9fe1ded">
  <xsd:schema xmlns:xsd="http://www.w3.org/2001/XMLSchema" xmlns:xs="http://www.w3.org/2001/XMLSchema" xmlns:p="http://schemas.microsoft.com/office/2006/metadata/properties" xmlns:ns1="http://schemas.microsoft.com/sharepoint/v3" xmlns:ns3="fddef6a8-5936-4909-96e0-2ad7a6b1720b" xmlns:ns4="0c867391-8214-4b58-86b3-de07547409f9" targetNamespace="http://schemas.microsoft.com/office/2006/metadata/properties" ma:root="true" ma:fieldsID="e42a5308e19752a82f43edad253ac0bc" ns1:_="" ns3:_="" ns4:_="">
    <xsd:import namespace="http://schemas.microsoft.com/sharepoint/v3"/>
    <xsd:import namespace="fddef6a8-5936-4909-96e0-2ad7a6b1720b"/>
    <xsd:import namespace="0c867391-8214-4b58-86b3-de07547409f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description="" ma:hidden="true" ma:internalName="_ip_UnifiedCompliancePolicyProperties">
      <xsd:simpleType>
        <xsd:restriction base="dms:Note"/>
      </xsd:simpleType>
    </xsd:element>
    <xsd:element name="_ip_UnifiedCompliancePolicyUIAction" ma:index="17"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def6a8-5936-4909-96e0-2ad7a6b172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867391-8214-4b58-86b3-de07547409f9"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31D7-F694-4BDE-9F3F-3988423408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def6a8-5936-4909-96e0-2ad7a6b1720b"/>
    <ds:schemaRef ds:uri="0c867391-8214-4b58-86b3-de0754740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C5D185-A745-493D-95EB-1C745048A72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5A1015D-8D77-4ECB-981E-271961AFF2F5}">
  <ds:schemaRefs>
    <ds:schemaRef ds:uri="http://schemas.microsoft.com/sharepoint/v3/contenttype/forms"/>
  </ds:schemaRefs>
</ds:datastoreItem>
</file>

<file path=customXml/itemProps4.xml><?xml version="1.0" encoding="utf-8"?>
<ds:datastoreItem xmlns:ds="http://schemas.openxmlformats.org/officeDocument/2006/customXml" ds:itemID="{4B681560-D6B0-46EF-827A-5E5F7F8E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23</Pages>
  <Words>8434</Words>
  <Characters>48074</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Zainudeen</dc:creator>
  <cp:keywords/>
  <dc:description/>
  <cp:lastModifiedBy>Winston Percy Onipede Cole</cp:lastModifiedBy>
  <cp:revision>53</cp:revision>
  <dcterms:created xsi:type="dcterms:W3CDTF">2019-11-19T05:35:00Z</dcterms:created>
  <dcterms:modified xsi:type="dcterms:W3CDTF">2019-11-24T04:11:00Z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0x01010000D135C35F46F242ABD78D63C2151323</vt:lpwstr>
  </property>
</Properties>
</file>