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Verificação formal da inserção textual no DOM para mitigação de XSS</w:t>
      </w:r>
    </w:p>
    <w:p>
      <w:pPr>
        <w:pStyle w:val="Subtitle"/>
      </w:pPr>
      <w:r>
        <w:t>Estudo de caso com HTML JavaScript Z3 e testes de corpus</w:t>
      </w:r>
    </w:p>
    <w:p>
      <w:r>
        <w:t>Franciny Rojas</w:t>
        <w:br/>
        <w:t>Pesquisador em segurança da informação</w:t>
        <w:br/>
        <w:t>2 de outubro de 2026</w:t>
      </w:r>
    </w:p>
    <w:p>
      <w:pPr>
        <w:pStyle w:val="Heading1"/>
      </w:pPr>
      <w:r>
        <w:t>Resumo</w:t>
      </w:r>
    </w:p>
    <w:p>
      <w:r>
        <w:t>Este estudo analisa um aplicativo mínimo que lê um campo de texto e exibe uma saudação em um parágrafo por meio de textContent. A questão de pesquisa é se qualquer entrada textual pode criar elementos HTML ou alterar a saudação esperada nesse fluxo. A contribuição é uma especificação explícita, uma demonstração manual, uma verificação SMT de sua abstração e evidência empírica vinculada à versão do código.</w:t>
      </w:r>
    </w:p>
    <w:p>
      <w:r>
        <w:t>O modelo define uma atualização que produz um nó Texto e procura um contraexemplo às propriedades de tipo, ausência de elementos e preservação do conteúdo. Foram relatados sat para consistência e unsat para a negação da propriedade. Um teste de corpus registrou 515 casos aprovados no Chromium 153.0.8010.12. Os arquivos HTML, SMT-LIB e resultados foram inspecionados e seus hashes calculados.</w:t>
      </w:r>
    </w:p>
    <w:p>
      <w:r>
        <w:t>A conclusão é condicionada à semântica correta das APIs e à execução do código identificado sem interferência externa. O solver não analisou o HTML diretamente e não verificou a implementação do navegador. O estudo não demonstra um sanitizador universal nem ausência de XSS em uma aplicação diferente.</w:t>
      </w:r>
    </w:p>
    <w:p>
      <w:r>
        <w:t>Palavras chave: métodos formais; SMT; Z3; lógica de Hoare; DOM; XSS; teste de corpus.</w:t>
      </w:r>
    </w:p>
    <w:p>
      <w:pPr>
        <w:pStyle w:val="Heading1"/>
      </w:pPr>
      <w:r>
        <w:t>Organização</w:t>
      </w:r>
    </w:p>
    <w:p>
      <w:r>
        <w:t>As seções 1 a 3 delimitam o objeto, as hipóteses e a notação. As seções 4 a 7 apresentam o modelo, a prova, a consulta SMT e a indução. As seções 8 a 11 tratam da correspondência com a implementação, do experimento, da rastreabilidade e da conclusão. Os apêndices preservam os códigos e exemplos de reprodução.</w:t>
      </w:r>
    </w:p>
    <w:p>
      <w:r>
        <w:br w:type="page"/>
      </w:r>
    </w:p>
    <w:p>
      <w:pPr>
        <w:pStyle w:val="Heading1"/>
      </w:pPr>
      <w:r>
        <w:t>1 Problema e escopo</w:t>
      </w:r>
    </w:p>
    <w:p>
      <w:r>
        <w:t>O programa contém um input do tipo text, um botão e um parágrafo. O único uso da entrada na atualização do documento é resultado.textContent = `Olá, ${nome}!`. A propriedade estudada refere-se a esse caminho e ao conteúdo do parágrafo após cada callback concluído normalmente. O arquivo de referência está transcrito no Apêndice A.</w:t>
      </w:r>
    </w:p>
    <w:p>
      <w:r>
        <w:t>XSS é considerado aqui como execução de código de origem não confiável causada pela interpretação da entrada nesse fluxo. A propriedade estrutural de produzir somente texto sustenta a exclusão desse mecanismo porque o destino é um parágrafo comum e a entrada não é encaminhada a outro interpretador. Zero elementos filhos, isoladamente, não seria uma prova de ausência de XSS para qualquer aplicação.</w:t>
      </w:r>
    </w:p>
    <w:p>
      <w:pPr>
        <w:pStyle w:val="Heading2"/>
      </w:pPr>
      <w:r>
        <w:t>1 1 Exemplo observado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Entrada: &lt;strong&gt;Franciny&lt;/strong&gt;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Saída:   Olá, &lt;strong&gt;Franciny&lt;/strong&gt;!</w:t>
      </w:r>
    </w:p>
    <w:p>
      <w:pPr>
        <w:spacing w:after="40"/>
      </w:pPr>
    </w:p>
    <w:p>
      <w:r>
        <w:t>As tags são exibidas literalmente. Esse exemplo observa uma execução; a generalização para todas as entradas é obtida pelo argumento semântico condicionado, não pela repetição de exemplos.</w:t>
      </w:r>
    </w:p>
    <w:p>
      <w:pPr>
        <w:pStyle w:val="Heading1"/>
      </w:pPr>
      <w:r>
        <w:t>2 Hipóteses e base de confiança</w:t>
      </w:r>
    </w:p>
    <w:p>
      <w:r>
        <w:t>H representa a conjunção das condições a seguir: o documento corresponde ao arquivo identificado; os elementos existem e os IDs são únicos; resultado referencia o parágrafo; as APIs padrão não foram substituídas; o navegador respeita sua especificação; não há código adicional, extensão ou mutação externa interferindo; a execução conclui normalmente com recursos suficientes.</w:t>
      </w:r>
    </w:p>
    <w:p>
      <w:r>
        <w:t>A semântica normativa de textContent para Element é usada como contrato da API. A especificação prevê substituir os filhos por um nó de texto para uma string não vazia [1]. A saudação nunca é vazia, mesmo quando o input está vazio. Assim, a exceção normativa da string vazia não altera a função de atualização deste caso.</w:t>
      </w:r>
    </w:p>
    <w:p>
      <w:r>
        <w:t>O raciocínio é de correção parcial: se a execução sob H termina normalmente, a pós-condição vale. Não se prova disponibilidade, limite de memória, término para entradas arbitrariamente grandes ou correção interna do navegador.</w:t>
      </w:r>
    </w:p>
    <w:p>
      <w:r>
        <w:br w:type="page"/>
      </w:r>
    </w:p>
    <w:p>
      <w:pPr>
        <w:pStyle w:val="Heading1"/>
      </w:pPr>
      <w:r>
        <w:t>3 Notação e definições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/>
        </w:trP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7E7"/>
          </w:tcPr>
          <w:p>
            <w:pPr>
              <w:spacing w:before="80" w:after="80"/>
            </w:pPr>
            <w:r>
              <w:rPr>
                <w:b/>
                <w:sz w:val="18"/>
              </w:rPr>
              <w:t>Símbolo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7E7"/>
          </w:tcPr>
          <w:p>
            <w:pPr>
              <w:spacing w:before="80" w:after="80"/>
            </w:pPr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Σ*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Conjunto abstrato de strings finitas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x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Valor efetivamente lido do campo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∥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Concatenação de strings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D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Domínio de estados abstratos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Função de atualização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E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Contagem abstrata de elementos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C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Conteúdo do nó Texto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P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Pós-condição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∀ e ∃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Para todo e existe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∧ ∨ ¬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E ou não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⊨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Consequência semântica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H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Hipóteses sobre o ambiente e a implementação</w:t>
            </w:r>
          </w:p>
        </w:tc>
      </w:tr>
    </w:tbl>
    <w:p/>
    <w:p>
      <w:r>
        <w:t>Definição 1. A saudação é uma função g : Σ* → Σ*, dada por:</w:t>
      </w:r>
    </w:p>
    <w:p>
      <w:pPr>
        <w:spacing w:before="100" w:after="160"/>
        <w:jc w:val="center"/>
      </w:pPr>
      <m:oMath>
        <m:r>
          <m:t>g(x) = "Olá, " ∥ x ∥ "!"    (1)</m:t>
        </m:r>
      </m:oMath>
    </w:p>
    <w:p>
      <w:r>
        <w:t>Definição 2. O estado abstrato é um tipo soma com construtores distintos:</w:t>
      </w:r>
    </w:p>
    <w:p>
      <w:pPr>
        <w:spacing w:before="100" w:after="160"/>
        <w:jc w:val="center"/>
      </w:pPr>
      <m:oMath>
        <m:r>
          <m:t>D = {Vazio} ∪ {Texto(s) : s ∈ Σ*} ∪ {Elemento(t) : t ∈ Σ*}    (2)</m:t>
        </m:r>
      </m:oMath>
    </w:p>
    <w:p>
      <w:r>
        <w:t>Definição 3. Para qualquer string s e identificador de tag t:</w:t>
      </w:r>
    </w:p>
    <w:p>
      <w:pPr>
        <w:spacing w:before="100" w:after="160"/>
        <w:jc w:val="center"/>
      </w:pPr>
      <m:oMath>
        <m:r>
          <m:t>E(Vazio) = 0;   E(Texto(s)) = 0;   E(Elemento(t)) = 1    (3)</m:t>
        </m:r>
      </m:oMath>
    </w:p>
    <w:p>
      <w:pPr>
        <w:spacing w:before="100" w:after="160"/>
        <w:jc w:val="center"/>
      </w:pPr>
      <m:oMath>
        <m:r>
          <m:t>ÉTexto(Texto(s)) = verdadeiro;   C(Texto(s)) = s    (4)</m:t>
        </m:r>
      </m:oMath>
    </w:p>
    <w:p>
      <w:r>
        <w:t>C é usado matematicamente para nós Texto. O seletor conteudo do SMT-LIB é total, mas não especificado para os demais construtores. A propriedade inclui o teste ÉTexto; o estado produzido é sempre Texto, de modo que esse detalhe não afeta o resultado.</w:t>
      </w:r>
    </w:p>
    <w:p>
      <w:r>
        <w:t>Os elementos de D não representam árvores DOM arbitrárias. Elemento é um representante abstrato de conteúdo que inclui elemento; E não é uma contagem geral de descendentes em uma árvore. A prova depende apenas do estado após a substituição, cuja forma está precisamente descrita.</w:t>
      </w:r>
    </w:p>
    <w:p>
      <w:r>
        <w:br w:type="page"/>
      </w:r>
    </w:p>
    <w:p>
      <w:pPr>
        <w:pStyle w:val="Heading1"/>
      </w:pPr>
      <w:r>
        <w:t>4 Semântica da atualização e propriedade</w:t>
      </w:r>
    </w:p>
    <w:p>
      <w:r>
        <w:t>Definição 4. A atualização substitui o conteúdo anterior por texto:</w:t>
      </w:r>
    </w:p>
    <w:p>
      <w:pPr>
        <w:spacing w:before="100" w:after="160"/>
        <w:jc w:val="center"/>
      </w:pPr>
      <m:oMath>
        <m:r>
          <m:t>U : D × Σ* → D;   U(d, x) = Texto(g(x))    (5)</m:t>
        </m:r>
      </m:oMath>
    </w:p>
    <w:p>
      <w:r>
        <w:t>O parâmetro d é ignorado na construção do novo estado. Isso expressa substituição, e não anexação de conteúdo. A definição é a tradução do contrato de textContent para o destino concreto deste estudo [1].</w:t>
      </w:r>
    </w:p>
    <w:p>
      <w:r>
        <w:t>Definição 5. A pós-condição combina tipo, estrutura e conteúdo:</w:t>
      </w:r>
    </w:p>
    <w:p>
      <w:pPr>
        <w:spacing w:before="100" w:after="160"/>
        <w:jc w:val="center"/>
      </w:pPr>
      <m:oMath>
        <m:r>
          <m:t>P(d, x) ≡ ÉTexto(d) ∧ E(d) = 0 ∧ C(d) = g(x)    (6)</m:t>
        </m:r>
      </m:oMath>
    </w:p>
    <w:p>
      <w:r>
        <w:t>Teorema 1. A atualização satisfaz P para qualquer estado anterior e qualquer entrada:</w:t>
      </w:r>
    </w:p>
    <w:p>
      <w:pPr>
        <w:spacing w:before="100" w:after="160"/>
        <w:jc w:val="center"/>
      </w:pPr>
      <m:oMath>
        <m:r>
          <m:t>∀d ∈ D, ∀x ∈ Σ* : P(U(d, x), x)    (7)</m:t>
        </m:r>
      </m:oMath>
    </w:p>
    <w:p>
      <w:pPr>
        <w:pStyle w:val="Heading2"/>
      </w:pPr>
      <w:r>
        <w:t>4 1 Demonstração por substituição</w:t>
      </w:r>
    </w:p>
    <w:p>
      <w:r>
        <w:t>Sejam d e x arbitrários. Pela definição 4, U(d,x) = Texto(g(x)). Pelas definições 3 e 5, basta verificar as três condições seguintes:</w:t>
      </w:r>
    </w:p>
    <w:p>
      <w:pPr>
        <w:spacing w:before="100" w:after="160"/>
        <w:jc w:val="center"/>
      </w:pPr>
      <m:oMath>
        <m:r>
          <m:t>ÉTexto(Texto(g(x))) = verdadeiro    (8)</m:t>
        </m:r>
      </m:oMath>
    </w:p>
    <w:p>
      <w:pPr>
        <w:spacing w:before="100" w:after="160"/>
        <w:jc w:val="center"/>
      </w:pPr>
      <m:oMath>
        <m:r>
          <m:t>E(Texto(g(x))) = 0    (9)</m:t>
        </m:r>
      </m:oMath>
    </w:p>
    <w:p>
      <w:pPr>
        <w:spacing w:before="100" w:after="160"/>
        <w:jc w:val="center"/>
      </w:pPr>
      <m:oMath>
        <m:r>
          <m:t>C(Texto(g(x))) = g(x)    (10)</m:t>
        </m:r>
      </m:oMath>
    </w:p>
    <w:p>
      <w:r>
        <w:t>As condições decorrem das regras dos construtores e seletores. Logo P(U(d,x),x) é verdadeira. Como não foi imposta restrição particular sobre d ou x, conclui-se a quantificação universal em (7). □</w:t>
      </w:r>
    </w:p>
    <w:p>
      <w:pPr>
        <w:pStyle w:val="Heading2"/>
      </w:pPr>
      <w:r>
        <w:t>4 2 Exemplo de aplicação</w:t>
      </w:r>
    </w:p>
    <w:p>
      <w:r>
        <w:t>Para x = "&lt;strong&gt;Franciny&lt;/strong&gt;", U(d,x) tem tipo Texto. Os caracteres &lt; e &gt; permanecem no conteúdo; não alteram o construtor. Para x vazio, U(d,x) = Texto("Olá, !"). Ambos os casos obedecem à mesma regra.</w:t>
      </w:r>
    </w:p>
    <w:p>
      <w:r>
        <w:br w:type="page"/>
      </w:r>
    </w:p>
    <w:p>
      <w:pPr>
        <w:pStyle w:val="Heading1"/>
      </w:pPr>
      <w:r>
        <w:t>5 Verificação por busca de contraexemplo</w:t>
      </w:r>
    </w:p>
    <w:p>
      <w:r>
        <w:t>O solver recebe definições Γ e uma negação da propriedade. O procedimento geral verifica validade procurando uma atribuição que torne a negação satisfatível [2,3].</w:t>
      </w:r>
    </w:p>
    <w:p>
      <w:pPr>
        <w:spacing w:before="100" w:after="160"/>
        <w:jc w:val="center"/>
      </w:pPr>
      <m:oMath>
        <m:r>
          <m:t>Γ ⊨ P(U(d,x),x)  ⇔  Γ ∧ ¬P(U(d,x),x) é insatisfatível    (11)</m:t>
        </m:r>
      </m:oMath>
    </w:p>
    <w:p>
      <w:r>
        <w:t>As constantes livres d e x permitem procurar valores arbitrários. A consulta corresponde à existência de um contraexemplo:</w:t>
      </w:r>
    </w:p>
    <w:p>
      <w:pPr>
        <w:spacing w:before="100" w:after="160"/>
        <w:jc w:val="center"/>
      </w:pPr>
      <m:oMath>
        <m:r>
          <m:t>∃d ∈ D, ∃x ∈ Σ* : ¬P(U(d,x),x)    (12)</m:t>
        </m:r>
      </m:oMath>
    </w:p>
    <w:p>
      <w:r>
        <w:t>No domínio deste modelo, E assume somente 0 ou 1. Assim, a condição E ≠ 0 pode ser escrita como E &gt; 0. Pela negação de uma conjunção:</w:t>
      </w:r>
    </w:p>
    <w:p>
      <w:pPr>
        <w:spacing w:before="100" w:after="160"/>
        <w:jc w:val="center"/>
      </w:pPr>
      <m:oMath>
        <m:r>
          <m:t>¬P ≡ ¬ÉTexto ∨ E &gt; 0 ∨ C ≠ g(x)    (13)</m:t>
        </m:r>
      </m:oMath>
    </w:p>
    <w:p>
      <w:r>
        <w:t>A primeira consulta check-sat ocorre antes da negação e teve resultado sat. A segunda inclui (13) e teve resultado unsat. O modelo completo está no Apêndice B.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/>
        </w:trPr>
        <w:tc>
          <w:tcPr>
            <w:tcW w:type="dxa" w:w="32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7E7"/>
          </w:tcPr>
          <w:p>
            <w:pPr>
              <w:spacing w:before="80" w:after="80"/>
            </w:pPr>
            <w:r>
              <w:rPr>
                <w:b/>
                <w:sz w:val="18"/>
              </w:rPr>
              <w:t>Consulta</w:t>
            </w:r>
          </w:p>
        </w:tc>
        <w:tc>
          <w:tcPr>
            <w:tcW w:type="dxa" w:w="32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7E7"/>
          </w:tcPr>
          <w:p>
            <w:pPr>
              <w:spacing w:before="80" w:after="80"/>
            </w:pPr>
            <w:r>
              <w:rPr>
                <w:b/>
                <w:sz w:val="18"/>
              </w:rPr>
              <w:t>Resultado informado</w:t>
            </w:r>
          </w:p>
        </w:tc>
        <w:tc>
          <w:tcPr>
            <w:tcW w:type="dxa" w:w="32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7E7"/>
          </w:tcPr>
          <w:p>
            <w:pPr>
              <w:spacing w:before="80" w:after="80"/>
            </w:pPr>
            <w:r>
              <w:rPr>
                <w:b/>
                <w:sz w:val="18"/>
              </w:rPr>
              <w:t>Interpretação</w:t>
            </w:r>
          </w:p>
        </w:tc>
      </w:tr>
      <w:tr>
        <w:tc>
          <w:tcPr>
            <w:tcW w:type="dxa" w:w="32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Γ</w:t>
            </w:r>
          </w:p>
        </w:tc>
        <w:tc>
          <w:tcPr>
            <w:tcW w:type="dxa" w:w="32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sat</w:t>
            </w:r>
          </w:p>
        </w:tc>
        <w:tc>
          <w:tcPr>
            <w:tcW w:type="dxa" w:w="32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Há interpretações consistentes para as definições</w:t>
            </w:r>
          </w:p>
        </w:tc>
      </w:tr>
      <w:tr>
        <w:tc>
          <w:tcPr>
            <w:tcW w:type="dxa" w:w="32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Γ ∧ ¬P</w:t>
            </w:r>
          </w:p>
        </w:tc>
        <w:tc>
          <w:tcPr>
            <w:tcW w:type="dxa" w:w="32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unsat</w:t>
            </w:r>
          </w:p>
        </w:tc>
        <w:tc>
          <w:tcPr>
            <w:tcW w:type="dxa" w:w="32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Não existe contraexemplo no modelo</w:t>
            </w:r>
          </w:p>
        </w:tc>
      </w:tr>
      <w:tr>
        <w:tc>
          <w:tcPr>
            <w:tcW w:type="dxa" w:w="32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Alteração para Elemento</w:t>
            </w:r>
          </w:p>
        </w:tc>
        <w:tc>
          <w:tcPr>
            <w:tcW w:type="dxa" w:w="32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sat</w:t>
            </w:r>
          </w:p>
        </w:tc>
        <w:tc>
          <w:tcPr>
            <w:tcW w:type="dxa" w:w="32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O controle viola a propriedade estrutural</w:t>
            </w:r>
          </w:p>
        </w:tc>
      </w:tr>
    </w:tbl>
    <w:p/>
    <w:p>
      <w:r>
        <w:t>O controle substituiu a construção Texto por Elemento("strong"). A consulta detectou a alteração. Criar strong não equivale a executar JavaScript; o controle avalia sensibilidade à propriedade estrutural.</w:t>
      </w:r>
    </w:p>
    <w:p>
      <w:r>
        <w:t>Esta verificação é simples: a definição de U já incorpora a semântica segura da operação. O solver verifica suas consequências, sem inferir o comportamento de textContent a partir do navegador. O resultado não é uma certificação automática do JavaScript.</w:t>
      </w:r>
    </w:p>
    <w:p>
      <w:pPr>
        <w:pStyle w:val="Heading1"/>
      </w:pPr>
      <w:r>
        <w:t>6 Contrato de Hoare</w:t>
      </w:r>
    </w:p>
    <w:p>
      <w:r>
        <w:t>Uma tripla de Hoare relaciona pré-condição, programa e pós-condição [4]. Para o comando de atualização, escrevemos:</w:t>
      </w:r>
    </w:p>
    <w:p>
      <w:r>
        <w:t>Seja A o comando resultado.textContent := g(x) e d′ o estado após A.</w:t>
      </w:r>
    </w:p>
    <w:p>
      <w:pPr>
        <w:spacing w:before="100" w:after="160"/>
        <w:jc w:val="center"/>
      </w:pPr>
      <m:oMath>
        <m:r>
          <m:t>{H ∧ x ∈ Σ*}  A  {P(d′,x)}    (14)</m:t>
        </m:r>
      </m:oMath>
    </w:p>
    <w:p>
      <w:r>
        <w:t>A variável x é o valor capturado no início do callback. As duas assertions e o console.log seguintes não modificam o parágrafo. Sob H, sua composição preserva a pós-condição. As assertions observam execuções; não são a origem da prova.</w:t>
      </w:r>
    </w:p>
    <w:p>
      <w:r>
        <w:br w:type="page"/>
      </w:r>
    </w:p>
    <w:p>
      <w:pPr>
        <w:pStyle w:val="Heading1"/>
      </w:pPr>
      <w:r>
        <w:t>7 Preservação por cliques repetidos</w:t>
      </w:r>
    </w:p>
    <w:p>
      <w:r>
        <w:t>Definimos uma sequência de entradas x(1), x(2), … e os estados correspondentes. A notação d(n) indica o estado após o clique n:</w:t>
      </w:r>
    </w:p>
    <w:p>
      <w:pPr>
        <w:spacing w:before="100" w:after="160"/>
        <w:jc w:val="center"/>
      </w:pPr>
      <m:oMath>
        <m:r>
          <m:t>d(0) = Vazio;   d(n+1) = U(d(n), x(n+1))    (15)</m:t>
        </m:r>
      </m:oMath>
    </w:p>
    <w:p>
      <w:r>
        <w:t>A invariante estrutural é I(d) ≡ E(d) = 0. Sua base é:</w:t>
      </w:r>
    </w:p>
    <w:p>
      <w:pPr>
        <w:spacing w:before="100" w:after="160"/>
        <w:jc w:val="center"/>
      </w:pPr>
      <m:oMath>
        <m:r>
          <m:t>I(d(0)), pois E(Vazio) = 0    (16)</m:t>
        </m:r>
      </m:oMath>
    </w:p>
    <w:p>
      <w:r>
        <w:t>Para o passo, a definição de atualização fornece:</w:t>
      </w:r>
    </w:p>
    <w:p>
      <w:pPr>
        <w:spacing w:before="100" w:after="160"/>
        <w:jc w:val="center"/>
      </w:pPr>
      <m:oMath>
        <m:r>
          <m:t>E(d(n+1)) = E(Texto(g(x(n+1)))) = 0    (17)</m:t>
        </m:r>
      </m:oMath>
    </w:p>
    <w:p>
      <w:r>
        <w:t>O passo é mais forte que preservação a partir de um estado seguro: vale para qualquer estado anterior representado. Por indução, para n pertencente aos naturais incluindo zero:</w:t>
      </w:r>
    </w:p>
    <w:p>
      <w:pPr>
        <w:spacing w:before="100" w:after="160"/>
        <w:jc w:val="center"/>
      </w:pPr>
      <m:oMath>
        <m:r>
          <m:t>∀n ∈ ℕ₀ : I(d(n))    (18)</m:t>
        </m:r>
      </m:oMath>
    </w:p>
    <w:p>
      <w:pPr>
        <w:spacing w:before="100" w:after="160"/>
        <w:jc w:val="center"/>
      </w:pPr>
      <m:oMath>
        <m:r>
          <m:t>∀n ≥ 1 : d(n) = Texto(g(x(n))) ∧ C(d(n)) = g(x(n))    (19)</m:t>
        </m:r>
      </m:oMath>
    </w:p>
    <w:p>
      <w:r>
        <w:t>A invariante estrutural vale inicialmente, mas a igualdade com uma saudação só é exigida depois do primeiro clique. O Z3 verificou o passo abstrato; a indução sobre sequências finitas foi argumentada manualmente.</w:t>
      </w:r>
    </w:p>
    <w:p>
      <w:pPr>
        <w:pStyle w:val="Heading1"/>
      </w:pPr>
      <w:r>
        <w:t>8 Correspondência com a implementação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/>
        </w:trP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7E7"/>
          </w:tcPr>
          <w:p>
            <w:pPr>
              <w:spacing w:before="80" w:after="80"/>
            </w:pPr>
            <w:r>
              <w:rPr>
                <w:b/>
                <w:sz w:val="18"/>
              </w:rPr>
              <w:t>Código concreto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7E7"/>
          </w:tcPr>
          <w:p>
            <w:pPr>
              <w:spacing w:before="80" w:after="80"/>
            </w:pPr>
            <w:r>
              <w:rPr>
                <w:b/>
                <w:sz w:val="18"/>
              </w:rPr>
              <w:t>Interpretação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entrada.value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Valor textual x capturado no callback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Template literal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Aplicação de g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resultado.textContent = ...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Aplicação de U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console.assert e console.log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Leitura e diagnóstico sem mutação do destino</w:t>
            </w:r>
          </w:p>
        </w:tc>
      </w:tr>
    </w:tbl>
    <w:p/>
    <w:p>
      <w:r>
        <w:t>A revisão do anexo confirmou o parágrafo com ID único, a posição do script após os elementos e a ausência de outro caminho que interprete essa entrada. O raciocínio concreto usa o contrato DOM. Não houve tradução automática do código para SMT, execução simbólica do HTML ou prova mecanizada de refinamento.</w:t>
      </w:r>
    </w:p>
    <w:p>
      <w:r>
        <w:t>A teoria UnicodeStrings do SMT-LIB e as strings JavaScript têm representações diferentes [5]. Não foi construído um refinamento completo entre pontos de código SMT e unidades UTF-16. A exclusão estrutural depende do tipo Texto, não do alfabeto. A igualdade concreta decorre da cópia da string JavaScript pelo contrato DOM; a prova SMT de igualdade refere-se à representação abstrata.</w:t>
      </w:r>
    </w:p>
    <w:p>
      <w:r>
        <w:br w:type="page"/>
      </w:r>
    </w:p>
    <w:p>
      <w:pPr>
        <w:pStyle w:val="Heading1"/>
      </w:pPr>
      <w:r>
        <w:t>9 Metodologia experimental e resultados</w:t>
      </w:r>
    </w:p>
    <w:p>
      <w:r>
        <w:t>A validação empírica usa Playwright para carregar o arquivo local no Chromium, preencher o input, clicar e observar o parágrafo [6]. O executor lê blns.json, registra o valor efetivamente aceito pelo campo e compara a saída com a saudação desse valor. A Big List of Naughty Strings é um corpus geral de entradas problemáticas [7], não 515 categorias distintas de XSS.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/>
        </w:trP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7E7"/>
          </w:tcPr>
          <w:p>
            <w:pPr>
              <w:spacing w:before="80" w:after="80"/>
            </w:pPr>
            <w:r>
              <w:rPr>
                <w:b/>
                <w:sz w:val="18"/>
              </w:rPr>
              <w:t>Registro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7E7"/>
          </w:tcPr>
          <w:p>
            <w:pPr>
              <w:spacing w:before="80" w:after="80"/>
            </w:pPr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Node.js informado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22.23.2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npm informado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10.9.8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Playwright informado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1.63.0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Chromium registrado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153.0.8010.12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Z3 informado pelo editor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5.0.0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Casos no JSON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515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Aprovados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515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Entradas alteradas pelo campo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0</w:t>
            </w:r>
          </w:p>
        </w:tc>
      </w:tr>
    </w:tbl>
    <w:p/>
    <w:p>
      <w:r>
        <w:t>Em cada caso, o executor verificou a igualdade do texto, zero elementos HTML filhos e ausência de erros e diálogos detectados. A página foi reutilizada entre casos, exercitando atualizações sucessivas. Dez casos preliminares de texto, marcação literal e Unicode também foram relatados como aprovados.</w:t>
      </w:r>
    </w:p>
    <w:p>
      <w:r>
        <w:t>A leitura independente do JSON confirmou 515 registros consecutivos, todos aprovados. Todos os textos observados correspondem aos valores lidos; as contagens de elementos são zero; as listas de erros e diálogos são vazias. O hash do HTML registrado coincide com o anexo analisado.</w:t>
      </w:r>
    </w:p>
    <w:p>
      <w:r>
        <w:t>A execução do navegador foi realizada pelo usuário. A revisão dos registros não constitui reexecução independente. O corpus e o executor final não foram anexados para conferência de seus bytes; a fonte, o código discutido e o hash registrado são preservados como evidências disponíveis.</w:t>
      </w:r>
    </w:p>
    <w:p>
      <w:pPr>
        <w:pStyle w:val="Heading2"/>
      </w:pPr>
      <w:r>
        <w:t>9 1 Alcance da observação</w:t>
      </w:r>
    </w:p>
    <w:p>
      <w:r>
        <w:t>O teste inspeciona o resultado após o clique. Não instrumenta exaustivamente toda execução assíncrona possível, rede ou todos os efeitos da página. Esses limites restringem a interpretação do experimento. A análise do fluxo e a premissa sobre a API continuam necessárias. A aprovação de uma lista finita não demonstra a propriedade universal.</w:t>
      </w:r>
    </w:p>
    <w:p>
      <w:r>
        <w:t>A campanha é um teste de corpus sem mutações geradas. Portanto, não é apresentada como fuzzing generativo. A contagem de casos aprovados não é uma probabilidade estimada de segurança.</w:t>
      </w:r>
    </w:p>
    <w:p>
      <w:r>
        <w:br w:type="page"/>
      </w:r>
    </w:p>
    <w:p>
      <w:pPr>
        <w:pStyle w:val="Heading1"/>
      </w:pPr>
      <w:r>
        <w:t>10 Rastreabilidade dos artefatos</w:t>
      </w:r>
    </w:p>
    <w:p>
      <w:r>
        <w:t>Os hashes SHA-256 abaixo foram calculados diretamente nos anexos. Eles identificam os bytes conferidos, não apenas o nome do arquivo. Transcrições no documento podem ter quebras de linha diferentes e não devem ser usadas para reproduzir esses hashes.</w:t>
      </w:r>
    </w:p>
    <w:p>
      <w:r>
        <w:t>exemplo.html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7A22320C52216894A53E6E9FD7BE9F570156CA56F1606DF7543FE9FD6210E228</w:t>
      </w:r>
    </w:p>
    <w:p>
      <w:pPr>
        <w:spacing w:after="40"/>
      </w:pPr>
    </w:p>
    <w:p>
      <w:r>
        <w:t>modelo.smt2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CA5815F8694105B422F0D5D95A06DB61BEAA4E50A15DB361B3B6B3D5E38BAE90</w:t>
      </w:r>
    </w:p>
    <w:p>
      <w:pPr>
        <w:spacing w:after="40"/>
      </w:pPr>
    </w:p>
    <w:p>
      <w:r>
        <w:t>resultados-blns.json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D021CB4C18AB8C7C78B6395DC9B00B95A32AE2490264980E042F39AB365D18BA</w:t>
      </w:r>
    </w:p>
    <w:p>
      <w:pPr>
        <w:spacing w:after="40"/>
      </w:pPr>
    </w:p>
    <w:p>
      <w:r>
        <w:t>Hash do corpus registrado pelo executor e ainda não recalculado a partir do corpus original: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B5EDB4DFFB234FA8B37C6353EC2CBD414CE721A03968D26343A7C276AB360F63</w:t>
      </w:r>
    </w:p>
    <w:p>
      <w:pPr>
        <w:spacing w:after="40"/>
      </w:pPr>
    </w:p>
    <w:p>
      <w:r>
        <w:t>A execução está registrada no JSON como 2026-10-02T14:23:30.793Z. A hora foi produzida pelo computador executor e não é um carimbo de tempo autenticado. Os resultados SMT e a versão do Z3 são registros informados pelo usuário no editor.</w:t>
      </w:r>
    </w:p>
    <w:p>
      <w:pPr>
        <w:pStyle w:val="Heading1"/>
      </w:pPr>
      <w:r>
        <w:t>11 Discussão e conclusão</w:t>
      </w:r>
    </w:p>
    <w:p>
      <w:r>
        <w:t>O estudo demonstra uma propriedade pequena e precisa: inserir a saudação por textContent em um parágrafo produz texto e impede interpretação HTML da entrada nesse fluxo, sob H. A análise manual vincula o código à regra normativa, o SMT verifica consequências da abstração e o corpus observa a implementação em um navegador.</w:t>
      </w:r>
    </w:p>
    <w:p>
      <w:r>
        <w:t>A alegação universal está condicionada ao contrato da API. Não foram provados o navegador, a cadeia de ferramentas ou um sanitizador. A variável não recebe uma classificação permanente de segura para qualquer destino; um novo uso deve ser analisado no seu contexto.</w:t>
      </w:r>
    </w:p>
    <w:p>
      <w:r>
        <w:t>Conclusão formal. Para a versão de exemplo.html identificada, após cada callback concluído normalmente sob H, resultado contém g(x) como texto e zero elementos HTML filhos. Nesse fluxo, a entrada não provoca XSS por sua inserção. O argumento cobre qualquer entrada textual e qualquer sequência finita de cliques sob as hipóteses; os 515 casos são evidência complementar.</w:t>
      </w:r>
    </w:p>
    <w:p>
      <w:r>
        <w:t>A análise pode ser reaberta se o código mudar, se a entrada ganhar outro destino ou se as hipóteses de execução deixarem de valer. Este estudo de caso não deve ser generalizado para uma aplicação maior sem novas obrigações de prova.</w:t>
      </w:r>
    </w:p>
    <w:p>
      <w:r>
        <w:br w:type="page"/>
      </w:r>
    </w:p>
    <w:p>
      <w:pPr>
        <w:pStyle w:val="Heading1"/>
      </w:pPr>
      <w:r>
        <w:t>Referências</w:t>
      </w:r>
    </w:p>
    <w:p>
      <w:r>
        <w:t>[1] WHATWG. DOM Standard. Seção 4.4, textContent e string replace all. Living Standard. https://dom.spec.whatwg.org/#dom-node-textcontent. Acesso em 2 out. 2026.</w:t>
      </w:r>
    </w:p>
    <w:p>
      <w:r>
        <w:t>[2] MICROSOFT. Online Z3 Guide. Propositional Logic, Satisfiability and Validity. https://microsoft.github.io/z3guide/docs/logic/propositional-logic/. Acesso em 2 out. 2026.</w:t>
      </w:r>
    </w:p>
    <w:p>
      <w:r>
        <w:t>[3] DE MOURA, L.; BJØRNER, N. Z3 An Efficient SMT Solver. TACAS, 2008, p. 337–340. DOI 10.1007/978-3-540-78800-3_24. https://www.microsoft.com/en-us/research/publication/z3-an-efficient-smt-solver/.</w:t>
      </w:r>
    </w:p>
    <w:p>
      <w:r>
        <w:t>[4] HOARE, C. A. R. An axiomatic basis for computer programming. Communications of the ACM, v. 12, n. 10, p. 576–580 e 583, 1969. DOI 10.1145/363235.363259. Referência fundadora da lógica utilizada.</w:t>
      </w:r>
    </w:p>
    <w:p>
      <w:r>
        <w:t>[5] SMT-LIB. UnicodeStrings theory. https://smt-lib.org/theories-UnicodeStrings.shtml. Acesso em 2 out. 2026.</w:t>
      </w:r>
    </w:p>
    <w:p>
      <w:r>
        <w:t>[6] MICROSOFT. Playwright Library documentation. https://playwright.dev/docs/library. Acesso em 2 out. 2026.</w:t>
      </w:r>
    </w:p>
    <w:p>
      <w:r>
        <w:t>[7] WOOLF, M. Big List of Naughty Strings. Repositório público. https://github.com/minimaxir/big-list-of-naughty-strings. Arquivo blns.json. Acesso em 2 out. 2026.</w:t>
      </w:r>
    </w:p>
    <w:p>
      <w:pPr>
        <w:pStyle w:val="Heading2"/>
      </w:pPr>
      <w:r>
        <w:t>Nota sobre autoria e evidência</w:t>
      </w:r>
    </w:p>
    <w:p>
      <w:r>
        <w:t>Estudo desenvolvido por Franciny Rojas com assistência de IA na explicação, modelagem e redação. As execuções Z3 e Playwright foram realizadas pelo pesquisador e relatadas na sessão. A conferência dos anexos e do JSON foi realizada durante a consolidação. Não se atribui revisão por pares ou certificação externa ao documento.</w:t>
      </w:r>
    </w:p>
    <w:p>
      <w:r>
        <w:br w:type="page"/>
      </w:r>
    </w:p>
    <w:p>
      <w:pPr>
        <w:pStyle w:val="Heading1"/>
      </w:pPr>
      <w:r>
        <w:t>Apêndice A Código HTML analisado</w:t>
      </w:r>
    </w:p>
    <w:p>
      <w:r>
        <w:t>Transcrição do anexo exemplo.html com normalização visual de quebras de linha.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&lt;!DOCTYPE html&gt;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&lt;html lang="pt-BR"&gt;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&lt;head&gt;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&lt;meta charset="UTF-8"&gt;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&lt;title&gt;Exemplo de prevenção de XSS&lt;/title&gt;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&lt;/head&gt;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&lt;body&gt;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&lt;h1&gt;Exibir conteúdo como texto&lt;/h1&gt;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&lt;label for="nome"&gt;Digite seu nome:&lt;/label&gt;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&lt;input id="nome" type="text"&gt;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&lt;button id="mostrar"&gt;Mostrar&lt;/button&gt;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&lt;p id="resultado"&gt;&lt;/p&gt;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&lt;script&gt;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const entrada = document.getElementById("nome");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const resultado = document.getElementById("resultado");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const botao = document.getElementById("mostrar");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console.assert(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resultado instanceof HTMLParagraphElement,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"O destino não é um parágrafo."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console.assert(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document.querySelectorAll("#resultado").length === 1,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"O identificador resultado não é único."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botao.addEventListener("click", () =&gt; {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const nome = entrada.value;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// O navegador trata o conteúdo como texto.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resultado.textContent = `Olá, ${nome}!`;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console.assert(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resultado.textContent === `Olá, ${nome}!`,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"Erro: o texto exibido foi alterado."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console.assert(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resultado.children.length === 0,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"Erro: foram encontrados elementos HTML filhos."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console.log("Verificações executadas.");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});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&lt;/script&gt;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&lt;/body&gt;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&lt;/html&gt;</w:t>
      </w:r>
    </w:p>
    <w:p>
      <w:pPr>
        <w:spacing w:after="40"/>
      </w:pPr>
    </w:p>
    <w:p>
      <w:r>
        <w:br w:type="page"/>
      </w:r>
    </w:p>
    <w:p>
      <w:pPr>
        <w:pStyle w:val="Heading1"/>
      </w:pPr>
      <w:r>
        <w:t>Apêndice B Modelo SMT LIB verificado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; Tipos de conteúdo do parágrafo.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(declare-datatypes ()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((No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(Vazio)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(Texto (conteudo String))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(Elemento (tag String))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))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; Estado anterior e entrada quaisquer.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(declare-const antes No)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(declare-const nome String)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; Modelo da substituição por textContent.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(define-fun atualizar ((anterior No) (entrada String)) No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(Texto (str.++ "Olá, " entrada "!"))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(define-fun depois () No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(atualizar antes nome)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(define-fun quantidadeElementos ((n No)) Int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(ite ((_ is Elemento) n) 1 0)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; 1. As definições são consistentes?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(check-sat)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; 2. Existe alguma violação da propriedade?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(assert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(or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(not ((_ is Texto) depois))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(&gt; (quantidadeElementos depois) 0)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(not (= (conteudo depois)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    (str.++ "Olá, " nome "!")))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(check-sat)</w:t>
      </w:r>
    </w:p>
    <w:p>
      <w:pPr>
        <w:spacing w:after="40"/>
      </w:pPr>
    </w:p>
    <w:p>
      <w:pPr>
        <w:pStyle w:val="Heading2"/>
      </w:pPr>
      <w:r>
        <w:t>Reprodução das consultas</w:t>
      </w:r>
    </w:p>
    <w:p>
      <w:r>
        <w:t>Carregar o arquivo original no editor https://microsoft.github.io/z3guide/playground/Freeform%20Editing/ e executar. A saída relatada foi: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sat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unsat</w:t>
      </w:r>
    </w:p>
    <w:p>
      <w:pPr>
        <w:spacing w:after="40"/>
      </w:pPr>
    </w:p>
    <w:p>
      <w:r>
        <w:t>Consultar a versão em uma sessão do editor sem alterar o arquivo identificado: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(get-info :version)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; Resultado informado: (:version "5.0.0")</w:t>
      </w:r>
    </w:p>
    <w:p>
      <w:pPr>
        <w:spacing w:after="40"/>
      </w:pPr>
    </w:p>
    <w:p>
      <w:r>
        <w:t>Uma instalação local compatível permite executar z3 modelo.smt2. A reprodução local não foi realizada neste estudo.</w:t>
      </w:r>
    </w:p>
    <w:p>
      <w:r>
        <w:br w:type="page"/>
      </w:r>
    </w:p>
    <w:p>
      <w:pPr>
        <w:pStyle w:val="Heading1"/>
      </w:pPr>
      <w:r>
        <w:t>Apêndice C Executor de teste de corpus</w:t>
      </w:r>
    </w:p>
    <w:p>
      <w:r>
        <w:t>Transcrição funcional do executor discutido. Ele lê o HTML local e o corpus, registra observações e salva resultados-blns.json. O arquivo original do executor não foi anexado para identificação por hash.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const { chromium } = require("playwright");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const { resolve } = require("node:path");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const { pathToFileURL } = require("node:url");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const { readFileSync, writeFileSync } = require("node:fs");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const { createHash } = require("node:crypto");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const assert = require("node:assert/strict");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(async () =&gt; {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const htmlPath = resolve(__dirname, "exemplo.html");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const corpusPath = resolve(__dirname, "blns.json");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const saidaPath = resolve(__dirname, "resultados-blns.json");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const htmlBytes = readFileSync(htmlPath);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const corpusBytes = readFileSync(corpusPath);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const entradas = JSON.parse(corpusBytes.toString("utf8"));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assert.ok(Array.isArray(entradas) &amp;&amp; entradas.length &gt; 0 &amp;&amp;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entradas.every(x =&gt; typeof x === "string"));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const hash = bytes =&gt; createHash("sha256")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.update(bytes).digest("hex");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const browser = await chromium.launch();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const relatorio = {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dataUTC: new Date().toISOString(),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chromium: browser.version(),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htmlSHA256: hash(htmlBytes),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corpusSHA256: hash(corpusBytes),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total: entradas.length, aprovados: 0,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entradasAlteradasPeloCampo: 0, casos: []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};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try {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const page = await browser.newPage();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const erros = [], dialogos = [];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page.on("pageerror", e =&gt; erros.push(e.message));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page.on("console", m =&gt; {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if (["assert", "error"].includes(m.type()))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erros.push(m.text());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});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page.on("dialog", async d =&gt; {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dialogos.push(d.message());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await d.dismiss();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});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await page.goto(pathToFileURL(htmlPath).href);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assert.deepEqual(erros, []);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assert.deepEqual(dialogos, []);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for (const [indice, entrada] of entradas.entries()) {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const caso = { numero: indice + 1, entrada, passou: false };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const inicioErros = erros.length;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const inicioDialogos = dialogos.length;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try {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await page.locator("#nome").fill(entrada);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const valorLido = await page.locator("#nome").inputValue();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caso.valorLido = valorLido;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caso.entradaAlteradaPeloCampo = valorLido !== entrada;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if (caso.entradaAlteradaPeloCampo)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  relatorio.entradasAlteradasPeloCampo++;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await page.locator("#mostrar").click();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const observado = await page.locator("#resultado")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  .evaluate(e =&gt; ({ texto: e.textContent,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    elementosFilhos: e.children.length }));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caso.observado = observado;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assert.equal(observado.texto, `Olá, ${valorLido}!`);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assert.equal(observado.elementosFilhos, 0);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assert.deepEqual(erros.slice(inicioErros), []);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assert.deepEqual(dialogos.slice(inicioDialogos), []);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caso.passou = true;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relatorio.aprovados++;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console.log(`Caso ${caso.numero}: PASSOU`);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} catch (erro) {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caso.erro = erro.message;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console.error(`Caso ${caso.numero}: FALHOU`);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}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caso.errosNavegador = erros.slice(inicioErros);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caso.dialogos = dialogos.slice(inicioDialogos);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relatorio.casos.push(caso);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}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} catch (erro) {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relatorio.erroGeral = erro.message;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process.exitCode = 1;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} finally {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try {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writeFileSync(saidaPath,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    JSON.stringify(relatorio, null, 2), "utf8");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  } finally { await browser.close(); }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}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console.log(`Aprovados: ${relatorio.aprovados}/${relatorio.total}`);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if (relatorio.aprovados !== relatorio.total) process.exitCode = 1;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})().catch(erro =&gt; {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console.error("FALHOU:", erro);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 xml:space="preserve">  process.exitCode = 1;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});</w:t>
      </w:r>
    </w:p>
    <w:p>
      <w:pPr>
        <w:spacing w:after="40"/>
      </w:pPr>
    </w:p>
    <w:p>
      <w:r>
        <w:br w:type="page"/>
      </w:r>
    </w:p>
    <w:p>
      <w:pPr>
        <w:pStyle w:val="Heading1"/>
      </w:pPr>
      <w:r>
        <w:t>Apêndice D Exemplos e protocolo de reprodução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/>
        </w:trP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7E7"/>
          </w:tcPr>
          <w:p>
            <w:pPr>
              <w:spacing w:before="80" w:after="80"/>
            </w:pPr>
            <w:r>
              <w:rPr>
                <w:b/>
                <w:sz w:val="18"/>
              </w:rPr>
              <w:t>Entrada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7E7"/>
          </w:tcPr>
          <w:p>
            <w:pPr>
              <w:spacing w:before="80" w:after="80"/>
            </w:pPr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String vazia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Olá, !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Franciny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Olá, Franciny!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&lt;strong&gt;Franciny&lt;/strong&gt;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Tags visíveis como texto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${nome}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Expressão visível como texto</w:t>
            </w:r>
          </w:p>
        </w:tc>
      </w:tr>
      <w:tr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Aspas e Unicode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 w:val="0"/>
                <w:sz w:val="18"/>
              </w:rPr>
              <w:t>Conteúdo textual preservado</w:t>
            </w:r>
          </w:p>
        </w:tc>
      </w:tr>
    </w:tbl>
    <w:p/>
    <w:p>
      <w:r>
        <w:t>Preparação do ambiente informada pelo pesquisador: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npm init -y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npm install --save-dev playwright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npx playwright install chromium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npx playwright --version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node .\teste-texto.cjs</w:t>
      </w:r>
    </w:p>
    <w:p>
      <w:pPr>
        <w:spacing w:after="40"/>
      </w:pPr>
    </w:p>
    <w:p>
      <w:r>
        <w:t>Corpus consultado: https://raw.githubusercontent.com/minimaxir/big-list-of-naughty-strings/master/blns.json. Para repetir exatamente o conjunto, é necessário preservar os bytes que correspondem ao hash registrado; a branch master pode mudar.</w:t>
      </w:r>
    </w:p>
    <w:p>
      <w:r>
        <w:t>Identificação local dos arquivos no PowerShell: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Get-FileHash .\exemplo.html -Algorithm SHA256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Get-FileHash .\modelo.smt2 -Algorithm SHA256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Get-FileHash .\blns.json -Algorithm SHA256</w:t>
      </w:r>
    </w:p>
    <w:p>
      <w:pPr>
        <w:spacing w:after="40"/>
      </w:pPr>
    </w:p>
    <w:p>
      <w:r>
        <w:t>Resumo observado no console: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Aprovados: 515/515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Entradas alteradas pelo campo: 0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Chromium: 153.0.8010.12</w:t>
      </w:r>
    </w:p>
    <w:p>
      <w:pPr>
        <w:widowControl w:val="0"/>
        <w:spacing w:after="0" w:line="240" w:lineRule="auto"/>
      </w:pPr>
      <w:r>
        <w:rPr>
          <w:rFonts w:ascii="DejaVu Sans Mono" w:hAnsi="DejaVu Sans Mono"/>
          <w:sz w:val="15"/>
        </w:rPr>
        <w:t>Relatório salvo em resultados-blns.json</w:t>
      </w:r>
    </w:p>
    <w:p>
      <w:pPr>
        <w:spacing w:after="40"/>
      </w:pPr>
    </w:p>
    <w:p>
      <w:r>
        <w:t>A reprodução deve preservar o HTML e o modelo originais. Atualizar dependências, navegador ou corpus cria uma nova configuração experimental, a ser registrada separadamente. Testes adicionais podem ampliar observações, mas não substituem a explicitação das hipóteses.</w:t>
      </w:r>
    </w:p>
    <w:sectPr w:rsidR="00FC693F" w:rsidRPr="0006063C" w:rsidSect="00034616">
      <w:footerReference w:type="default" r:id="rId9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Estudo de caso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64" w:lineRule="auto"/>
    </w:pPr>
    <w:rPr>
      <w:rFonts w:ascii="DejaVu Serif" w:hAnsi="DejaVu Serif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64" w:lineRule="auto"/>
      <w:outlineLvl w:val="0"/>
    </w:pPr>
    <w:rPr>
      <w:rFonts w:asciiTheme="majorHAnsi" w:eastAsiaTheme="majorEastAsia" w:hAnsiTheme="majorHAnsi" w:cstheme="majorBidi" w:ascii="DejaVu Serif" w:hAnsi="DejaVu Serif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4" w:lineRule="auto"/>
      <w:outlineLvl w:val="1"/>
    </w:pPr>
    <w:rPr>
      <w:rFonts w:asciiTheme="majorHAnsi" w:eastAsiaTheme="majorEastAsia" w:hAnsiTheme="majorHAnsi" w:cstheme="majorBidi" w:ascii="DejaVu Serif" w:hAnsi="DejaVu Serif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64" w:lineRule="auto"/>
      <w:contextualSpacing/>
    </w:pPr>
    <w:rPr>
      <w:rFonts w:asciiTheme="majorHAnsi" w:eastAsiaTheme="majorEastAsia" w:hAnsiTheme="majorHAnsi" w:cstheme="majorBidi" w:ascii="DejaVu Serif" w:hAnsi="DejaVu Serif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4" w:lineRule="auto"/>
    </w:pPr>
    <w:rPr>
      <w:rFonts w:asciiTheme="majorHAnsi" w:eastAsiaTheme="majorEastAsia" w:hAnsiTheme="majorHAnsi" w:cstheme="majorBidi" w:ascii="DejaVu Serif" w:hAnsi="DejaVu Serif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Verificação formal da inserção textual no DOM para mitigação de XSS</dc:title>
  <dc:subject>Modelo SMT e validação empírica de textContent</dc:subject>
  <dc:creator>Franciny Rojas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