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Week 1 Project Report</w:t>
      </w:r>
    </w:p>
    <w:p>
      <w:pPr>
        <w:spacing w:after="300"/>
      </w:pPr>
      <w:r>
        <w:rPr>
          <w:i/>
          <w:iCs/>
          <w:color w:val="555555"/>
          <w:sz w:val="22"/>
          <w:szCs w:val="22"/>
        </w:rPr>
        <w:t xml:space="preserve">Breast Cancer Diagnosis Classifier — AI/ML Internship, Advance Soft Logics</w:t>
      </w:r>
    </w:p>
    <w:p>
      <w:pPr>
        <w:pStyle w:val="Heading1"/>
        <w:spacing w:after="120" w:before="240"/>
      </w:pPr>
      <w:r>
        <w:t xml:space="preserve">Objective</w:t>
      </w:r>
    </w:p>
    <w:p>
      <w:pPr>
        <w:spacing w:after="160"/>
      </w:pPr>
      <w:r>
        <w:rPr>
          <w:sz w:val="22"/>
          <w:szCs w:val="22"/>
        </w:rPr>
        <w:t xml:space="preserve">Build a complete, beginner end-to-end machine learning pipeline: load a public dataset, inspect and clean it, explore it visually, train baseline models, evaluate them properly, and document every decision — all organized with a reproducible folder structure and a milestone-based Git history.</w:t>
      </w:r>
    </w:p>
    <w:p>
      <w:pPr>
        <w:pStyle w:val="Heading1"/>
        <w:spacing w:after="120" w:before="240"/>
      </w:pPr>
      <w:r>
        <w:t xml:space="preserve">What Was Built</w:t>
      </w:r>
    </w:p>
    <w:p>
      <w:pPr>
        <w:spacing w:after="160"/>
      </w:pPr>
      <w:r>
        <w:rPr>
          <w:sz w:val="22"/>
          <w:szCs w:val="22"/>
        </w:rPr>
        <w:t xml:space="preserve">The project uses the Breast Cancer Wisconsin (Diagnostic) dataset, a public 569-row binary classification dataset bundled with scikit-learn (30 numeric features; target is malignant vs benign). Work was split into three phases, each committed to Git separately:</w:t>
      </w:r>
    </w:p>
    <w:p>
      <w:pPr>
        <w:pStyle w:val="ListParagraph"/>
        <w:numPr>
          <w:ilvl w:val="0"/>
          <w:numId w:val="1"/>
        </w:numPr>
        <w:spacing w:after="80"/>
      </w:pPr>
      <w:r>
        <w:rPr>
          <w:sz w:val="22"/>
          <w:szCs w:val="22"/>
        </w:rPr>
        <w:t xml:space="preserve">Day 1 — Project scaffolding (data/src/notebooks/outputs/reports folders), a reproducible data-loading script, and an initial inspection confirming no missing values, no duplicates, and a mild class imbalance (357 benign / 212 malignant).</w:t>
      </w:r>
    </w:p>
    <w:p>
      <w:pPr>
        <w:pStyle w:val="ListParagraph"/>
        <w:numPr>
          <w:ilvl w:val="0"/>
          <w:numId w:val="1"/>
        </w:numPr>
        <w:spacing w:after="80"/>
      </w:pPr>
      <w:r>
        <w:rPr>
          <w:sz w:val="22"/>
          <w:szCs w:val="22"/>
        </w:rPr>
        <w:t xml:space="preserve">Day 2 — A cleaning script that re-verified data quality and added a readable label column, plus four exploratory visualizations: class balance, a boxplot of tumor radius by diagnosis, an overlapping histogram of tumor texture, and a feature correlation heatmap.</w:t>
      </w:r>
    </w:p>
    <w:p>
      <w:pPr>
        <w:pStyle w:val="ListParagraph"/>
        <w:numPr>
          <w:ilvl w:val="0"/>
          <w:numId w:val="1"/>
        </w:numPr>
        <w:spacing w:after="80"/>
      </w:pPr>
      <w:r>
        <w:rPr>
          <w:sz w:val="22"/>
          <w:szCs w:val="22"/>
        </w:rPr>
        <w:t xml:space="preserve">Day 3 — A stratified 80/20 train/test split, two baseline models trained for comparison (Logistic Regression inside a scikit-learn Pipeline with StandardScaler, and a Random Forest), full evaluation with accuracy/precision/recall/F1, confusion matrices for both models, and a feature-importance chart.</w:t>
      </w:r>
    </w:p>
    <w:p>
      <w:pPr>
        <w:pStyle w:val="Heading1"/>
        <w:spacing w:after="120" w:before="240"/>
      </w:pPr>
      <w:r>
        <w:t xml:space="preserve">Results</w:t>
      </w:r>
    </w:p>
    <w:p>
      <w:pPr>
        <w:spacing w:after="160"/>
      </w:pPr>
      <w:r>
        <w:rPr>
          <w:sz w:val="22"/>
          <w:szCs w:val="22"/>
        </w:rPr>
        <w:t xml:space="preserve">Malignant was treated as the positive class for precision/recall/F1, since in a medical screening context a missed malignant case (false negative) is the more costly error than a false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c>
          <w:tcPr>
            <w:tcW w:type="dxa" w:w="2700"/>
            <w:shd w:fill="2F5496" w:val="clear"/>
          </w:tcPr>
          <w:p>
            <w:r>
              <w:rPr>
                <w:b/>
                <w:bCs/>
                <w:color w:val="FFFFFF"/>
                <w:sz w:val="20"/>
                <w:szCs w:val="20"/>
              </w:rPr>
              <w:t xml:space="preserve">Model</w:t>
            </w:r>
          </w:p>
        </w:tc>
        <w:tc>
          <w:tcPr>
            <w:tcW w:type="dxa" w:w="1665"/>
            <w:shd w:fill="2F5496" w:val="clear"/>
          </w:tcPr>
          <w:p>
            <w:r>
              <w:rPr>
                <w:b/>
                <w:bCs/>
                <w:color w:val="FFFFFF"/>
                <w:sz w:val="20"/>
                <w:szCs w:val="20"/>
              </w:rPr>
              <w:t xml:space="preserve">Accuracy</w:t>
            </w:r>
          </w:p>
        </w:tc>
        <w:tc>
          <w:tcPr>
            <w:tcW w:type="dxa" w:w="1665"/>
            <w:shd w:fill="2F5496" w:val="clear"/>
          </w:tcPr>
          <w:p>
            <w:r>
              <w:rPr>
                <w:b/>
                <w:bCs/>
                <w:color w:val="FFFFFF"/>
                <w:sz w:val="20"/>
                <w:szCs w:val="20"/>
              </w:rPr>
              <w:t xml:space="preserve">Precision</w:t>
            </w:r>
          </w:p>
        </w:tc>
        <w:tc>
          <w:tcPr>
            <w:tcW w:type="dxa" w:w="1665"/>
            <w:shd w:fill="2F5496" w:val="clear"/>
          </w:tcPr>
          <w:p>
            <w:r>
              <w:rPr>
                <w:b/>
                <w:bCs/>
                <w:color w:val="FFFFFF"/>
                <w:sz w:val="20"/>
                <w:szCs w:val="20"/>
              </w:rPr>
              <w:t xml:space="preserve">Recall</w:t>
            </w:r>
          </w:p>
        </w:tc>
        <w:tc>
          <w:tcPr>
            <w:tcW w:type="dxa" w:w="1665"/>
            <w:shd w:fill="2F5496" w:val="clear"/>
          </w:tcPr>
          <w:p>
            <w:r>
              <w:rPr>
                <w:b/>
                <w:bCs/>
                <w:color w:val="FFFFFF"/>
                <w:sz w:val="20"/>
                <w:szCs w:val="20"/>
              </w:rPr>
              <w:t xml:space="preserve">F1 Score</w:t>
            </w:r>
          </w:p>
        </w:tc>
      </w:tr>
      <w:tr>
        <w:tc>
          <w:tcPr>
            <w:tcW w:type="dxa" w:w="2700"/>
          </w:tcPr>
          <w:p>
            <w:r>
              <w:rPr>
                <w:sz w:val="20"/>
                <w:szCs w:val="20"/>
              </w:rPr>
              <w:t xml:space="preserve">Logistic Regression</w:t>
            </w:r>
          </w:p>
        </w:tc>
        <w:tc>
          <w:tcPr>
            <w:tcW w:type="dxa" w:w="1665"/>
          </w:tcPr>
          <w:p>
            <w:r>
              <w:rPr>
                <w:sz w:val="20"/>
                <w:szCs w:val="20"/>
              </w:rPr>
              <w:t xml:space="preserve">0.9825</w:t>
            </w:r>
          </w:p>
        </w:tc>
        <w:tc>
          <w:tcPr>
            <w:tcW w:type="dxa" w:w="1665"/>
          </w:tcPr>
          <w:p>
            <w:r>
              <w:rPr>
                <w:sz w:val="20"/>
                <w:szCs w:val="20"/>
              </w:rPr>
              <w:t xml:space="preserve">0.9762</w:t>
            </w:r>
          </w:p>
        </w:tc>
        <w:tc>
          <w:tcPr>
            <w:tcW w:type="dxa" w:w="1665"/>
          </w:tcPr>
          <w:p>
            <w:r>
              <w:rPr>
                <w:sz w:val="20"/>
                <w:szCs w:val="20"/>
              </w:rPr>
              <w:t xml:space="preserve">0.9762</w:t>
            </w:r>
          </w:p>
        </w:tc>
        <w:tc>
          <w:tcPr>
            <w:tcW w:type="dxa" w:w="1665"/>
          </w:tcPr>
          <w:p>
            <w:r>
              <w:rPr>
                <w:sz w:val="20"/>
                <w:szCs w:val="20"/>
              </w:rPr>
              <w:t xml:space="preserve">0.9762</w:t>
            </w:r>
          </w:p>
        </w:tc>
      </w:tr>
      <w:tr>
        <w:tc>
          <w:tcPr>
            <w:tcW w:type="dxa" w:w="2700"/>
          </w:tcPr>
          <w:p>
            <w:r>
              <w:rPr>
                <w:sz w:val="20"/>
                <w:szCs w:val="20"/>
              </w:rPr>
              <w:t xml:space="preserve">Random Forest</w:t>
            </w:r>
          </w:p>
        </w:tc>
        <w:tc>
          <w:tcPr>
            <w:tcW w:type="dxa" w:w="1665"/>
          </w:tcPr>
          <w:p>
            <w:r>
              <w:rPr>
                <w:sz w:val="20"/>
                <w:szCs w:val="20"/>
              </w:rPr>
              <w:t xml:space="preserve">0.9561</w:t>
            </w:r>
          </w:p>
        </w:tc>
        <w:tc>
          <w:tcPr>
            <w:tcW w:type="dxa" w:w="1665"/>
          </w:tcPr>
          <w:p>
            <w:r>
              <w:rPr>
                <w:sz w:val="20"/>
                <w:szCs w:val="20"/>
              </w:rPr>
              <w:t xml:space="preserve">0.9512</w:t>
            </w:r>
          </w:p>
        </w:tc>
        <w:tc>
          <w:tcPr>
            <w:tcW w:type="dxa" w:w="1665"/>
          </w:tcPr>
          <w:p>
            <w:r>
              <w:rPr>
                <w:sz w:val="20"/>
                <w:szCs w:val="20"/>
              </w:rPr>
              <w:t xml:space="preserve">0.9286</w:t>
            </w:r>
          </w:p>
        </w:tc>
        <w:tc>
          <w:tcPr>
            <w:tcW w:type="dxa" w:w="1665"/>
          </w:tcPr>
          <w:p>
            <w:r>
              <w:rPr>
                <w:sz w:val="20"/>
                <w:szCs w:val="20"/>
              </w:rPr>
              <w:t xml:space="preserve">0.9398</w:t>
            </w:r>
          </w:p>
        </w:tc>
      </w:tr>
    </w:tbl>
    <w:p>
      <w:pPr>
        <w:spacing w:after="200"/>
      </w:pPr>
    </w:p>
    <w:p>
      <w:pPr>
        <w:spacing w:after="160"/>
      </w:pPr>
      <w:r>
        <w:rPr>
          <w:sz w:val="22"/>
          <w:szCs w:val="22"/>
        </w:rPr>
        <w:t xml:space="preserve">Logistic Regression outperformed Random Forest on every metric in this run, and — most importantly for this problem — missed only 1 malignant case out of 42 in the test set, versus 3 missed by Random Forest. The correlation heatmap and the Random Forest's feature-importance chart agree on which features matter most: measures of tumor size and shape irregularity (worst perimeter, worst area, worst/mean concave points, worst radius) are the strongest predictors of malignancy.</w:t>
      </w:r>
    </w:p>
    <w:p>
      <w:pPr>
        <w:pStyle w:val="Heading1"/>
        <w:spacing w:after="120" w:before="240"/>
      </w:pPr>
      <w:r>
        <w:t xml:space="preserve">Challenges Faced and How They Were Solved</w:t>
      </w:r>
    </w:p>
    <w:p>
      <w:pPr>
        <w:pStyle w:val="ListParagraph"/>
        <w:numPr>
          <w:ilvl w:val="0"/>
          <w:numId w:val="1"/>
        </w:numPr>
        <w:spacing w:after="80"/>
      </w:pPr>
      <w:r>
        <w:rPr>
          <w:sz w:val="22"/>
          <w:szCs w:val="22"/>
        </w:rPr>
        <w:t xml:space="preserve">Choosing the positive class: scikit-learn's default target encoding (0 = malignant, 1 = benign) meant metrics would default to scoring the benign class as "positive." This was solved by explicitly setting pos_label=0 in every metric call and documenting the reasoning in code comments, so precision/recall reflect performance on catching malignant cases.</w:t>
      </w:r>
    </w:p>
    <w:p>
      <w:pPr>
        <w:pStyle w:val="ListParagraph"/>
        <w:numPr>
          <w:ilvl w:val="0"/>
          <w:numId w:val="1"/>
        </w:numPr>
        <w:spacing w:after="80"/>
      </w:pPr>
      <w:r>
        <w:rPr>
          <w:sz w:val="22"/>
          <w:szCs w:val="22"/>
        </w:rPr>
        <w:t xml:space="preserve">Class imbalance (63% benign / 37% malignant): addressed by using stratified train/test splitting so both sets preserve the original class ratio, and by reporting precision/recall/F1 alongside accuracy rather than accuracy alone, since accuracy can look artificially high on imbalanced data.</w:t>
      </w:r>
    </w:p>
    <w:p>
      <w:pPr>
        <w:pStyle w:val="ListParagraph"/>
        <w:numPr>
          <w:ilvl w:val="0"/>
          <w:numId w:val="1"/>
        </w:numPr>
        <w:spacing w:after="80"/>
      </w:pPr>
      <w:r>
        <w:rPr>
          <w:sz w:val="22"/>
          <w:szCs w:val="22"/>
        </w:rPr>
        <w:t xml:space="preserve">Keeping the test set identical across scripts: training and evaluation were originally separate runs that could each re-split the data differently. This was solved by saving the exact test split (X_test.csv / y_test.csv) from train.py and having evaluate.py load that same file, guaranteeing an apples-to-apples comparison between models.</w:t>
      </w:r>
    </w:p>
    <w:p>
      <w:pPr>
        <w:pStyle w:val="ListParagraph"/>
        <w:numPr>
          <w:ilvl w:val="0"/>
          <w:numId w:val="1"/>
        </w:numPr>
        <w:spacing w:after="80"/>
      </w:pPr>
      <w:r>
        <w:rPr>
          <w:sz w:val="22"/>
          <w:szCs w:val="22"/>
        </w:rPr>
        <w:t xml:space="preserve">Reproducibility: every script uses relative paths built from its own file location rather than hard-coded absolute paths, and a fixed random_state (42) is used everywhere randomness is involved, so re-running the pipeline on any machine produces identical results.</w:t>
      </w:r>
    </w:p>
    <w:p>
      <w:pPr>
        <w:pStyle w:val="Heading1"/>
        <w:spacing w:after="120" w:before="240"/>
      </w:pPr>
      <w:r>
        <w:t xml:space="preserve">Conclusion</w:t>
      </w:r>
    </w:p>
    <w:p>
      <w:pPr>
        <w:spacing w:after="160"/>
      </w:pPr>
      <w:r>
        <w:rPr>
          <w:sz w:val="22"/>
          <w:szCs w:val="22"/>
        </w:rPr>
        <w:t xml:space="preserve">Both baseline models perform strongly on this dataset, but Logistic Regression is the better choice here: it is simpler, more interpretable, and — critically — has higher recall on malignant cases, which matters most for a screening task. The features that separate the classes most cleanly are all related to tumor size and boundary irregularity, which lines up with clinical intuition (larger, more irregularly shaped tumors are more likely to be malignant).</w:t>
      </w:r>
    </w:p>
    <w:p>
      <w:pPr>
        <w:spacing w:after="160"/>
      </w:pPr>
      <w:r>
        <w:rPr>
          <w:sz w:val="22"/>
          <w:szCs w:val="22"/>
        </w:rPr>
        <w:t xml:space="preserve">Next steps to improve this project further: try cross-validation instead of a single train/test split to get more reliable metric estimates, tune hyperparameters (e.g. Random Forest depth/estimators, Logistic Regression regularization strength) with GridSearchCV, and test additional models such as Support Vector Machines or Gradient Boosting to see if they can close the recall gap on malignant cases even further.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2026-09-06T12:23:53.240Z</dcterms:created>
  <dcterms:modified xsi:type="dcterms:W3CDTF">2026-09-06T12:23:53.251Z</dcterms:modified>
</cp:coreProperties>
</file>

<file path=docProps/custom.xml><?xml version="1.0" encoding="utf-8"?>
<Properties xmlns="http://schemas.openxmlformats.org/officeDocument/2006/custom-properties" xmlns:vt="http://schemas.openxmlformats.org/officeDocument/2006/docPropsVTypes"/>
</file>