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400" w:line="240" w:lineRule="auto"/>
        <w:jc w:val="center"/>
      </w:pPr>
      <w:r>
        <w:rPr>
          <w:rFonts w:ascii="Calibri" w:hAnsi="Calibri" w:eastAsia="Microsoft YaHei"/>
          <w:b/>
          <w:color w:val="1F4D78"/>
          <w:sz w:val="56"/>
        </w:rPr>
        <w:t>毕业设计报告</w:t>
      </w:r>
    </w:p>
    <w:p>
      <w:pPr>
        <w:spacing w:before="0" w:after="1000" w:line="240" w:lineRule="auto"/>
        <w:jc w:val="center"/>
      </w:pPr>
      <w:r>
        <w:rPr>
          <w:rFonts w:ascii="Calibri" w:hAnsi="Calibri" w:eastAsia="Microsoft YaHei"/>
          <w:b/>
          <w:color w:val="1F2937"/>
          <w:sz w:val="46"/>
        </w:rPr>
        <w:t>智能交通目标检测与任务管理系统</w:t>
      </w:r>
    </w:p>
    <w:tbl>
      <w:tblPr>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项目</w:t>
            </w:r>
          </w:p>
        </w:tc>
        <w:tc>
          <w:tcPr>
            <w:tcW w:type="dxa" w:w="70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填写内容</w:t>
            </w:r>
          </w:p>
        </w:tc>
      </w:tr>
      <w:tr>
        <w:trPr/>
        <w:tc>
          <w:tcPr>
            <w:tcW w:type="dxa" w:w="2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学院</w:t>
            </w:r>
          </w:p>
        </w:tc>
        <w:tc>
          <w:tcPr>
            <w:tcW w:type="dxa" w:w="7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____________________________</w:t>
            </w:r>
          </w:p>
        </w:tc>
      </w:tr>
      <w:tr>
        <w:trPr/>
        <w:tc>
          <w:tcPr>
            <w:tcW w:type="dxa" w:w="2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专业</w:t>
            </w:r>
          </w:p>
        </w:tc>
        <w:tc>
          <w:tcPr>
            <w:tcW w:type="dxa" w:w="7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____________________________</w:t>
            </w:r>
          </w:p>
        </w:tc>
      </w:tr>
      <w:tr>
        <w:trPr/>
        <w:tc>
          <w:tcPr>
            <w:tcW w:type="dxa" w:w="2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学生姓名</w:t>
            </w:r>
          </w:p>
        </w:tc>
        <w:tc>
          <w:tcPr>
            <w:tcW w:type="dxa" w:w="7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____________________________</w:t>
            </w:r>
          </w:p>
        </w:tc>
      </w:tr>
      <w:tr>
        <w:trPr/>
        <w:tc>
          <w:tcPr>
            <w:tcW w:type="dxa" w:w="2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学号</w:t>
            </w:r>
          </w:p>
        </w:tc>
        <w:tc>
          <w:tcPr>
            <w:tcW w:type="dxa" w:w="7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____________________________</w:t>
            </w:r>
          </w:p>
        </w:tc>
      </w:tr>
      <w:tr>
        <w:trPr/>
        <w:tc>
          <w:tcPr>
            <w:tcW w:type="dxa" w:w="2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指导教师</w:t>
            </w:r>
          </w:p>
        </w:tc>
        <w:tc>
          <w:tcPr>
            <w:tcW w:type="dxa" w:w="7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____________________________</w:t>
            </w:r>
          </w:p>
        </w:tc>
      </w:tr>
      <w:tr>
        <w:trPr/>
        <w:tc>
          <w:tcPr>
            <w:tcW w:type="dxa" w:w="2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完成日期</w:t>
            </w:r>
          </w:p>
        </w:tc>
        <w:tc>
          <w:tcPr>
            <w:tcW w:type="dxa" w:w="7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2026 年 ____ 月 ____ 日</w:t>
            </w:r>
          </w:p>
        </w:tc>
      </w:tr>
    </w:tbl>
    <w:p>
      <w:pPr>
        <w:spacing w:before="360" w:after="160" w:line="240" w:lineRule="auto"/>
        <w:jc w:val="center"/>
      </w:pPr>
      <w:r>
        <w:rPr>
          <w:rFonts w:ascii="Calibri" w:hAnsi="Calibri" w:eastAsia="Microsoft YaHei"/>
          <w:b w:val="0"/>
          <w:color w:val="667085"/>
          <w:sz w:val="19"/>
        </w:rPr>
        <w:t>说明：封面信息请按学校规范填写或替换。</w:t>
      </w:r>
    </w:p>
    <w:p>
      <w:r>
        <w:br w:type="page"/>
      </w:r>
    </w:p>
    <w:p>
      <w:pPr>
        <w:pStyle w:val="Heading1"/>
        <w:keepNext/>
      </w:pPr>
      <w:r>
        <w:t>摘  要</w:t>
      </w:r>
    </w:p>
    <w:p>
      <w:pPr>
        <w:spacing w:before="0" w:after="160" w:line="320" w:lineRule="auto"/>
        <w:jc w:val="both"/>
      </w:pPr>
      <w:r>
        <w:rPr>
          <w:rFonts w:ascii="Calibri" w:hAnsi="Calibri" w:eastAsia="Microsoft YaHei"/>
          <w:b w:val="0"/>
          <w:color w:val="1F2937"/>
          <w:sz w:val="22"/>
        </w:rPr>
        <w:t>针对道路交叉口和城市道路中交通目标检测结果难以直接服务于统计、任务管理和结果追溯的问题，本文设计并实现了智能交通目标检测与任务管理系统。系统采用 React/Vite 前端与 FastAPI 后端分离架构，以 YOLOv8 为基础完成行人、汽车、公交车和卡车四类道路目标检测，并在检测结果之上实现分类计数、归一化车道区域统计、可配置基准线进出统计、视频后台任务、WebSocket 进度推送和历史记录管理。</w:t>
      </w:r>
    </w:p>
    <w:p>
      <w:pPr>
        <w:spacing w:before="0" w:after="160" w:line="320" w:lineRule="auto"/>
        <w:jc w:val="both"/>
      </w:pPr>
      <w:r>
        <w:rPr>
          <w:rFonts w:ascii="Calibri" w:hAnsi="Calibri" w:eastAsia="Microsoft YaHei"/>
          <w:b w:val="0"/>
          <w:color w:val="1F2937"/>
          <w:sz w:val="22"/>
        </w:rPr>
        <w:t>在工程实现方面，系统对图片、视频、数据集和模型输入进行类型、大小与参数校验；视频检测使用可持久化的queued、running、completed、failed 状态机，避免耗时推理阻塞页面；历史记录支持单条与多选删除，并且仅清理应用输出目录中与记录关联的媒体文件。</w:t>
      </w:r>
    </w:p>
    <w:p>
      <w:pPr>
        <w:spacing w:before="0" w:after="160" w:line="320" w:lineRule="auto"/>
        <w:jc w:val="both"/>
      </w:pPr>
      <w:r>
        <w:rPr>
          <w:rFonts w:ascii="Calibri" w:hAnsi="Calibri" w:eastAsia="Microsoft YaHei"/>
          <w:b w:val="0"/>
          <w:color w:val="1F2937"/>
          <w:sz w:val="22"/>
        </w:rPr>
        <w:t>实验采用 COCO 2017 val2017 构建的交通目标子集，在固定随机种子下将 1 500 张图像用于训练、300 张图像用于验证。YOLOv8n、YOLOv8s 与 YOLOv8m 在相同预训练初始化、输入尺寸 640 x 640、batch=8 和 10 个训练轮次下进行训练。真实部署基准表明，在置信度阈值 0.40 下，YOLOv8n 的 Precision、Recall、F1 分别为 78.58%、47.19%、58.97%，模型推理时间为 8.36 ms/图，且 RSS 增量与 GPU 峰值显存均为三种规模中最低。因此，本文将 YOLOv8n 作为当前实验条件下的默认部署基线。</w:t>
      </w:r>
    </w:p>
    <w:p>
      <w:pPr>
        <w:spacing w:before="0" w:after="160" w:line="320" w:lineRule="auto"/>
        <w:jc w:val="both"/>
      </w:pPr>
      <w:r>
        <w:rPr>
          <w:rFonts w:ascii="Calibri" w:hAnsi="Calibri" w:eastAsia="Microsoft YaHei"/>
          <w:b/>
          <w:color w:val="1F4D78"/>
          <w:sz w:val="22"/>
        </w:rPr>
        <w:t>关键词：</w:t>
      </w:r>
      <w:r>
        <w:rPr>
          <w:rFonts w:ascii="Calibri" w:hAnsi="Calibri" w:eastAsia="Microsoft YaHei"/>
          <w:b w:val="0"/>
          <w:color w:val="1F2937"/>
          <w:sz w:val="22"/>
        </w:rPr>
        <w:t>交通目标检测；YOLOv8；视频任务；基准线统计；模型对比；历史记录管理</w:t>
      </w:r>
    </w:p>
    <w:p>
      <w:r>
        <w:br w:type="page"/>
      </w:r>
    </w:p>
    <w:p>
      <w:pPr>
        <w:pStyle w:val="Heading1"/>
        <w:keepNext/>
      </w:pPr>
      <w:r>
        <w:t>Abstract</w:t>
      </w:r>
    </w:p>
    <w:p>
      <w:pPr>
        <w:spacing w:before="0" w:after="160" w:line="320" w:lineRule="auto"/>
        <w:jc w:val="both"/>
      </w:pPr>
      <w:r>
        <w:rPr>
          <w:rFonts w:ascii="Calibri" w:hAnsi="Calibri" w:eastAsia="Microsoft YaHei"/>
          <w:b w:val="0"/>
          <w:color w:val="1F2937"/>
          <w:sz w:val="22"/>
        </w:rPr>
        <w:t>This report presents an intelligent traffic object detection and task management system for road-intersection and urban-road scenarios. The system uses a React/Vite frontend and a FastAPI backend. Based on YOLOv8, it detects four road-object classes: person, car, bus, and truck. It further provides class counting, normalized lane-region statistics, configurable baseline crossing counts, asynchronous video jobs, WebSocket progress updates, and persistent history management.</w:t>
      </w:r>
    </w:p>
    <w:p>
      <w:pPr>
        <w:spacing w:before="0" w:after="160" w:line="320" w:lineRule="auto"/>
        <w:jc w:val="both"/>
      </w:pPr>
      <w:r>
        <w:rPr>
          <w:rFonts w:ascii="Calibri" w:hAnsi="Calibri" w:eastAsia="Microsoft YaHei"/>
          <w:b w:val="0"/>
          <w:color w:val="1F2937"/>
          <w:sz w:val="22"/>
        </w:rPr>
        <w:t>The implementation validates uploaded images, videos, datasets, and model files. Video inference runs as a persistent queued/running/completed/failed job to keep the interface responsive. History deletion supports one or multiple selected records and removes only generated media under application-controlled output directories.</w:t>
      </w:r>
    </w:p>
    <w:p>
      <w:pPr>
        <w:spacing w:before="0" w:after="160" w:line="320" w:lineRule="auto"/>
        <w:jc w:val="both"/>
      </w:pPr>
      <w:r>
        <w:rPr>
          <w:rFonts w:ascii="Calibri" w:hAnsi="Calibri" w:eastAsia="Microsoft YaHei"/>
          <w:b w:val="0"/>
          <w:color w:val="1F2937"/>
          <w:sz w:val="22"/>
        </w:rPr>
        <w:t>A real experiment was conducted on a COCO 2017 traffic-object subset with 1,500 training images and 300 validation images. YOLOv8n, YOLOv8s, and YOLOv8m were trained under the same 640 x 640 input, batch size of 8, pretrained initialization, and 10-epoch budget. At a confidence threshold of 0.40, YOLOv8n achieved 78.58% precision, 47.19% recall, 58.97% F1, and 8.36 ms mean model inference per image on the benchmark device. It was selected as the deployment baseline within the stated experiment conditions.</w:t>
      </w:r>
    </w:p>
    <w:p>
      <w:pPr>
        <w:spacing w:before="0" w:after="160" w:line="320" w:lineRule="auto"/>
        <w:jc w:val="both"/>
      </w:pPr>
      <w:r>
        <w:rPr>
          <w:rFonts w:ascii="Calibri" w:hAnsi="Calibri" w:eastAsia="Microsoft YaHei"/>
          <w:b/>
          <w:color w:val="1F4D78"/>
          <w:sz w:val="22"/>
        </w:rPr>
        <w:t xml:space="preserve">Keywords: </w:t>
      </w:r>
      <w:r>
        <w:rPr>
          <w:rFonts w:ascii="Calibri" w:hAnsi="Calibri" w:eastAsia="Microsoft YaHei"/>
          <w:b w:val="0"/>
          <w:color w:val="1F2937"/>
          <w:sz w:val="22"/>
        </w:rPr>
        <w:t>traffic object detection; YOLOv8; video job; baseline crossing statistics; model comparison; history management</w:t>
      </w:r>
    </w:p>
    <w:p>
      <w:r>
        <w:br w:type="page"/>
      </w:r>
    </w:p>
    <w:p>
      <w:pPr>
        <w:pStyle w:val="Heading1"/>
        <w:keepNext/>
      </w:pPr>
      <w:r>
        <w:t>目  录</w:t>
      </w:r>
    </w:p>
    <w:p>
      <w:pPr>
        <w:spacing w:before="0" w:after="0" w:line="240" w:lineRule="auto"/>
        <w:jc w:val="left"/>
      </w:pPr>
      <w:r>
        <w:fldChar w:fldCharType="begin"/>
        <w:instrText xml:space="preserve"> TOC \o "1-3" \h \z \u </w:instrText>
        <w:fldChar w:fldCharType="separate"/>
        <w:t>打开 Word 后右键更新目录，或按 F9 更新页码。</w:t>
        <w:fldChar w:fldCharType="end"/>
      </w:r>
    </w:p>
    <w:p>
      <w:pPr>
        <w:pStyle w:val="Heading1"/>
        <w:keepNext/>
      </w:pPr>
      <w:r>
        <w:t>第1章 绪论</w:t>
      </w:r>
    </w:p>
    <w:p>
      <w:pPr>
        <w:pStyle w:val="Heading2"/>
        <w:keepNext/>
      </w:pPr>
      <w:r>
        <w:t>1.1 研究背景与意义</w:t>
      </w:r>
    </w:p>
    <w:p>
      <w:pPr>
        <w:spacing w:before="0" w:after="160" w:line="320" w:lineRule="auto"/>
        <w:jc w:val="both"/>
      </w:pPr>
      <w:r>
        <w:rPr>
          <w:rFonts w:ascii="Calibri" w:hAnsi="Calibri" w:eastAsia="Microsoft YaHei"/>
          <w:b w:val="0"/>
          <w:color w:val="1F2937"/>
          <w:sz w:val="22"/>
        </w:rPr>
        <w:t>道路交通视频中包含连续变化的车辆、行人和道路环境。传统的人工观察方式难以在大量图片和视频中及时汇总车辆类别、车道分布与进出方向。深度学习目标检测能够将视觉数据转化为目标类别、位置和置信度，为交通运行状态感知提供了基础。</w:t>
      </w:r>
    </w:p>
    <w:p>
      <w:pPr>
        <w:spacing w:before="0" w:after="160" w:line="320" w:lineRule="auto"/>
        <w:jc w:val="both"/>
      </w:pPr>
      <w:r>
        <w:rPr>
          <w:rFonts w:ascii="Calibri" w:hAnsi="Calibri" w:eastAsia="Microsoft YaHei"/>
          <w:b w:val="0"/>
          <w:color w:val="1F2937"/>
          <w:sz w:val="22"/>
        </w:rPr>
        <w:t>但单次检测输出的边界框不能直接满足实际系统的使用需求。面向交通应用，还需要根据目标位置产生分类和车道统计，在视频中追踪任务进度和跨线流量，保存可复查的检测媒体，并在错误输入或资源不可用时向用户返回明确提示。因此，本课题重点是形成“输入 - 推理 - 统计 - 任务 - 追溯”的业务闭环。</w:t>
      </w:r>
    </w:p>
    <w:p>
      <w:pPr>
        <w:pStyle w:val="Heading2"/>
        <w:keepNext/>
      </w:pPr>
      <w:r>
        <w:t>1.2 研究内容</w:t>
      </w:r>
    </w:p>
    <w:p>
      <w:pPr>
        <w:spacing w:before="0" w:after="160" w:line="320" w:lineRule="auto"/>
        <w:jc w:val="both"/>
      </w:pPr>
      <w:r>
        <w:rPr>
          <w:rFonts w:ascii="Calibri" w:hAnsi="Calibri" w:eastAsia="Microsoft YaHei"/>
          <w:b/>
          <w:color w:val="1F4D78"/>
          <w:sz w:val="22"/>
        </w:rPr>
        <w:t>交通目标检测：</w:t>
      </w:r>
      <w:r>
        <w:rPr>
          <w:rFonts w:ascii="Calibri" w:hAnsi="Calibri" w:eastAsia="Microsoft YaHei"/>
          <w:b w:val="0"/>
          <w:color w:val="1F2937"/>
          <w:sz w:val="22"/>
        </w:rPr>
        <w:t>以 YOLOv8 识别 person、car、bus、truck 四类道路目标，输出框、类别与置信度。</w:t>
      </w:r>
    </w:p>
    <w:p>
      <w:pPr>
        <w:spacing w:before="0" w:after="160" w:line="320" w:lineRule="auto"/>
        <w:jc w:val="both"/>
      </w:pPr>
      <w:r>
        <w:rPr>
          <w:rFonts w:ascii="Calibri" w:hAnsi="Calibri" w:eastAsia="Microsoft YaHei"/>
          <w:b/>
          <w:color w:val="1F4D78"/>
          <w:sz w:val="22"/>
        </w:rPr>
        <w:t>交通业务统计：</w:t>
      </w:r>
      <w:r>
        <w:rPr>
          <w:rFonts w:ascii="Calibri" w:hAnsi="Calibri" w:eastAsia="Microsoft YaHei"/>
          <w:b w:val="0"/>
          <w:color w:val="1F2937"/>
          <w:sz w:val="22"/>
        </w:rPr>
        <w:t>基于归一化中心点实现分类数量、东西南北区域车辆数量和可配置基准线进出统计。</w:t>
      </w:r>
    </w:p>
    <w:p>
      <w:pPr>
        <w:spacing w:before="0" w:after="160" w:line="320" w:lineRule="auto"/>
        <w:jc w:val="both"/>
      </w:pPr>
      <w:r>
        <w:rPr>
          <w:rFonts w:ascii="Calibri" w:hAnsi="Calibri" w:eastAsia="Microsoft YaHei"/>
          <w:b/>
          <w:color w:val="1F4D78"/>
          <w:sz w:val="22"/>
        </w:rPr>
        <w:t>任务与记录管理：</w:t>
      </w:r>
      <w:r>
        <w:rPr>
          <w:rFonts w:ascii="Calibri" w:hAnsi="Calibri" w:eastAsia="Microsoft YaHei"/>
          <w:b w:val="0"/>
          <w:color w:val="1F2937"/>
          <w:sz w:val="22"/>
        </w:rPr>
        <w:t>实现异步视频任务、WebSocket 进度推送、SQLite 持久化以及历史详情和安全批量删除。</w:t>
      </w:r>
    </w:p>
    <w:p>
      <w:pPr>
        <w:spacing w:before="0" w:after="160" w:line="320" w:lineRule="auto"/>
        <w:jc w:val="both"/>
      </w:pPr>
      <w:r>
        <w:rPr>
          <w:rFonts w:ascii="Calibri" w:hAnsi="Calibri" w:eastAsia="Microsoft YaHei"/>
          <w:b/>
          <w:color w:val="1F4D78"/>
          <w:sz w:val="22"/>
        </w:rPr>
        <w:t>真实实验评估：</w:t>
      </w:r>
      <w:r>
        <w:rPr>
          <w:rFonts w:ascii="Calibri" w:hAnsi="Calibri" w:eastAsia="Microsoft YaHei"/>
          <w:b w:val="0"/>
          <w:color w:val="1F2937"/>
          <w:sz w:val="22"/>
        </w:rPr>
        <w:t>通过统一数据集、统一训练条件和固定阈值运行点对模型、阈值、速度与资源占用进行对比。</w:t>
      </w:r>
    </w:p>
    <w:p>
      <w:pPr>
        <w:pStyle w:val="Heading2"/>
        <w:keepNext/>
      </w:pPr>
      <w:r>
        <w:t>1.3 报告结构</w:t>
      </w:r>
    </w:p>
    <w:p>
      <w:pPr>
        <w:spacing w:before="0" w:after="160" w:line="320" w:lineRule="auto"/>
        <w:jc w:val="both"/>
      </w:pPr>
      <w:r>
        <w:rPr>
          <w:rFonts w:ascii="Calibri" w:hAnsi="Calibri" w:eastAsia="Microsoft YaHei"/>
          <w:b w:val="0"/>
          <w:color w:val="1F2937"/>
          <w:sz w:val="22"/>
        </w:rPr>
        <w:t>第1章说明研究背景与内容；第2章介绍技术基础与需求；第3章给出总体架构；第4章说明检测、视频、统计与删除等关键实现；第5章记录真实训练与部署实验；第6章给出部署、接口和答辩演示说明；第7章总结系统贡献、实验边界与后续工作。</w:t>
      </w:r>
    </w:p>
    <w:p>
      <w:pPr>
        <w:pStyle w:val="Heading2"/>
        <w:keepNext/>
      </w:pPr>
      <w:r>
        <w:t>1.4 问题定义与技术路线</w:t>
      </w:r>
    </w:p>
    <w:p>
      <w:pPr>
        <w:spacing w:before="0" w:after="160" w:line="320" w:lineRule="auto"/>
        <w:jc w:val="both"/>
      </w:pPr>
      <w:r>
        <w:rPr>
          <w:rFonts w:ascii="Calibri" w:hAnsi="Calibri" w:eastAsia="Microsoft YaHei"/>
          <w:b w:val="0"/>
          <w:color w:val="1F2937"/>
          <w:sz w:val="22"/>
        </w:rPr>
        <w:t>本课题将道路图片和视频中的目标检测问题分解为四个相互衔接的环节：首先对输入文件、大小和业务参数进行校验；其次由检测模型输出目标框、类别和置信度；随后根据归一化中心点生成分类、车道和跨线统计；最后将结果、媒体和任务状态写入可查询的记录。这样的划分既保留了模型输出，也使系统可以回答“检测到什么、统计结果是什么、处理是否完成、结果如何复查”四类实际问题。</w:t>
      </w:r>
    </w:p>
    <w:tbl>
      <w:tblPr>
        <w:tblW w:type="dxa" w:w="9360"/>
        <w:jc w:val="left"/>
        <w:tblLayout w:type="fixed"/>
        <w:tblLook w:firstColumn="1" w:firstRow="1" w:lastColumn="0" w:lastRow="0" w:noHBand="0" w:noVBand="1" w:val="04A0"/>
        <w:tblInd w:type="dxa" w:w="120"/>
      </w:tblPr>
      <w:tblGrid>
        <w:gridCol w:w="1600"/>
        <w:gridCol w:w="2600"/>
        <w:gridCol w:w="3100"/>
        <w:gridCol w:w="2060"/>
      </w:tblGrid>
      <w:tr>
        <w:trPr>
          <w:tblHeader w:val="true"/>
        </w:trPr>
        <w:tc>
          <w:tcPr>
            <w:tcW w:type="dxa" w:w="16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阶段</w:t>
            </w:r>
          </w:p>
        </w:tc>
        <w:tc>
          <w:tcPr>
            <w:tcW w:type="dxa" w:w="26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主要输入</w:t>
            </w:r>
          </w:p>
        </w:tc>
        <w:tc>
          <w:tcPr>
            <w:tcW w:type="dxa" w:w="31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核心处理</w:t>
            </w:r>
          </w:p>
        </w:tc>
        <w:tc>
          <w:tcPr>
            <w:tcW w:type="dxa" w:w="20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预期输出</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输入与校验</w:t>
            </w:r>
          </w:p>
        </w:tc>
        <w:tc>
          <w:tcPr>
            <w:tcW w:type="dxa" w:w="2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图像、视频、基准线配置</w:t>
            </w:r>
          </w:p>
        </w:tc>
        <w:tc>
          <w:tcPr>
            <w:tcW w:type="dxa" w:w="3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格式、大小、方向与位置范围检查</w:t>
            </w:r>
          </w:p>
        </w:tc>
        <w:tc>
          <w:tcPr>
            <w:tcW w:type="dxa" w:w="2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避免无效请求进入推理</w:t>
            </w:r>
          </w:p>
        </w:tc>
      </w:tr>
      <w:tr>
        <w:trPr/>
        <w:tc>
          <w:tcPr>
            <w:tcW w:type="dxa" w:w="1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模型推理</w:t>
            </w:r>
          </w:p>
        </w:tc>
        <w:tc>
          <w:tcPr>
            <w:tcW w:type="dxa" w:w="2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合法图片或视频帧</w:t>
            </w:r>
          </w:p>
        </w:tc>
        <w:tc>
          <w:tcPr>
            <w:tcW w:type="dxa" w:w="3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YOLOv8 输出类别、置信度与边界框</w:t>
            </w:r>
          </w:p>
        </w:tc>
        <w:tc>
          <w:tcPr>
            <w:tcW w:type="dxa" w:w="2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筛选四类交通目标</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业务统计</w:t>
            </w:r>
          </w:p>
        </w:tc>
        <w:tc>
          <w:tcPr>
            <w:tcW w:type="dxa" w:w="2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检测对象和归一化中心点</w:t>
            </w:r>
          </w:p>
        </w:tc>
        <w:tc>
          <w:tcPr>
            <w:tcW w:type="dxa" w:w="3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类别/车道/进出数量</w:t>
            </w:r>
          </w:p>
        </w:tc>
        <w:tc>
          <w:tcPr>
            <w:tcW w:type="dxa" w:w="2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输出稳定的结构化统计</w:t>
            </w:r>
          </w:p>
        </w:tc>
      </w:tr>
      <w:tr>
        <w:trPr/>
        <w:tc>
          <w:tcPr>
            <w:tcW w:type="dxa" w:w="1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任务与存储</w:t>
            </w:r>
          </w:p>
        </w:tc>
        <w:tc>
          <w:tcPr>
            <w:tcW w:type="dxa" w:w="2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视频帧、媒体和任务数据</w:t>
            </w:r>
          </w:p>
        </w:tc>
        <w:tc>
          <w:tcPr>
            <w:tcW w:type="dxa" w:w="3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状态、进度、结果路径和错误信息</w:t>
            </w:r>
          </w:p>
        </w:tc>
        <w:tc>
          <w:tcPr>
            <w:tcW w:type="dxa" w:w="2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支持刷新后查询与追溯</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展示与管理</w:t>
            </w:r>
          </w:p>
        </w:tc>
        <w:tc>
          <w:tcPr>
            <w:tcW w:type="dxa" w:w="2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JSON、标注图和标注视频</w:t>
            </w:r>
          </w:p>
        </w:tc>
        <w:tc>
          <w:tcPr>
            <w:tcW w:type="dxa" w:w="3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页面可视化、历史详情和删除</w:t>
            </w:r>
          </w:p>
        </w:tc>
        <w:tc>
          <w:tcPr>
            <w:tcW w:type="dxa" w:w="2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形成检测业务闭环</w:t>
            </w:r>
          </w:p>
        </w:tc>
      </w:tr>
    </w:tbl>
    <w:p>
      <w:pPr>
        <w:spacing w:before="80" w:after="160" w:line="240" w:lineRule="auto"/>
        <w:jc w:val="center"/>
      </w:pPr>
      <w:r>
        <w:rPr>
          <w:rFonts w:ascii="Calibri" w:hAnsi="Calibri" w:eastAsia="Microsoft YaHei"/>
          <w:b w:val="0"/>
          <w:color w:val="667085"/>
          <w:sz w:val="19"/>
        </w:rPr>
        <w:t>表1-1 课题问题分解与技术路线</w:t>
      </w:r>
    </w:p>
    <w:p>
      <w:pPr>
        <w:pStyle w:val="Heading2"/>
        <w:keepNext/>
      </w:pPr>
      <w:r>
        <w:t>1.5 研究方法</w:t>
      </w:r>
    </w:p>
    <w:p>
      <w:pPr>
        <w:spacing w:before="0" w:after="160" w:line="320" w:lineRule="auto"/>
        <w:jc w:val="both"/>
      </w:pPr>
      <w:r>
        <w:rPr>
          <w:rFonts w:ascii="Calibri" w:hAnsi="Calibri" w:eastAsia="Microsoft YaHei"/>
          <w:b w:val="0"/>
          <w:color w:val="1F2937"/>
          <w:sz w:val="22"/>
        </w:rPr>
        <w:t>在方法上，本文采用“工程实现与可复现实验并行”的路线。工程部分以接口契约、状态机和数据对象为边界实现功能；实验部分固定数据划分、预训练初始化、输入分辨率、批量大小和训练轮次，对不同模型规模及置信度运行点进行比较。模型选择不只比较精度，也同时记录模型推理时间、端到端时间、RSS 增量和 GPU 峰值显存。</w:t>
      </w:r>
    </w:p>
    <w:p>
      <w:pPr>
        <w:spacing w:before="0" w:after="160" w:line="320" w:lineRule="auto"/>
        <w:jc w:val="both"/>
      </w:pPr>
      <w:r>
        <w:rPr>
          <w:rFonts w:ascii="Calibri" w:hAnsi="Calibri" w:eastAsia="Microsoft YaHei"/>
          <w:b w:val="0"/>
          <w:color w:val="1F2937"/>
          <w:sz w:val="22"/>
        </w:rPr>
        <w:t>因此，系统设计和实验分析之间存在明确对应关系：前端默认模型与置信度来自第5章的统一基准，视频任务和删除策略来自可操作的接口与持久化约束，报告中的实现说明均可以在项目源码、接口文档和实验结果文件中核查。</w:t>
      </w:r>
    </w:p>
    <w:p>
      <w:r>
        <w:br w:type="page"/>
      </w:r>
    </w:p>
    <w:p>
      <w:pPr>
        <w:pStyle w:val="Heading1"/>
        <w:keepNext/>
      </w:pPr>
      <w:r>
        <w:t>第2章 技术基础与需求分析</w:t>
      </w:r>
    </w:p>
    <w:p>
      <w:pPr>
        <w:pStyle w:val="Heading2"/>
        <w:keepNext/>
      </w:pPr>
      <w:r>
        <w:t>2.1 目标检测与 YOLOv8</w:t>
      </w:r>
    </w:p>
    <w:p>
      <w:pPr>
        <w:spacing w:before="0" w:after="160" w:line="320" w:lineRule="auto"/>
        <w:jc w:val="both"/>
      </w:pPr>
      <w:r>
        <w:rPr>
          <w:rFonts w:ascii="Calibri" w:hAnsi="Calibri" w:eastAsia="Microsoft YaHei"/>
          <w:b w:val="0"/>
          <w:color w:val="1F2937"/>
          <w:sz w:val="22"/>
        </w:rPr>
        <w:t>目标检测任务需要同时预测对象类别和边界框。本文通过 Ultralytics 的 YOLOv8 实现推理和训练流程，并将 COCO 类别中的 person、car、bus、truck 映射为交通业务目标集合。系统不修改 YOLO 网络结构，工程重点在于将检测输出稳定地接入统计、任务与历史管理模块。</w:t>
      </w:r>
    </w:p>
    <w:p>
      <w:pPr>
        <w:pStyle w:val="Heading2"/>
        <w:keepNext/>
      </w:pPr>
      <w:r>
        <w:t>2.2 Web 与服务端技术</w:t>
      </w:r>
    </w:p>
    <w:tbl>
      <w:tblPr>
        <w:tblW w:type="dxa" w:w="9360"/>
        <w:jc w:val="left"/>
        <w:tblLayout w:type="fixed"/>
        <w:tblLook w:firstColumn="1" w:firstRow="1" w:lastColumn="0" w:lastRow="0" w:noHBand="0" w:noVBand="1" w:val="04A0"/>
        <w:tblInd w:type="dxa" w:w="120"/>
      </w:tblPr>
      <w:tblGrid>
        <w:gridCol w:w="1700"/>
        <w:gridCol w:w="2500"/>
        <w:gridCol w:w="5160"/>
      </w:tblGrid>
      <w:tr>
        <w:trPr>
          <w:tblHeader w:val="true"/>
        </w:trPr>
        <w:tc>
          <w:tcPr>
            <w:tcW w:type="dxa" w:w="1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层面</w:t>
            </w:r>
          </w:p>
        </w:tc>
        <w:tc>
          <w:tcPr>
            <w:tcW w:type="dxa" w:w="2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技术</w:t>
            </w:r>
          </w:p>
        </w:tc>
        <w:tc>
          <w:tcPr>
            <w:tcW w:type="dxa" w:w="51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作用</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前端</w:t>
            </w:r>
          </w:p>
        </w:tc>
        <w:tc>
          <w:tcPr>
            <w:tcW w:type="dxa" w:w="2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React + Vite</w:t>
            </w:r>
          </w:p>
        </w:tc>
        <w:tc>
          <w:tcPr>
            <w:tcW w:type="dxa" w:w="51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图片/视频上传、结果展示、任务进度、检测记录与模型管理</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后端</w:t>
            </w:r>
          </w:p>
        </w:tc>
        <w:tc>
          <w:tcPr>
            <w:tcW w:type="dxa" w:w="2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FastAPI</w:t>
            </w:r>
          </w:p>
        </w:tc>
        <w:tc>
          <w:tcPr>
            <w:tcW w:type="dxa" w:w="51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REST API、文件上传、参数校验、OpenAPI 文档与异常响应</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实时通信</w:t>
            </w:r>
          </w:p>
        </w:tc>
        <w:tc>
          <w:tcPr>
            <w:tcW w:type="dxa" w:w="2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WebSocket</w:t>
            </w:r>
          </w:p>
        </w:tc>
        <w:tc>
          <w:tcPr>
            <w:tcW w:type="dxa" w:w="51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推送视频进度、任务完成/失败和模型切换事件</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持久化</w:t>
            </w:r>
          </w:p>
        </w:tc>
        <w:tc>
          <w:tcPr>
            <w:tcW w:type="dxa" w:w="2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SQLite</w:t>
            </w:r>
          </w:p>
        </w:tc>
        <w:tc>
          <w:tcPr>
            <w:tcW w:type="dxa" w:w="51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保存模型、数据集、视频任务和检测历史元数据</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模型服务</w:t>
            </w:r>
          </w:p>
        </w:tc>
        <w:tc>
          <w:tcPr>
            <w:tcW w:type="dxa" w:w="2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Ultralytics YOLOv8</w:t>
            </w:r>
          </w:p>
        </w:tc>
        <w:tc>
          <w:tcPr>
            <w:tcW w:type="dxa" w:w="51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目标检测、模型训练、验证和结果绘制</w:t>
            </w:r>
          </w:p>
        </w:tc>
      </w:tr>
    </w:tbl>
    <w:p>
      <w:pPr>
        <w:spacing w:before="80" w:after="160" w:line="240" w:lineRule="auto"/>
        <w:jc w:val="center"/>
      </w:pPr>
      <w:r>
        <w:rPr>
          <w:rFonts w:ascii="Calibri" w:hAnsi="Calibri" w:eastAsia="Microsoft YaHei"/>
          <w:b w:val="0"/>
          <w:color w:val="667085"/>
          <w:sz w:val="19"/>
        </w:rPr>
        <w:t>表2-1 系统关键技术</w:t>
      </w:r>
    </w:p>
    <w:p>
      <w:pPr>
        <w:pStyle w:val="Heading2"/>
        <w:keepNext/>
      </w:pPr>
      <w:r>
        <w:t>2.3 功能需求</w:t>
      </w:r>
    </w:p>
    <w:tbl>
      <w:tblPr>
        <w:tblW w:type="dxa" w:w="9360"/>
        <w:jc w:val="left"/>
        <w:tblLayout w:type="fixed"/>
        <w:tblLook w:firstColumn="1" w:firstRow="1" w:lastColumn="0" w:lastRow="0" w:noHBand="0" w:noVBand="1" w:val="04A0"/>
        <w:tblInd w:type="dxa" w:w="120"/>
      </w:tblPr>
      <w:tblGrid>
        <w:gridCol w:w="1300"/>
        <w:gridCol w:w="2100"/>
        <w:gridCol w:w="5960"/>
      </w:tblGrid>
      <w:tr>
        <w:trPr>
          <w:tblHeader w:val="true"/>
        </w:trPr>
        <w:tc>
          <w:tcPr>
            <w:tcW w:type="dxa" w:w="13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编号</w:t>
            </w:r>
          </w:p>
        </w:tc>
        <w:tc>
          <w:tcPr>
            <w:tcW w:type="dxa" w:w="21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功能</w:t>
            </w:r>
          </w:p>
        </w:tc>
        <w:tc>
          <w:tcPr>
            <w:tcW w:type="dxa" w:w="59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需求说明</w:t>
            </w:r>
          </w:p>
        </w:tc>
      </w:tr>
      <w:tr>
        <w:trPr/>
        <w:tc>
          <w:tcPr>
            <w:tcW w:type="dxa" w:w="1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FR-01</w:t>
            </w:r>
          </w:p>
        </w:tc>
        <w:tc>
          <w:tcPr>
            <w:tcW w:type="dxa" w:w="2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图片检测</w:t>
            </w:r>
          </w:p>
        </w:tc>
        <w:tc>
          <w:tcPr>
            <w:tcW w:type="dxa" w:w="5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上传道路图像，返回目标框、置信度、分类统计和处理耗时</w:t>
            </w:r>
          </w:p>
        </w:tc>
      </w:tr>
      <w:tr>
        <w:trPr/>
        <w:tc>
          <w:tcPr>
            <w:tcW w:type="dxa" w:w="1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FR-02</w:t>
            </w:r>
          </w:p>
        </w:tc>
        <w:tc>
          <w:tcPr>
            <w:tcW w:type="dxa" w:w="2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交通统计</w:t>
            </w:r>
          </w:p>
        </w:tc>
        <w:tc>
          <w:tcPr>
            <w:tcW w:type="dxa" w:w="5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输出四类数量、车道区域车辆数量和可选进出统计</w:t>
            </w:r>
          </w:p>
        </w:tc>
      </w:tr>
      <w:tr>
        <w:trPr/>
        <w:tc>
          <w:tcPr>
            <w:tcW w:type="dxa" w:w="1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FR-03</w:t>
            </w:r>
          </w:p>
        </w:tc>
        <w:tc>
          <w:tcPr>
            <w:tcW w:type="dxa" w:w="2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视频任务</w:t>
            </w:r>
          </w:p>
        </w:tc>
        <w:tc>
          <w:tcPr>
            <w:tcW w:type="dxa" w:w="5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后台逐帧检测，展示任务状态、进度和输出视频</w:t>
            </w:r>
          </w:p>
        </w:tc>
      </w:tr>
      <w:tr>
        <w:trPr/>
        <w:tc>
          <w:tcPr>
            <w:tcW w:type="dxa" w:w="1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FR-04</w:t>
            </w:r>
          </w:p>
        </w:tc>
        <w:tc>
          <w:tcPr>
            <w:tcW w:type="dxa" w:w="2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历史管理</w:t>
            </w:r>
          </w:p>
        </w:tc>
        <w:tc>
          <w:tcPr>
            <w:tcW w:type="dxa" w:w="5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保存图片原图/标注图、统计、模型和耗时，支持多选删除</w:t>
            </w:r>
          </w:p>
        </w:tc>
      </w:tr>
      <w:tr>
        <w:trPr/>
        <w:tc>
          <w:tcPr>
            <w:tcW w:type="dxa" w:w="1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FR-05</w:t>
            </w:r>
          </w:p>
        </w:tc>
        <w:tc>
          <w:tcPr>
            <w:tcW w:type="dxa" w:w="2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模型与实验</w:t>
            </w:r>
          </w:p>
        </w:tc>
        <w:tc>
          <w:tcPr>
            <w:tcW w:type="dxa" w:w="5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管理模型、训练任务和统一验证集模型对比</w:t>
            </w:r>
          </w:p>
        </w:tc>
      </w:tr>
      <w:tr>
        <w:trPr/>
        <w:tc>
          <w:tcPr>
            <w:tcW w:type="dxa" w:w="1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FR-06</w:t>
            </w:r>
          </w:p>
        </w:tc>
        <w:tc>
          <w:tcPr>
            <w:tcW w:type="dxa" w:w="2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异常反馈</w:t>
            </w:r>
          </w:p>
        </w:tc>
        <w:tc>
          <w:tcPr>
            <w:tcW w:type="dxa" w:w="5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对格式、大小、参数、资源错误返回明确状态与提示</w:t>
            </w:r>
          </w:p>
        </w:tc>
      </w:tr>
    </w:tbl>
    <w:p>
      <w:pPr>
        <w:spacing w:before="80" w:after="160" w:line="240" w:lineRule="auto"/>
        <w:jc w:val="center"/>
      </w:pPr>
      <w:r>
        <w:rPr>
          <w:rFonts w:ascii="Calibri" w:hAnsi="Calibri" w:eastAsia="Microsoft YaHei"/>
          <w:b w:val="0"/>
          <w:color w:val="667085"/>
          <w:sz w:val="19"/>
        </w:rPr>
        <w:t>表2-2 功能需求</w:t>
      </w:r>
    </w:p>
    <w:p>
      <w:pPr>
        <w:pStyle w:val="Heading2"/>
        <w:keepNext/>
      </w:pPr>
      <w:r>
        <w:t>2.4 非功能需求</w:t>
      </w:r>
    </w:p>
    <w:p>
      <w:pPr>
        <w:spacing w:before="0" w:after="160" w:line="320" w:lineRule="auto"/>
        <w:jc w:val="both"/>
      </w:pPr>
      <w:r>
        <w:rPr>
          <w:rFonts w:ascii="Calibri" w:hAnsi="Calibri" w:eastAsia="Microsoft YaHei"/>
          <w:b/>
          <w:color w:val="1F4D78"/>
          <w:sz w:val="22"/>
        </w:rPr>
        <w:t>性能：</w:t>
      </w:r>
      <w:r>
        <w:rPr>
          <w:rFonts w:ascii="Calibri" w:hAnsi="Calibri" w:eastAsia="Microsoft YaHei"/>
          <w:b w:val="0"/>
          <w:color w:val="1F2937"/>
          <w:sz w:val="22"/>
        </w:rPr>
        <w:t>支持 CUDA 或 CPU 推理；视频、训练和模型对比等耗时任务不阻塞前端交互。</w:t>
      </w:r>
    </w:p>
    <w:p>
      <w:pPr>
        <w:spacing w:before="0" w:after="160" w:line="320" w:lineRule="auto"/>
        <w:jc w:val="both"/>
      </w:pPr>
      <w:r>
        <w:rPr>
          <w:rFonts w:ascii="Calibri" w:hAnsi="Calibri" w:eastAsia="Microsoft YaHei"/>
          <w:b/>
          <w:color w:val="1F4D78"/>
          <w:sz w:val="22"/>
        </w:rPr>
        <w:t>可用性：</w:t>
      </w:r>
      <w:r>
        <w:rPr>
          <w:rFonts w:ascii="Calibri" w:hAnsi="Calibri" w:eastAsia="Microsoft YaHei"/>
          <w:b w:val="0"/>
          <w:color w:val="1F2937"/>
          <w:sz w:val="22"/>
        </w:rPr>
        <w:t>任务采用 queued、running、completed、failed 状态，并由 SQLite 持久化以支持刷新后查询。</w:t>
      </w:r>
    </w:p>
    <w:p>
      <w:pPr>
        <w:spacing w:before="0" w:after="160" w:line="320" w:lineRule="auto"/>
        <w:jc w:val="both"/>
      </w:pPr>
      <w:r>
        <w:rPr>
          <w:rFonts w:ascii="Calibri" w:hAnsi="Calibri" w:eastAsia="Microsoft YaHei"/>
          <w:b/>
          <w:color w:val="1F4D78"/>
          <w:sz w:val="22"/>
        </w:rPr>
        <w:t>安全性：</w:t>
      </w:r>
      <w:r>
        <w:rPr>
          <w:rFonts w:ascii="Calibri" w:hAnsi="Calibri" w:eastAsia="Microsoft YaHei"/>
          <w:b w:val="0"/>
          <w:color w:val="1F2937"/>
          <w:sz w:val="22"/>
        </w:rPr>
        <w:t>上传图片、视频、数据集和模型限制格式与大小；删除功能只操作应用生成目录中的关联媒体。</w:t>
      </w:r>
    </w:p>
    <w:p>
      <w:pPr>
        <w:spacing w:before="0" w:after="160" w:line="320" w:lineRule="auto"/>
        <w:jc w:val="both"/>
      </w:pPr>
      <w:r>
        <w:rPr>
          <w:rFonts w:ascii="Calibri" w:hAnsi="Calibri" w:eastAsia="Microsoft YaHei"/>
          <w:b/>
          <w:color w:val="1F4D78"/>
          <w:sz w:val="22"/>
        </w:rPr>
        <w:t>可维护性：</w:t>
      </w:r>
      <w:r>
        <w:rPr>
          <w:rFonts w:ascii="Calibri" w:hAnsi="Calibri" w:eastAsia="Microsoft YaHei"/>
          <w:b w:val="0"/>
          <w:color w:val="1F2937"/>
          <w:sz w:val="22"/>
        </w:rPr>
        <w:t>前后端分离，REST API、WebSocket 与健康检查可通过 OpenAPI 和部署说明独立验证。</w:t>
      </w:r>
    </w:p>
    <w:p>
      <w:pPr>
        <w:pStyle w:val="Heading2"/>
        <w:keepNext/>
      </w:pPr>
      <w:r>
        <w:t>2.5 数据集与评价指标</w:t>
      </w:r>
    </w:p>
    <w:p>
      <w:pPr>
        <w:spacing w:before="0" w:after="160" w:line="320" w:lineRule="auto"/>
        <w:jc w:val="both"/>
      </w:pPr>
      <w:r>
        <w:rPr>
          <w:rFonts w:ascii="Calibri" w:hAnsi="Calibri" w:eastAsia="Microsoft YaHei"/>
          <w:b w:val="0"/>
          <w:color w:val="1F2937"/>
          <w:sz w:val="22"/>
        </w:rPr>
        <w:t>实验数据来自 COCO 2017 val2017 的四类交通目标子集。构建时仅保留 person、car、bus、truck 标注，并以随机种子 42 固定训练集和验证集划分。该数据集用于比较模型规模和置信度运行点；它不等同于真实固定路口摄像头采集的数据，因此报告将外部道路场景验证列为后续工作。</w:t>
      </w:r>
    </w:p>
    <w:tbl>
      <w:tblPr>
        <w:tblW w:type="dxa" w:w="9360"/>
        <w:jc w:val="left"/>
        <w:tblLayout w:type="fixed"/>
        <w:tblLook w:firstColumn="1" w:firstRow="1" w:lastColumn="0" w:lastRow="0" w:noHBand="0" w:noVBand="1" w:val="04A0"/>
        <w:tblInd w:type="dxa" w:w="120"/>
      </w:tblPr>
      <w:tblGrid>
        <w:gridCol w:w="1500"/>
        <w:gridCol w:w="1400"/>
        <w:gridCol w:w="1500"/>
        <w:gridCol w:w="2900"/>
        <w:gridCol w:w="2060"/>
      </w:tblGrid>
      <w:tr>
        <w:trPr>
          <w:tblHeader w:val="true"/>
        </w:trPr>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划分</w:t>
            </w:r>
          </w:p>
        </w:tc>
        <w:tc>
          <w:tcPr>
            <w:tcW w:type="dxa" w:w="14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图像数量</w:t>
            </w:r>
          </w:p>
        </w:tc>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目标实例</w:t>
            </w:r>
          </w:p>
        </w:tc>
        <w:tc>
          <w:tcPr>
            <w:tcW w:type="dxa" w:w="2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保留类别</w:t>
            </w:r>
          </w:p>
        </w:tc>
        <w:tc>
          <w:tcPr>
            <w:tcW w:type="dxa" w:w="20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用途</w:t>
            </w:r>
          </w:p>
        </w:tc>
      </w:tr>
      <w:tr>
        <w:trPr/>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训练集</w:t>
            </w:r>
          </w:p>
        </w:tc>
        <w:tc>
          <w:tcPr>
            <w:tcW w:type="dxa" w:w="1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1 500</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6 906</w:t>
            </w:r>
          </w:p>
        </w:tc>
        <w:tc>
          <w:tcPr>
            <w:tcW w:type="dxa" w:w="2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person / car / bus / truck</w:t>
            </w:r>
          </w:p>
        </w:tc>
        <w:tc>
          <w:tcPr>
            <w:tcW w:type="dxa" w:w="2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用于 10 轮微调</w:t>
            </w:r>
          </w:p>
        </w:tc>
      </w:tr>
      <w:tr>
        <w:trPr/>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验证集</w:t>
            </w:r>
          </w:p>
        </w:tc>
        <w:tc>
          <w:tcPr>
            <w:tcW w:type="dxa" w:w="14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300</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1 407</w:t>
            </w:r>
          </w:p>
        </w:tc>
        <w:tc>
          <w:tcPr>
            <w:tcW w:type="dxa" w:w="2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person / car / bus / truck</w:t>
            </w:r>
          </w:p>
        </w:tc>
        <w:tc>
          <w:tcPr>
            <w:tcW w:type="dxa" w:w="2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用于统一比较与部署基准</w:t>
            </w:r>
          </w:p>
        </w:tc>
      </w:tr>
      <w:tr>
        <w:trPr/>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随机种子</w:t>
            </w:r>
          </w:p>
        </w:tc>
        <w:tc>
          <w:tcPr>
            <w:tcW w:type="dxa" w:w="1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42</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w:t>
            </w:r>
          </w:p>
        </w:tc>
        <w:tc>
          <w:tcPr>
            <w:tcW w:type="dxa" w:w="2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w:t>
            </w:r>
          </w:p>
        </w:tc>
        <w:tc>
          <w:tcPr>
            <w:tcW w:type="dxa" w:w="2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固定重划分，便于复现</w:t>
            </w:r>
          </w:p>
        </w:tc>
      </w:tr>
    </w:tbl>
    <w:p>
      <w:pPr>
        <w:spacing w:before="80" w:after="160" w:line="240" w:lineRule="auto"/>
        <w:jc w:val="center"/>
      </w:pPr>
      <w:r>
        <w:rPr>
          <w:rFonts w:ascii="Calibri" w:hAnsi="Calibri" w:eastAsia="Microsoft YaHei"/>
          <w:b w:val="0"/>
          <w:color w:val="667085"/>
          <w:sz w:val="19"/>
        </w:rPr>
        <w:t>表2-3 实验数据划分与使用方式</w:t>
      </w:r>
    </w:p>
    <w:p>
      <w:pPr>
        <w:pStyle w:val="Heading3"/>
        <w:keepNext/>
      </w:pPr>
      <w:r>
        <w:t>2.5.1 精度与效率指标</w:t>
      </w:r>
    </w:p>
    <w:p>
      <w:pPr>
        <w:spacing w:before="0" w:after="160" w:line="320" w:lineRule="auto"/>
        <w:jc w:val="both"/>
      </w:pPr>
      <w:r>
        <w:rPr>
          <w:rFonts w:ascii="Calibri" w:hAnsi="Calibri" w:eastAsia="Microsoft YaHei"/>
          <w:b w:val="0"/>
          <w:color w:val="1F2937"/>
          <w:sz w:val="22"/>
        </w:rPr>
        <w:t>Precision、Recall 和 F1 分别衡量预测结果的准确性、目标覆盖程度和二者的调和关系，其定义为P = TP / (TP + FP)，R = TP / (TP + FN)，F1 = 2PR / (P + R)。其中 TP、FP、FN 分别表示正确检出、错误检出和漏检。mAP50 表示 IoU 阈值为 0.50 时的平均精度，mAP50-95 则在多个 IoU 阈值上汇总，更能反映定位精度。</w:t>
      </w:r>
    </w:p>
    <w:tbl>
      <w:tblPr>
        <w:tblW w:type="dxa" w:w="9360"/>
        <w:jc w:val="left"/>
        <w:tblLayout w:type="fixed"/>
        <w:tblLook w:firstColumn="1" w:firstRow="1" w:lastColumn="0" w:lastRow="0" w:noHBand="0" w:noVBand="1" w:val="04A0"/>
        <w:tblInd w:type="dxa" w:w="120"/>
      </w:tblPr>
      <w:tblGrid>
        <w:gridCol w:w="2100"/>
        <w:gridCol w:w="3300"/>
        <w:gridCol w:w="3960"/>
      </w:tblGrid>
      <w:tr>
        <w:trPr>
          <w:tblHeader w:val="true"/>
        </w:trPr>
        <w:tc>
          <w:tcPr>
            <w:tcW w:type="dxa" w:w="21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指标</w:t>
            </w:r>
          </w:p>
        </w:tc>
        <w:tc>
          <w:tcPr>
            <w:tcW w:type="dxa" w:w="33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含义</w:t>
            </w:r>
          </w:p>
        </w:tc>
        <w:tc>
          <w:tcPr>
            <w:tcW w:type="dxa" w:w="39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本系统中的用途</w:t>
            </w:r>
          </w:p>
        </w:tc>
      </w:tr>
      <w:tr>
        <w:trPr/>
        <w:tc>
          <w:tcPr>
            <w:tcW w:type="dxa" w:w="2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Precision</w:t>
            </w:r>
          </w:p>
        </w:tc>
        <w:tc>
          <w:tcPr>
            <w:tcW w:type="dxa" w:w="3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预测框中正确框的比例</w:t>
            </w:r>
          </w:p>
        </w:tc>
        <w:tc>
          <w:tcPr>
            <w:tcW w:type="dxa" w:w="3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降低误报、适合告警和界面展示</w:t>
            </w:r>
          </w:p>
        </w:tc>
      </w:tr>
      <w:tr>
        <w:trPr/>
        <w:tc>
          <w:tcPr>
            <w:tcW w:type="dxa" w:w="2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Recall</w:t>
            </w:r>
          </w:p>
        </w:tc>
        <w:tc>
          <w:tcPr>
            <w:tcW w:type="dxa" w:w="3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真实目标被检出的比例</w:t>
            </w:r>
          </w:p>
        </w:tc>
        <w:tc>
          <w:tcPr>
            <w:tcW w:type="dxa" w:w="3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降低漏检、适合统计与巡检</w:t>
            </w:r>
          </w:p>
        </w:tc>
      </w:tr>
      <w:tr>
        <w:trPr/>
        <w:tc>
          <w:tcPr>
            <w:tcW w:type="dxa" w:w="2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F1</w:t>
            </w:r>
          </w:p>
        </w:tc>
        <w:tc>
          <w:tcPr>
            <w:tcW w:type="dxa" w:w="3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Precision 与 Recall 的调和平均</w:t>
            </w:r>
          </w:p>
        </w:tc>
        <w:tc>
          <w:tcPr>
            <w:tcW w:type="dxa" w:w="3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选择折中运行点</w:t>
            </w:r>
          </w:p>
        </w:tc>
      </w:tr>
      <w:tr>
        <w:trPr/>
        <w:tc>
          <w:tcPr>
            <w:tcW w:type="dxa" w:w="2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mAP50 / mAP50-95</w:t>
            </w:r>
          </w:p>
        </w:tc>
        <w:tc>
          <w:tcPr>
            <w:tcW w:type="dxa" w:w="3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多类别检测精度汇总</w:t>
            </w:r>
          </w:p>
        </w:tc>
        <w:tc>
          <w:tcPr>
            <w:tcW w:type="dxa" w:w="3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比较训练后模型的检测与定位能力</w:t>
            </w:r>
          </w:p>
        </w:tc>
      </w:tr>
      <w:tr>
        <w:trPr/>
        <w:tc>
          <w:tcPr>
            <w:tcW w:type="dxa" w:w="2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推理时间 / 资源</w:t>
            </w:r>
          </w:p>
        </w:tc>
        <w:tc>
          <w:tcPr>
            <w:tcW w:type="dxa" w:w="3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单图耗时、RSS、GPU 峰值</w:t>
            </w:r>
          </w:p>
        </w:tc>
        <w:tc>
          <w:tcPr>
            <w:tcW w:type="dxa" w:w="3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评价部署可行性和设备负载</w:t>
            </w:r>
          </w:p>
        </w:tc>
      </w:tr>
    </w:tbl>
    <w:p>
      <w:pPr>
        <w:spacing w:before="80" w:after="160" w:line="240" w:lineRule="auto"/>
        <w:jc w:val="center"/>
      </w:pPr>
      <w:r>
        <w:rPr>
          <w:rFonts w:ascii="Calibri" w:hAnsi="Calibri" w:eastAsia="Microsoft YaHei"/>
          <w:b w:val="0"/>
          <w:color w:val="667085"/>
          <w:sz w:val="19"/>
        </w:rPr>
        <w:t>表2-4 实验评价指标及应用场景</w:t>
      </w:r>
    </w:p>
    <w:p>
      <w:pPr>
        <w:pStyle w:val="Heading1"/>
        <w:keepNext/>
      </w:pPr>
      <w:r>
        <w:t>第3章 系统总体设计</w:t>
      </w:r>
    </w:p>
    <w:p>
      <w:pPr>
        <w:pStyle w:val="Heading2"/>
        <w:keepNext/>
      </w:pPr>
      <w:r>
        <w:t>3.1 分层架构</w:t>
      </w:r>
    </w:p>
    <w:p>
      <w:pPr>
        <w:spacing w:before="0" w:after="160" w:line="320" w:lineRule="auto"/>
        <w:jc w:val="both"/>
      </w:pPr>
      <w:r>
        <w:rPr>
          <w:rFonts w:ascii="Calibri" w:hAnsi="Calibri" w:eastAsia="Microsoft YaHei"/>
          <w:b w:val="0"/>
          <w:color w:val="1F2937"/>
          <w:sz w:val="22"/>
        </w:rPr>
        <w:t>系统采用表现层、接口层、业务层和数据层的分层架构。前端负责用户操作与可视化；接口层负责文件、参数、认证和实时消息的编排；业务层包含检测、视频、训练和交通统计服务；数据层负责 SQLite 元数据与应用生成媒体的保存。各层之间通过清晰的数据对象和 REST/WebSocket 接口连接。</w:t>
      </w:r>
    </w:p>
    <w:tbl>
      <w:tblPr>
        <w:tblW w:type="dxa" w:w="9360"/>
        <w:jc w:val="left"/>
        <w:tblLayout w:type="fixed"/>
        <w:tblLook w:firstColumn="1" w:firstRow="1" w:lastColumn="0" w:lastRow="0" w:noHBand="0" w:noVBand="1" w:val="04A0"/>
        <w:tblInd w:type="dxa" w:w="120"/>
      </w:tblPr>
      <w:tblGrid>
        <w:gridCol w:w="1700"/>
        <w:gridCol w:w="2600"/>
        <w:gridCol w:w="5060"/>
      </w:tblGrid>
      <w:tr>
        <w:trPr>
          <w:tblHeader w:val="true"/>
        </w:trPr>
        <w:tc>
          <w:tcPr>
            <w:tcW w:type="dxa" w:w="1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层次</w:t>
            </w:r>
          </w:p>
        </w:tc>
        <w:tc>
          <w:tcPr>
            <w:tcW w:type="dxa" w:w="26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核心技术</w:t>
            </w:r>
          </w:p>
        </w:tc>
        <w:tc>
          <w:tcPr>
            <w:tcW w:type="dxa" w:w="50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职责</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表现层</w:t>
            </w:r>
          </w:p>
        </w:tc>
        <w:tc>
          <w:tcPr>
            <w:tcW w:type="dxa" w:w="2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React + Vite</w:t>
            </w:r>
          </w:p>
        </w:tc>
        <w:tc>
          <w:tcPr>
            <w:tcW w:type="dxa" w:w="5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实时检测、图像检测、视频任务、模型管理、检测记录</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接口层</w:t>
            </w:r>
          </w:p>
        </w:tc>
        <w:tc>
          <w:tcPr>
            <w:tcW w:type="dxa" w:w="2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FastAPI + WebSocket</w:t>
            </w:r>
          </w:p>
        </w:tc>
        <w:tc>
          <w:tcPr>
            <w:tcW w:type="dxa" w:w="5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REST API、OpenAPI、文件校验、异常处理、进度推送</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业务层</w:t>
            </w:r>
          </w:p>
        </w:tc>
        <w:tc>
          <w:tcPr>
            <w:tcW w:type="dxa" w:w="2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检测/视频/训练服务</w:t>
            </w:r>
          </w:p>
        </w:tc>
        <w:tc>
          <w:tcPr>
            <w:tcW w:type="dxa" w:w="5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YOLO 推理、结果绘制、分类/车道/进出统计、后台任务</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数据层</w:t>
            </w:r>
          </w:p>
        </w:tc>
        <w:tc>
          <w:tcPr>
            <w:tcW w:type="dxa" w:w="2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SQLite + 媒体目录</w:t>
            </w:r>
          </w:p>
        </w:tc>
        <w:tc>
          <w:tcPr>
            <w:tcW w:type="dxa" w:w="5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模型、数据集、任务、历史元数据和标注媒体</w:t>
            </w:r>
          </w:p>
        </w:tc>
      </w:tr>
    </w:tbl>
    <w:p>
      <w:pPr>
        <w:spacing w:before="80" w:after="160" w:line="240" w:lineRule="auto"/>
        <w:jc w:val="center"/>
      </w:pPr>
      <w:r>
        <w:rPr>
          <w:rFonts w:ascii="Calibri" w:hAnsi="Calibri" w:eastAsia="Microsoft YaHei"/>
          <w:b w:val="0"/>
          <w:color w:val="667085"/>
          <w:sz w:val="19"/>
        </w:rPr>
        <w:t>表3-1 系统分层架构</w:t>
      </w:r>
    </w:p>
    <w:p>
      <w:pPr>
        <w:pStyle w:val="Heading2"/>
        <w:keepNext/>
      </w:pPr>
      <w:r>
        <w:t>3.2 数据对象与媒体管理</w:t>
      </w:r>
    </w:p>
    <w:p>
      <w:pPr>
        <w:spacing w:before="0" w:after="160" w:line="320" w:lineRule="auto"/>
        <w:jc w:val="both"/>
      </w:pPr>
      <w:r>
        <w:rPr>
          <w:rFonts w:ascii="Calibri" w:hAnsi="Calibri" w:eastAsia="Microsoft YaHei"/>
          <w:b w:val="0"/>
          <w:color w:val="1F2937"/>
          <w:sz w:val="22"/>
        </w:rPr>
        <w:t>模型、数据集、训练任务、视频任务和检测历史均以结构化元数据保存到 SQLite。图片和视频的原始/标注媒体保存到应用控制的输出目录中，数据库记录保存媒体路径和结果统计。该设计使查询、展示和删除都以同一个历史记录 ID 为中心，减少媒体孤立或删除不一致的问题。</w:t>
      </w:r>
    </w:p>
    <w:p>
      <w:pPr>
        <w:pStyle w:val="Heading2"/>
        <w:keepNext/>
      </w:pPr>
      <w:r>
        <w:t>3.3 任务状态设计</w:t>
      </w:r>
    </w:p>
    <w:tbl>
      <w:tblPr>
        <w:tblW w:type="dxa" w:w="9360"/>
        <w:jc w:val="left"/>
        <w:tblLayout w:type="fixed"/>
        <w:tblLook w:firstColumn="1" w:firstRow="1" w:lastColumn="0" w:lastRow="0" w:noHBand="0" w:noVBand="1" w:val="04A0"/>
        <w:tblInd w:type="dxa" w:w="120"/>
      </w:tblPr>
      <w:tblGrid>
        <w:gridCol w:w="1800"/>
        <w:gridCol w:w="3300"/>
        <w:gridCol w:w="4260"/>
      </w:tblGrid>
      <w:tr>
        <w:trPr>
          <w:tblHeader w:val="true"/>
        </w:trPr>
        <w:tc>
          <w:tcPr>
            <w:tcW w:type="dxa" w:w="18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状态</w:t>
            </w:r>
          </w:p>
        </w:tc>
        <w:tc>
          <w:tcPr>
            <w:tcW w:type="dxa" w:w="33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含义</w:t>
            </w:r>
          </w:p>
        </w:tc>
        <w:tc>
          <w:tcPr>
            <w:tcW w:type="dxa" w:w="42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系统行为</w:t>
            </w:r>
          </w:p>
        </w:tc>
      </w:tr>
      <w:tr>
        <w:trPr/>
        <w:tc>
          <w:tcPr>
            <w:tcW w:type="dxa" w:w="18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queued</w:t>
            </w:r>
          </w:p>
        </w:tc>
        <w:tc>
          <w:tcPr>
            <w:tcW w:type="dxa" w:w="3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任务已创建，等待后台执行</w:t>
            </w:r>
          </w:p>
        </w:tc>
        <w:tc>
          <w:tcPr>
            <w:tcW w:type="dxa" w:w="4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返回任务 ID，可被查询</w:t>
            </w:r>
          </w:p>
        </w:tc>
      </w:tr>
      <w:tr>
        <w:trPr/>
        <w:tc>
          <w:tcPr>
            <w:tcW w:type="dxa" w:w="18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running</w:t>
            </w:r>
          </w:p>
        </w:tc>
        <w:tc>
          <w:tcPr>
            <w:tcW w:type="dxa" w:w="3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后台逐帧读取、推理和绘制</w:t>
            </w:r>
          </w:p>
        </w:tc>
        <w:tc>
          <w:tcPr>
            <w:tcW w:type="dxa" w:w="4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持续更新进度和最新分类统计</w:t>
            </w:r>
          </w:p>
        </w:tc>
      </w:tr>
      <w:tr>
        <w:trPr/>
        <w:tc>
          <w:tcPr>
            <w:tcW w:type="dxa" w:w="18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completed</w:t>
            </w:r>
          </w:p>
        </w:tc>
        <w:tc>
          <w:tcPr>
            <w:tcW w:type="dxa" w:w="33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处理成功并生成最终输出</w:t>
            </w:r>
          </w:p>
        </w:tc>
        <w:tc>
          <w:tcPr>
            <w:tcW w:type="dxa" w:w="4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保存输出视频、最终统计和耗时</w:t>
            </w:r>
          </w:p>
        </w:tc>
      </w:tr>
      <w:tr>
        <w:trPr/>
        <w:tc>
          <w:tcPr>
            <w:tcW w:type="dxa" w:w="18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failed</w:t>
            </w:r>
          </w:p>
        </w:tc>
        <w:tc>
          <w:tcPr>
            <w:tcW w:type="dxa" w:w="33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输入、推理、转码或资源异常</w:t>
            </w:r>
          </w:p>
        </w:tc>
        <w:tc>
          <w:tcPr>
            <w:tcW w:type="dxa" w:w="4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保存错误原因并向前端推送失败事件</w:t>
            </w:r>
          </w:p>
        </w:tc>
      </w:tr>
    </w:tbl>
    <w:p>
      <w:pPr>
        <w:spacing w:before="80" w:after="160" w:line="240" w:lineRule="auto"/>
        <w:jc w:val="center"/>
      </w:pPr>
      <w:r>
        <w:rPr>
          <w:rFonts w:ascii="Calibri" w:hAnsi="Calibri" w:eastAsia="Microsoft YaHei"/>
          <w:b w:val="0"/>
          <w:color w:val="667085"/>
          <w:sz w:val="19"/>
        </w:rPr>
        <w:t>表3-2 视频任务状态机</w:t>
      </w:r>
    </w:p>
    <w:p>
      <w:pPr>
        <w:pStyle w:val="Heading2"/>
        <w:keepNext/>
      </w:pPr>
      <w:r>
        <w:t>3.4 请求处理与数据流</w:t>
      </w:r>
    </w:p>
    <w:p>
      <w:pPr>
        <w:spacing w:before="0" w:after="160" w:line="320" w:lineRule="auto"/>
        <w:jc w:val="both"/>
      </w:pPr>
      <w:r>
        <w:rPr>
          <w:rFonts w:ascii="Calibri" w:hAnsi="Calibri" w:eastAsia="Microsoft YaHei"/>
          <w:b w:val="0"/>
          <w:color w:val="1F2937"/>
          <w:sz w:val="22"/>
        </w:rPr>
        <w:t>图片检测采用同步请求模型：接口完成校验、推理、统计和结果绘制后返回 JSON，并可选择写入一条历史记录。视频检测采用异步任务模型：接口仅负责保存输入、创建任务元数据并返回任务 ID，后台服务再执行读帧、推理、绘制、转码和最终结果归档。两种路径共享检测对象和统计结构，前端无需根据输入类型重新解释类别与车道数据。</w:t>
      </w:r>
    </w:p>
    <w:tbl>
      <w:tblPr>
        <w:tblW w:type="dxa" w:w="9360"/>
        <w:jc w:val="left"/>
        <w:tblLayout w:type="fixed"/>
        <w:tblLook w:firstColumn="1" w:firstRow="1" w:lastColumn="0" w:lastRow="0" w:noHBand="0" w:noVBand="1" w:val="04A0"/>
        <w:tblInd w:type="dxa" w:w="120"/>
      </w:tblPr>
      <w:tblGrid>
        <w:gridCol w:w="900"/>
        <w:gridCol w:w="2200"/>
        <w:gridCol w:w="3700"/>
        <w:gridCol w:w="2560"/>
      </w:tblGrid>
      <w:tr>
        <w:trPr>
          <w:tblHeader w:val="true"/>
        </w:trPr>
        <w:tc>
          <w:tcPr>
            <w:tcW w:type="dxa" w:w="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步骤</w:t>
            </w:r>
          </w:p>
        </w:tc>
        <w:tc>
          <w:tcPr>
            <w:tcW w:type="dxa" w:w="22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输入来源</w:t>
            </w:r>
          </w:p>
        </w:tc>
        <w:tc>
          <w:tcPr>
            <w:tcW w:type="dxa" w:w="3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处理内容</w:t>
            </w:r>
          </w:p>
        </w:tc>
        <w:tc>
          <w:tcPr>
            <w:tcW w:type="dxa" w:w="25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输出或失败结果</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1</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HTTP multipart / JSON</w:t>
            </w:r>
          </w:p>
        </w:tc>
        <w:tc>
          <w:tcPr>
            <w:tcW w:type="dxa" w:w="3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校验扩展名、大小、基准线参数</w:t>
            </w:r>
          </w:p>
        </w:tc>
        <w:tc>
          <w:tcPr>
            <w:tcW w:type="dxa" w:w="25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400 / 413 或合法请求</w:t>
            </w:r>
          </w:p>
        </w:tc>
      </w:tr>
      <w:tr>
        <w:trPr/>
        <w:tc>
          <w:tcPr>
            <w:tcW w:type="dxa" w:w="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2</w:t>
            </w:r>
          </w:p>
        </w:tc>
        <w:tc>
          <w:tcPr>
            <w:tcW w:type="dxa" w:w="2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检测服务</w:t>
            </w:r>
          </w:p>
        </w:tc>
        <w:tc>
          <w:tcPr>
            <w:tcW w:type="dxa" w:w="3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YOLOv8 推理、四类筛选、中心点归一化</w:t>
            </w:r>
          </w:p>
        </w:tc>
        <w:tc>
          <w:tcPr>
            <w:tcW w:type="dxa" w:w="25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检测对象列表</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3</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统计服务</w:t>
            </w:r>
          </w:p>
        </w:tc>
        <w:tc>
          <w:tcPr>
            <w:tcW w:type="dxa" w:w="3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聚合类别、车道和可选进出数量</w:t>
            </w:r>
          </w:p>
        </w:tc>
        <w:tc>
          <w:tcPr>
            <w:tcW w:type="dxa" w:w="25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class_counts / lane_counts / flow_counts</w:t>
            </w:r>
          </w:p>
        </w:tc>
      </w:tr>
      <w:tr>
        <w:trPr/>
        <w:tc>
          <w:tcPr>
            <w:tcW w:type="dxa" w:w="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4</w:t>
            </w:r>
          </w:p>
        </w:tc>
        <w:tc>
          <w:tcPr>
            <w:tcW w:type="dxa" w:w="2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媒体服务</w:t>
            </w:r>
          </w:p>
        </w:tc>
        <w:tc>
          <w:tcPr>
            <w:tcW w:type="dxa" w:w="3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绘制标注框和基准线，视频执行兼容转码</w:t>
            </w:r>
          </w:p>
        </w:tc>
        <w:tc>
          <w:tcPr>
            <w:tcW w:type="dxa" w:w="25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标注图或输出视频路径</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5</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仓储与推送</w:t>
            </w:r>
          </w:p>
        </w:tc>
        <w:tc>
          <w:tcPr>
            <w:tcW w:type="dxa" w:w="3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保存元数据，视频任务广播状态与进度</w:t>
            </w:r>
          </w:p>
        </w:tc>
        <w:tc>
          <w:tcPr>
            <w:tcW w:type="dxa" w:w="25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历史记录、任务记录、WebSocket 事件</w:t>
            </w:r>
          </w:p>
        </w:tc>
      </w:tr>
    </w:tbl>
    <w:p>
      <w:pPr>
        <w:spacing w:before="80" w:after="160" w:line="240" w:lineRule="auto"/>
        <w:jc w:val="center"/>
      </w:pPr>
      <w:r>
        <w:rPr>
          <w:rFonts w:ascii="Calibri" w:hAnsi="Calibri" w:eastAsia="Microsoft YaHei"/>
          <w:b w:val="0"/>
          <w:color w:val="667085"/>
          <w:sz w:val="19"/>
        </w:rPr>
        <w:t>表3-3 图片与视频任务的统一数据流</w:t>
      </w:r>
    </w:p>
    <w:p>
      <w:pPr>
        <w:pStyle w:val="Heading2"/>
        <w:keepNext/>
      </w:pPr>
      <w:r>
        <w:t>3.5 可追溯数据关系</w:t>
      </w:r>
    </w:p>
    <w:p>
      <w:pPr>
        <w:spacing w:before="0" w:after="160" w:line="320" w:lineRule="auto"/>
        <w:jc w:val="both"/>
      </w:pPr>
      <w:r>
        <w:rPr>
          <w:rFonts w:ascii="Calibri" w:hAnsi="Calibri" w:eastAsia="Microsoft YaHei"/>
          <w:b w:val="0"/>
          <w:color w:val="1F2937"/>
          <w:sz w:val="22"/>
        </w:rPr>
        <w:t>系统以 SQLite 元数据为中心管理模型、数据集、训练运行、视频任务和检测历史。媒体文件不直接作为数据库二进制字段保存，而是放入应用控制的输出目录，记录中保存可验证的关联路径。查询、详情展示和删除均围绕同一个记录 ID 进行，从而避免只删除页面条目或只遗留媒体文件的两类不一致问题。</w:t>
      </w:r>
    </w:p>
    <w:tbl>
      <w:tblPr>
        <w:tblW w:type="dxa" w:w="9360"/>
        <w:jc w:val="left"/>
        <w:tblLayout w:type="fixed"/>
        <w:tblLook w:firstColumn="1" w:firstRow="1" w:lastColumn="0" w:lastRow="0" w:noHBand="0" w:noVBand="1" w:val="04A0"/>
        <w:tblInd w:type="dxa" w:w="120"/>
      </w:tblPr>
      <w:tblGrid>
        <w:gridCol w:w="1700"/>
        <w:gridCol w:w="3900"/>
        <w:gridCol w:w="3760"/>
      </w:tblGrid>
      <w:tr>
        <w:trPr>
          <w:tblHeader w:val="true"/>
        </w:trPr>
        <w:tc>
          <w:tcPr>
            <w:tcW w:type="dxa" w:w="1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数据对象</w:t>
            </w:r>
          </w:p>
        </w:tc>
        <w:tc>
          <w:tcPr>
            <w:tcW w:type="dxa" w:w="3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主要字段</w:t>
            </w:r>
          </w:p>
        </w:tc>
        <w:tc>
          <w:tcPr>
            <w:tcW w:type="dxa" w:w="37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关联与生命周期</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模型</w:t>
            </w:r>
          </w:p>
        </w:tc>
        <w:tc>
          <w:tcPr>
            <w:tcW w:type="dxa" w:w="3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名称、权重路径、激活状态、设备</w:t>
            </w:r>
          </w:p>
        </w:tc>
        <w:tc>
          <w:tcPr>
            <w:tcW w:type="dxa" w:w="37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检测与训练任务引用模型 ID</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数据集</w:t>
            </w:r>
          </w:p>
        </w:tc>
        <w:tc>
          <w:tcPr>
            <w:tcW w:type="dxa" w:w="3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来源、类别、图像尺寸、配置路径</w:t>
            </w:r>
          </w:p>
        </w:tc>
        <w:tc>
          <w:tcPr>
            <w:tcW w:type="dxa" w:w="37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训练与对比任务引用数据集 ID</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视频任务</w:t>
            </w:r>
          </w:p>
        </w:tc>
        <w:tc>
          <w:tcPr>
            <w:tcW w:type="dxa" w:w="3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状态、进度、最终统计、输出路径</w:t>
            </w:r>
          </w:p>
        </w:tc>
        <w:tc>
          <w:tcPr>
            <w:tcW w:type="dxa" w:w="37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任务 ID 对应 WebSocket 推送和查询</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检测历史</w:t>
            </w:r>
          </w:p>
        </w:tc>
        <w:tc>
          <w:tcPr>
            <w:tcW w:type="dxa" w:w="3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统计、耗时、原图/标注图路径</w:t>
            </w:r>
          </w:p>
        </w:tc>
        <w:tc>
          <w:tcPr>
            <w:tcW w:type="dxa" w:w="37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历史 ID 对应详情与单条/批量删除</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应用媒体</w:t>
            </w:r>
          </w:p>
        </w:tc>
        <w:tc>
          <w:tcPr>
            <w:tcW w:type="dxa" w:w="3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output_images / output_videos 下的文件</w:t>
            </w:r>
          </w:p>
        </w:tc>
        <w:tc>
          <w:tcPr>
            <w:tcW w:type="dxa" w:w="37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仅随关联记录在允许目录内清理</w:t>
            </w:r>
          </w:p>
        </w:tc>
      </w:tr>
    </w:tbl>
    <w:p>
      <w:pPr>
        <w:spacing w:before="80" w:after="160" w:line="240" w:lineRule="auto"/>
        <w:jc w:val="center"/>
      </w:pPr>
      <w:r>
        <w:rPr>
          <w:rFonts w:ascii="Calibri" w:hAnsi="Calibri" w:eastAsia="Microsoft YaHei"/>
          <w:b w:val="0"/>
          <w:color w:val="667085"/>
          <w:sz w:val="19"/>
        </w:rPr>
        <w:t>表3-4 核心数据对象及关联关系</w:t>
      </w:r>
    </w:p>
    <w:p>
      <w:pPr>
        <w:pStyle w:val="Heading1"/>
        <w:keepNext/>
      </w:pPr>
      <w:r>
        <w:t>第4章 关键功能实现</w:t>
      </w:r>
    </w:p>
    <w:p>
      <w:pPr>
        <w:pStyle w:val="Heading2"/>
        <w:keepNext/>
      </w:pPr>
      <w:r>
        <w:t>4.1 四类道路目标及标准化结果</w:t>
      </w:r>
    </w:p>
    <w:p>
      <w:pPr>
        <w:spacing w:before="0" w:after="160" w:line="320" w:lineRule="auto"/>
        <w:jc w:val="both"/>
      </w:pPr>
      <w:r>
        <w:rPr>
          <w:rFonts w:ascii="Calibri" w:hAnsi="Calibri" w:eastAsia="Microsoft YaHei"/>
          <w:b w:val="0"/>
          <w:color w:val="1F2937"/>
          <w:sz w:val="22"/>
        </w:rPr>
        <w:t>系统将 COCO 的 person(0)、car(2)、bus(5)、truck(7) 作为业务目标集合。模型原始输出经筛选后转换为统一检测对象，包括类别、置信度、像素级边界框、归一化中心点与车道方向。无检测类别采用零填充，保证前端统计表格和柱状图在无目标时仍保持稳定结构。</w:t>
      </w:r>
    </w:p>
    <w:p>
      <w:r>
        <w:drawing>
          <wp:inline xmlns:a="http://schemas.openxmlformats.org/drawingml/2006/main" xmlns:pic="http://schemas.openxmlformats.org/drawingml/2006/picture">
            <wp:extent cx="2743200" cy="3034513"/>
            <wp:docPr id="1" name="Picture 1"/>
            <wp:cNvGraphicFramePr>
              <a:graphicFrameLocks noChangeAspect="1"/>
            </wp:cNvGraphicFramePr>
            <a:graphic>
              <a:graphicData uri="http://schemas.openxmlformats.org/drawingml/2006/picture">
                <pic:pic>
                  <pic:nvPicPr>
                    <pic:cNvPr id="0" name="output_1.jpg"/>
                    <pic:cNvPicPr/>
                  </pic:nvPicPr>
                  <pic:blipFill>
                    <a:blip r:embed="rId11"/>
                    <a:stretch>
                      <a:fillRect/>
                    </a:stretch>
                  </pic:blipFill>
                  <pic:spPr>
                    <a:xfrm>
                      <a:off x="0" y="0"/>
                      <a:ext cx="2743200" cy="3034513"/>
                    </a:xfrm>
                    <a:prstGeom prst="rect"/>
                  </pic:spPr>
                </pic:pic>
              </a:graphicData>
            </a:graphic>
          </wp:inline>
        </w:drawing>
      </w:r>
    </w:p>
    <w:p>
      <w:pPr>
        <w:spacing w:before="80" w:after="160" w:line="240" w:lineRule="auto"/>
        <w:jc w:val="center"/>
      </w:pPr>
      <w:r>
        <w:rPr>
          <w:rFonts w:ascii="Calibri" w:hAnsi="Calibri" w:eastAsia="Microsoft YaHei"/>
          <w:b w:val="0"/>
          <w:color w:val="667085"/>
          <w:sz w:val="19"/>
        </w:rPr>
        <w:t>图4-1 项目生成的道路车辆检测结果</w:t>
      </w:r>
    </w:p>
    <w:p>
      <w:pPr>
        <w:pStyle w:val="Heading2"/>
        <w:keepNext/>
      </w:pPr>
      <w:r>
        <w:t>4.2 车道区域与基准线统计</w:t>
      </w:r>
    </w:p>
    <w:p>
      <w:pPr>
        <w:spacing w:before="0" w:after="160" w:line="320" w:lineRule="auto"/>
        <w:jc w:val="both"/>
      </w:pPr>
      <w:r>
        <w:rPr>
          <w:rFonts w:ascii="Calibri" w:hAnsi="Calibri" w:eastAsia="Microsoft YaHei"/>
          <w:b w:val="0"/>
          <w:color w:val="1F2937"/>
          <w:sz w:val="22"/>
        </w:rPr>
        <w:t>车辆车道统计以检测框中心点的归一化坐标为依据，将画面划分为东、南、西、北四个区域。行人进入类别统计但不进入车辆车道数量。基准线支持水平和垂直两种方向，位置限制在图像宽度或高度的 5% 至 95%。</w:t>
      </w:r>
    </w:p>
    <w:p>
      <w:pPr>
        <w:spacing w:before="0" w:after="160" w:line="320" w:lineRule="auto"/>
        <w:jc w:val="both"/>
      </w:pPr>
      <w:r>
        <w:rPr>
          <w:rFonts w:ascii="Calibri" w:hAnsi="Calibri" w:eastAsia="Microsoft YaHei"/>
          <w:b w:val="0"/>
          <w:color w:val="1F2937"/>
          <w:sz w:val="22"/>
        </w:rPr>
        <w:t>视频帧中，同类别目标采用最近中心点进行轻量关联，关联距离阈值为 0.14（归一化坐标），超过 45 帧未出现的轨迹自动清理。当目标从基准线一侧移动到另一侧时，依据方向累计为 entry 或 exit。该方法用于轻量化交通流量统计，不作为复杂多目标跟踪或重识别算法的替代。</w:t>
      </w:r>
    </w:p>
    <w:p>
      <w:pPr>
        <w:pStyle w:val="Heading2"/>
        <w:keepNext/>
      </w:pPr>
      <w:r>
        <w:t>4.3 异步视频任务与实时推送</w:t>
      </w:r>
    </w:p>
    <w:p>
      <w:pPr>
        <w:spacing w:before="0" w:after="160" w:line="320" w:lineRule="auto"/>
        <w:jc w:val="both"/>
      </w:pPr>
      <w:r>
        <w:rPr>
          <w:rFonts w:ascii="Calibri" w:hAnsi="Calibri" w:eastAsia="Microsoft YaHei"/>
          <w:b w:val="0"/>
          <w:color w:val="1F2937"/>
          <w:sz w:val="22"/>
        </w:rPr>
        <w:t>视频接口创建任务后立即返回任务 ID，读帧、YOLO 推理、结果绘制和浏览器兼容转码在后台执行。每处理10 帧或到达末帧时更新处理进度，并通过 WebSocket 推送 video_progress 事件。任务状态、结果和异常信息被写入 SQLite，系统重启或页面刷新后仍可查询。</w:t>
      </w:r>
    </w:p>
    <w:p>
      <w:pPr>
        <w:pStyle w:val="Heading2"/>
        <w:keepNext/>
      </w:pPr>
      <w:r>
        <w:t>4.4 检测历史与安全批量删除</w:t>
      </w:r>
    </w:p>
    <w:p>
      <w:pPr>
        <w:spacing w:before="0" w:after="160" w:line="320" w:lineRule="auto"/>
        <w:jc w:val="both"/>
      </w:pPr>
      <w:r>
        <w:rPr>
          <w:rFonts w:ascii="Calibri" w:hAnsi="Calibri" w:eastAsia="Microsoft YaHei"/>
          <w:b w:val="0"/>
          <w:color w:val="1F2937"/>
          <w:sz w:val="22"/>
        </w:rPr>
        <w:t>图片检测历史保存原图副本、标注图、分类与车道统计、模型名和处理时间。前端支持单条删除和多条选中删除；后端根据历史记录的关联路径，在删除数据库记录的同时仅清理 output_images/ 或 output_videos/目录中的应用生成文件。外部任意路径不在删除范围内，从而降低误删用户文件的风险。</w:t>
      </w:r>
    </w:p>
    <w:p>
      <w:pPr>
        <w:pStyle w:val="Heading2"/>
        <w:keepNext/>
      </w:pPr>
      <w:r>
        <w:t>4.5 异常处理与接口边界</w:t>
      </w:r>
    </w:p>
    <w:tbl>
      <w:tblPr>
        <w:tblW w:type="dxa" w:w="9360"/>
        <w:jc w:val="left"/>
        <w:tblLayout w:type="fixed"/>
        <w:tblLook w:firstColumn="1" w:firstRow="1" w:lastColumn="0" w:lastRow="0" w:noHBand="0" w:noVBand="1" w:val="04A0"/>
        <w:tblInd w:type="dxa" w:w="120"/>
      </w:tblPr>
      <w:tblGrid>
        <w:gridCol w:w="2700"/>
        <w:gridCol w:w="1200"/>
        <w:gridCol w:w="5460"/>
      </w:tblGrid>
      <w:tr>
        <w:trPr>
          <w:tblHeader w:val="true"/>
        </w:trPr>
        <w:tc>
          <w:tcPr>
            <w:tcW w:type="dxa" w:w="2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异常场景</w:t>
            </w:r>
          </w:p>
        </w:tc>
        <w:tc>
          <w:tcPr>
            <w:tcW w:type="dxa" w:w="12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状态</w:t>
            </w:r>
          </w:p>
        </w:tc>
        <w:tc>
          <w:tcPr>
            <w:tcW w:type="dxa" w:w="54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处理策略</w:t>
            </w:r>
          </w:p>
        </w:tc>
      </w:tr>
      <w:tr>
        <w:trPr/>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图片格式不支持</w:t>
            </w:r>
          </w:p>
        </w:tc>
        <w:tc>
          <w:tcPr>
            <w:tcW w:type="dxa" w:w="1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400</w:t>
            </w:r>
          </w:p>
        </w:tc>
        <w:tc>
          <w:tcPr>
            <w:tcW w:type="dxa" w:w="54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拒绝进入模型推理，提示仅支持 JPG/JPEG/PNG/BMP</w:t>
            </w:r>
          </w:p>
        </w:tc>
      </w:tr>
      <w:tr>
        <w:trPr/>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图片超过 10 MB</w:t>
            </w:r>
          </w:p>
        </w:tc>
        <w:tc>
          <w:tcPr>
            <w:tcW w:type="dxa" w:w="1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413</w:t>
            </w:r>
          </w:p>
        </w:tc>
        <w:tc>
          <w:tcPr>
            <w:tcW w:type="dxa" w:w="54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返回文件大小超限</w:t>
            </w:r>
          </w:p>
        </w:tc>
      </w:tr>
      <w:tr>
        <w:trPr/>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视频格式或大小错误</w:t>
            </w:r>
          </w:p>
        </w:tc>
        <w:tc>
          <w:tcPr>
            <w:tcW w:type="dxa" w:w="1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400/413</w:t>
            </w:r>
          </w:p>
        </w:tc>
        <w:tc>
          <w:tcPr>
            <w:tcW w:type="dxa" w:w="54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返回支持格式或 500 MB 限制</w:t>
            </w:r>
          </w:p>
        </w:tc>
      </w:tr>
      <w:tr>
        <w:trPr/>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无效基准线</w:t>
            </w:r>
          </w:p>
        </w:tc>
        <w:tc>
          <w:tcPr>
            <w:tcW w:type="dxa" w:w="1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400</w:t>
            </w:r>
          </w:p>
        </w:tc>
        <w:tc>
          <w:tcPr>
            <w:tcW w:type="dxa" w:w="54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提示方向、位置或运动方向不匹配</w:t>
            </w:r>
          </w:p>
        </w:tc>
      </w:tr>
      <w:tr>
        <w:trPr/>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任务/模型/历史不存在</w:t>
            </w:r>
          </w:p>
        </w:tc>
        <w:tc>
          <w:tcPr>
            <w:tcW w:type="dxa" w:w="1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404</w:t>
            </w:r>
          </w:p>
        </w:tc>
        <w:tc>
          <w:tcPr>
            <w:tcW w:type="dxa" w:w="54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返回未找到的资源说明</w:t>
            </w:r>
          </w:p>
        </w:tc>
      </w:tr>
      <w:tr>
        <w:trPr/>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检测或任务服务不可用</w:t>
            </w:r>
          </w:p>
        </w:tc>
        <w:tc>
          <w:tcPr>
            <w:tcW w:type="dxa" w:w="1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503</w:t>
            </w:r>
          </w:p>
        </w:tc>
        <w:tc>
          <w:tcPr>
            <w:tcW w:type="dxa" w:w="54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提示服务未就绪，不返回伪结果</w:t>
            </w:r>
          </w:p>
        </w:tc>
      </w:tr>
    </w:tbl>
    <w:p>
      <w:pPr>
        <w:spacing w:before="80" w:after="160" w:line="240" w:lineRule="auto"/>
        <w:jc w:val="center"/>
      </w:pPr>
      <w:r>
        <w:rPr>
          <w:rFonts w:ascii="Calibri" w:hAnsi="Calibri" w:eastAsia="Microsoft YaHei"/>
          <w:b w:val="0"/>
          <w:color w:val="667085"/>
          <w:sz w:val="19"/>
        </w:rPr>
        <w:t>表4-1 异常处理策略</w:t>
      </w:r>
    </w:p>
    <w:p>
      <w:pPr>
        <w:pStyle w:val="Heading2"/>
        <w:keepNext/>
      </w:pPr>
      <w:r>
        <w:t>4.6 接口结果与前端协同</w:t>
      </w:r>
    </w:p>
    <w:p>
      <w:pPr>
        <w:spacing w:before="0" w:after="160" w:line="320" w:lineRule="auto"/>
        <w:jc w:val="both"/>
      </w:pPr>
      <w:r>
        <w:rPr>
          <w:rFonts w:ascii="Calibri" w:hAnsi="Calibri" w:eastAsia="Microsoft YaHei"/>
          <w:b w:val="0"/>
          <w:color w:val="1F2937"/>
          <w:sz w:val="22"/>
        </w:rPr>
        <w:t>后端不直接返回模型框架内部对象，而是将结果转换为面向页面展示的稳定字段。类别数量、车道数量和进出数量在没有检测目标时仍返回完整的四类或四方向结构，前端可以固定渲染统计卡片、表格和图表，避免因缺失键值产生空白或异常。标注媒体路径和处理时间与本次请求或历史记录同时返回，便于用户核对结果来源。</w:t>
      </w:r>
    </w:p>
    <w:tbl>
      <w:tblPr>
        <w:tblW w:type="dxa" w:w="9360"/>
        <w:jc w:val="left"/>
        <w:tblLayout w:type="fixed"/>
        <w:tblLook w:firstColumn="1" w:firstRow="1" w:lastColumn="0" w:lastRow="0" w:noHBand="0" w:noVBand="1" w:val="04A0"/>
        <w:tblInd w:type="dxa" w:w="120"/>
      </w:tblPr>
      <w:tblGrid>
        <w:gridCol w:w="2700"/>
        <w:gridCol w:w="3450"/>
        <w:gridCol w:w="3210"/>
      </w:tblGrid>
      <w:tr>
        <w:trPr>
          <w:tblHeader w:val="true"/>
        </w:trPr>
        <w:tc>
          <w:tcPr>
            <w:tcW w:type="dxa" w:w="2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字段</w:t>
            </w:r>
          </w:p>
        </w:tc>
        <w:tc>
          <w:tcPr>
            <w:tcW w:type="dxa" w:w="34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业务含义</w:t>
            </w:r>
          </w:p>
        </w:tc>
        <w:tc>
          <w:tcPr>
            <w:tcW w:type="dxa" w:w="321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前端处理约束</w:t>
            </w:r>
          </w:p>
        </w:tc>
      </w:tr>
      <w:tr>
        <w:trPr/>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class_counts</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person / car / bus / truck 的数量</w:t>
            </w:r>
          </w:p>
        </w:tc>
        <w:tc>
          <w:tcPr>
            <w:tcW w:type="dxa" w:w="32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四类目标始终存在，未检出时为 0</w:t>
            </w:r>
          </w:p>
        </w:tc>
      </w:tr>
      <w:tr>
        <w:trPr/>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lane_counts</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north / south / east / west 车辆数量</w:t>
            </w:r>
          </w:p>
        </w:tc>
        <w:tc>
          <w:tcPr>
            <w:tcW w:type="dxa" w:w="32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行人不计入车辆车道统计</w:t>
            </w:r>
          </w:p>
        </w:tc>
      </w:tr>
      <w:tr>
        <w:trPr/>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flow_counts</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entry / exit 下的四类数量</w:t>
            </w:r>
          </w:p>
        </w:tc>
        <w:tc>
          <w:tcPr>
            <w:tcW w:type="dxa" w:w="32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未启用基准线时返回零填充结构</w:t>
            </w:r>
          </w:p>
        </w:tc>
      </w:tr>
      <w:tr>
        <w:trPr/>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detected_vehicles</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类别、置信度、边界框和中心点</w:t>
            </w:r>
          </w:p>
        </w:tc>
        <w:tc>
          <w:tcPr>
            <w:tcW w:type="dxa" w:w="32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供详情、标注和调试使用</w:t>
            </w:r>
          </w:p>
        </w:tc>
      </w:tr>
      <w:tr>
        <w:trPr/>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annotated_image_path / output_path</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应用生成媒体的相对路径</w:t>
            </w:r>
          </w:p>
        </w:tc>
        <w:tc>
          <w:tcPr>
            <w:tcW w:type="dxa" w:w="32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用于展示与安全关联删除</w:t>
            </w:r>
          </w:p>
        </w:tc>
      </w:tr>
      <w:tr>
        <w:trPr/>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processing_time</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本次推理或任务处理耗时</w:t>
            </w:r>
          </w:p>
        </w:tc>
        <w:tc>
          <w:tcPr>
            <w:tcW w:type="dxa" w:w="32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用于性能观察与历史对比</w:t>
            </w:r>
          </w:p>
        </w:tc>
      </w:tr>
    </w:tbl>
    <w:p>
      <w:pPr>
        <w:spacing w:before="80" w:after="160" w:line="240" w:lineRule="auto"/>
        <w:jc w:val="center"/>
      </w:pPr>
      <w:r>
        <w:rPr>
          <w:rFonts w:ascii="Calibri" w:hAnsi="Calibri" w:eastAsia="Microsoft YaHei"/>
          <w:b w:val="0"/>
          <w:color w:val="667085"/>
          <w:sz w:val="19"/>
        </w:rPr>
        <w:t>表4-2 检测结果的主要响应字段</w:t>
      </w:r>
    </w:p>
    <w:p>
      <w:pPr>
        <w:pStyle w:val="Heading2"/>
        <w:keepNext/>
      </w:pPr>
      <w:r>
        <w:t>4.7 删除与异常处理的边界</w:t>
      </w:r>
    </w:p>
    <w:p>
      <w:pPr>
        <w:spacing w:before="0" w:after="160" w:line="320" w:lineRule="auto"/>
        <w:jc w:val="both"/>
      </w:pPr>
      <w:r>
        <w:rPr>
          <w:rFonts w:ascii="Calibri" w:hAnsi="Calibri" w:eastAsia="Microsoft YaHei"/>
          <w:b w:val="0"/>
          <w:color w:val="1F2937"/>
          <w:sz w:val="22"/>
        </w:rPr>
        <w:t>批量删除请求包含用户勾选的历史 ID 列表。服务端先查询这些记录的关联媒体，再删除元数据并仅对output_images/ 和 output_videos/ 下可确认属于应用生成物的路径执行清理；任意外部绝对路径或不在允许目录中的路径都不会作为删除目标。删除后前端以响应中的 deleted_ids 更新列表，而不是仅隐藏行，刷新页面后仍以数据库实际状态为准。</w:t>
      </w:r>
    </w:p>
    <w:p>
      <w:pPr>
        <w:spacing w:before="0" w:after="160" w:line="320" w:lineRule="auto"/>
        <w:jc w:val="both"/>
      </w:pPr>
      <w:r>
        <w:rPr>
          <w:rFonts w:ascii="Calibri" w:hAnsi="Calibri" w:eastAsia="Microsoft YaHei"/>
          <w:b w:val="0"/>
          <w:color w:val="1F2937"/>
          <w:sz w:val="22"/>
        </w:rPr>
        <w:t>输入错误与服务错误也采用不同的响应边界：格式、大小和参数问题在进入模型前以 400 或 413 返回；任务、模型或历史记录不存在时返回 404；检测、视频或训练依赖不可用时返回 503。该约定让前端能够显示可理解的错误状态，同时避免产生伪造的成功统计或不完整历史记录。</w:t>
      </w:r>
    </w:p>
    <w:p>
      <w:r>
        <w:br w:type="page"/>
      </w:r>
    </w:p>
    <w:p>
      <w:pPr>
        <w:pStyle w:val="Heading1"/>
        <w:keepNext/>
      </w:pPr>
      <w:r>
        <w:t>第5章 真实实验与结果分析</w:t>
      </w:r>
    </w:p>
    <w:p>
      <w:pPr>
        <w:pStyle w:val="Heading2"/>
        <w:keepNext/>
      </w:pPr>
      <w:r>
        <w:t>5.1 数据集、环境与统一设置</w:t>
      </w:r>
    </w:p>
    <w:p>
      <w:pPr>
        <w:spacing w:before="0" w:after="160" w:line="320" w:lineRule="auto"/>
        <w:jc w:val="both"/>
      </w:pPr>
      <w:r>
        <w:rPr>
          <w:rFonts w:ascii="Calibri" w:hAnsi="Calibri" w:eastAsia="Microsoft YaHei"/>
          <w:b w:val="0"/>
          <w:color w:val="1F2937"/>
          <w:sz w:val="22"/>
        </w:rPr>
        <w:t>实验使用 COCO 2017 val2017 构建的交通目标子集，包含 person、car、bus、truck 四类。固定随机种子42 后，训练集为 1 500 张图像和 6 906 个实例，验证集为 300 张图像和 1 407 个实例。统一训练条件为NVIDIA GeForce RTX 4050 Laptop GPU、Python 3.12.10、PyTorch 2.11.0+cu128、Ultralytics 8.4.107、输入尺寸 640 x 640、batch=8、预训练初始化和 10 个训练轮次。</w:t>
      </w:r>
    </w:p>
    <w:p>
      <w:pPr>
        <w:pStyle w:val="Heading2"/>
        <w:keepNext/>
      </w:pPr>
      <w:r>
        <w:t>5.2 相同训练条件下的模型验证结果</w:t>
      </w:r>
    </w:p>
    <w:tbl>
      <w:tblPr>
        <w:tblW w:type="dxa" w:w="9360"/>
        <w:jc w:val="left"/>
        <w:tblLayout w:type="fixed"/>
        <w:tblLook w:firstColumn="1" w:firstRow="1" w:lastColumn="0" w:lastRow="0" w:noHBand="0" w:noVBand="1" w:val="04A0"/>
        <w:tblInd w:type="dxa" w:w="120"/>
      </w:tblPr>
      <w:tblGrid>
        <w:gridCol w:w="1470"/>
        <w:gridCol w:w="1260"/>
        <w:gridCol w:w="1260"/>
        <w:gridCol w:w="1100"/>
        <w:gridCol w:w="1100"/>
        <w:gridCol w:w="1500"/>
        <w:gridCol w:w="1670"/>
      </w:tblGrid>
      <w:tr>
        <w:trPr>
          <w:tblHeader w:val="true"/>
        </w:trPr>
        <w:tc>
          <w:tcPr>
            <w:tcW w:type="dxa" w:w="147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模型</w:t>
            </w:r>
          </w:p>
        </w:tc>
        <w:tc>
          <w:tcPr>
            <w:tcW w:type="dxa" w:w="12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Precision</w:t>
            </w:r>
          </w:p>
        </w:tc>
        <w:tc>
          <w:tcPr>
            <w:tcW w:type="dxa" w:w="12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Recall</w:t>
            </w:r>
          </w:p>
        </w:tc>
        <w:tc>
          <w:tcPr>
            <w:tcW w:type="dxa" w:w="11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F1</w:t>
            </w:r>
          </w:p>
        </w:tc>
        <w:tc>
          <w:tcPr>
            <w:tcW w:type="dxa" w:w="11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mAP50</w:t>
            </w:r>
          </w:p>
        </w:tc>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mAP50-95</w:t>
            </w:r>
          </w:p>
        </w:tc>
        <w:tc>
          <w:tcPr>
            <w:tcW w:type="dxa" w:w="167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验证推理(ms/图)</w:t>
            </w:r>
          </w:p>
        </w:tc>
      </w:tr>
      <w:tr>
        <w:trPr/>
        <w:tc>
          <w:tcPr>
            <w:tcW w:type="dxa" w:w="14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YOLOv8n</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61.35%</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40.51%</w:t>
            </w:r>
          </w:p>
        </w:tc>
        <w:tc>
          <w:tcPr>
            <w:tcW w:type="dxa" w:w="1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48.79%</w:t>
            </w:r>
          </w:p>
        </w:tc>
        <w:tc>
          <w:tcPr>
            <w:tcW w:type="dxa" w:w="1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44.81%</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28.04%</w:t>
            </w:r>
          </w:p>
        </w:tc>
        <w:tc>
          <w:tcPr>
            <w:tcW w:type="dxa" w:w="16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6.13</w:t>
            </w:r>
          </w:p>
        </w:tc>
      </w:tr>
      <w:tr>
        <w:trPr/>
        <w:tc>
          <w:tcPr>
            <w:tcW w:type="dxa" w:w="147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YOLOv8s</w:t>
            </w:r>
          </w:p>
        </w:tc>
        <w:tc>
          <w:tcPr>
            <w:tcW w:type="dxa" w:w="1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47.45%</w:t>
            </w:r>
          </w:p>
        </w:tc>
        <w:tc>
          <w:tcPr>
            <w:tcW w:type="dxa" w:w="1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45.21%</w:t>
            </w:r>
          </w:p>
        </w:tc>
        <w:tc>
          <w:tcPr>
            <w:tcW w:type="dxa" w:w="1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46.30%</w:t>
            </w:r>
          </w:p>
        </w:tc>
        <w:tc>
          <w:tcPr>
            <w:tcW w:type="dxa" w:w="11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44.66%</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27.24%</w:t>
            </w:r>
          </w:p>
        </w:tc>
        <w:tc>
          <w:tcPr>
            <w:tcW w:type="dxa" w:w="167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8.79</w:t>
            </w:r>
          </w:p>
        </w:tc>
      </w:tr>
      <w:tr>
        <w:trPr/>
        <w:tc>
          <w:tcPr>
            <w:tcW w:type="dxa" w:w="14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YOLOv8m</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45.04%</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38.99%</w:t>
            </w:r>
          </w:p>
        </w:tc>
        <w:tc>
          <w:tcPr>
            <w:tcW w:type="dxa" w:w="1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41.80%</w:t>
            </w:r>
          </w:p>
        </w:tc>
        <w:tc>
          <w:tcPr>
            <w:tcW w:type="dxa" w:w="11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40.30%</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25.12%</w:t>
            </w:r>
          </w:p>
        </w:tc>
        <w:tc>
          <w:tcPr>
            <w:tcW w:type="dxa" w:w="16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15.91</w:t>
            </w:r>
          </w:p>
        </w:tc>
      </w:tr>
    </w:tbl>
    <w:p>
      <w:pPr>
        <w:spacing w:before="80" w:after="160" w:line="240" w:lineRule="auto"/>
        <w:jc w:val="center"/>
      </w:pPr>
      <w:r>
        <w:rPr>
          <w:rFonts w:ascii="Calibri" w:hAnsi="Calibri" w:eastAsia="Microsoft YaHei"/>
          <w:b w:val="0"/>
          <w:color w:val="667085"/>
          <w:sz w:val="19"/>
        </w:rPr>
        <w:t>表5-1 相同训练条件下的模型验证指标</w:t>
      </w:r>
    </w:p>
    <w:p>
      <w:pPr>
        <w:spacing w:before="0" w:after="160" w:line="320" w:lineRule="auto"/>
        <w:jc w:val="both"/>
      </w:pPr>
      <w:r>
        <w:rPr>
          <w:rFonts w:ascii="Calibri" w:hAnsi="Calibri" w:eastAsia="Microsoft YaHei"/>
          <w:b w:val="0"/>
          <w:color w:val="1F2937"/>
          <w:sz w:val="22"/>
        </w:rPr>
        <w:t>YOLOv8n 的 mAP50-95 为 28.04%，在当前三种规模中最高，验证推理时间也最低。因此，在当前数据规模和 10 轮训练条件下，YOLOv8n 是精度与实时性最均衡的候选部署模型。该结论仅适用于本实验条件，不能推导为小模型在所有场景中普遍优于大模型。</w:t>
      </w:r>
    </w:p>
    <w:p>
      <w:pPr>
        <w:pStyle w:val="Heading2"/>
        <w:keepNext/>
      </w:pPr>
      <w:r>
        <w:t>5.3 默认阈值下的精度、速度与资源占用</w:t>
      </w:r>
    </w:p>
    <w:tbl>
      <w:tblPr>
        <w:tblW w:type="dxa" w:w="9360"/>
        <w:jc w:val="left"/>
        <w:tblLayout w:type="fixed"/>
        <w:tblLook w:firstColumn="1" w:firstRow="1" w:lastColumn="0" w:lastRow="0" w:noHBand="0" w:noVBand="1" w:val="04A0"/>
        <w:tblInd w:type="dxa" w:w="120"/>
      </w:tblPr>
      <w:tblGrid>
        <w:gridCol w:w="1900"/>
        <w:gridCol w:w="1040"/>
        <w:gridCol w:w="1040"/>
        <w:gridCol w:w="1040"/>
        <w:gridCol w:w="1570"/>
        <w:gridCol w:w="1400"/>
        <w:gridCol w:w="1370"/>
      </w:tblGrid>
      <w:tr>
        <w:trPr>
          <w:tblHeader w:val="true"/>
        </w:trPr>
        <w:tc>
          <w:tcPr>
            <w:tcW w:type="dxa" w:w="1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模型（阈值0.40）</w:t>
            </w:r>
          </w:p>
        </w:tc>
        <w:tc>
          <w:tcPr>
            <w:tcW w:type="dxa" w:w="104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P</w:t>
            </w:r>
          </w:p>
        </w:tc>
        <w:tc>
          <w:tcPr>
            <w:tcW w:type="dxa" w:w="104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R</w:t>
            </w:r>
          </w:p>
        </w:tc>
        <w:tc>
          <w:tcPr>
            <w:tcW w:type="dxa" w:w="104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F1</w:t>
            </w:r>
          </w:p>
        </w:tc>
        <w:tc>
          <w:tcPr>
            <w:tcW w:type="dxa" w:w="157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模型推理(ms/图)</w:t>
            </w:r>
          </w:p>
        </w:tc>
        <w:tc>
          <w:tcPr>
            <w:tcW w:type="dxa" w:w="14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RSS增量(MiB)</w:t>
            </w:r>
          </w:p>
        </w:tc>
        <w:tc>
          <w:tcPr>
            <w:tcW w:type="dxa" w:w="137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GPU峰值(MiB)</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YOLOv8n</w:t>
            </w:r>
          </w:p>
        </w:tc>
        <w:tc>
          <w:tcPr>
            <w:tcW w:type="dxa" w:w="104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78.58%</w:t>
            </w:r>
          </w:p>
        </w:tc>
        <w:tc>
          <w:tcPr>
            <w:tcW w:type="dxa" w:w="104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47.19%</w:t>
            </w:r>
          </w:p>
        </w:tc>
        <w:tc>
          <w:tcPr>
            <w:tcW w:type="dxa" w:w="104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58.97%</w:t>
            </w:r>
          </w:p>
        </w:tc>
        <w:tc>
          <w:tcPr>
            <w:tcW w:type="dxa" w:w="15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8.36</w:t>
            </w:r>
          </w:p>
        </w:tc>
        <w:tc>
          <w:tcPr>
            <w:tcW w:type="dxa" w:w="1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686.9</w:t>
            </w:r>
          </w:p>
        </w:tc>
        <w:tc>
          <w:tcPr>
            <w:tcW w:type="dxa" w:w="13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32.4</w:t>
            </w:r>
          </w:p>
        </w:tc>
      </w:tr>
      <w:tr>
        <w:trPr/>
        <w:tc>
          <w:tcPr>
            <w:tcW w:type="dxa" w:w="1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YOLOv8s</w:t>
            </w:r>
          </w:p>
        </w:tc>
        <w:tc>
          <w:tcPr>
            <w:tcW w:type="dxa" w:w="104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81.29%</w:t>
            </w:r>
          </w:p>
        </w:tc>
        <w:tc>
          <w:tcPr>
            <w:tcW w:type="dxa" w:w="104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45.70%</w:t>
            </w:r>
          </w:p>
        </w:tc>
        <w:tc>
          <w:tcPr>
            <w:tcW w:type="dxa" w:w="104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58.51%</w:t>
            </w:r>
          </w:p>
        </w:tc>
        <w:tc>
          <w:tcPr>
            <w:tcW w:type="dxa" w:w="157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8.64</w:t>
            </w:r>
          </w:p>
        </w:tc>
        <w:tc>
          <w:tcPr>
            <w:tcW w:type="dxa" w:w="14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730.3</w:t>
            </w:r>
          </w:p>
        </w:tc>
        <w:tc>
          <w:tcPr>
            <w:tcW w:type="dxa" w:w="137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78.5</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YOLOv8m</w:t>
            </w:r>
          </w:p>
        </w:tc>
        <w:tc>
          <w:tcPr>
            <w:tcW w:type="dxa" w:w="104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76.73%</w:t>
            </w:r>
          </w:p>
        </w:tc>
        <w:tc>
          <w:tcPr>
            <w:tcW w:type="dxa" w:w="104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44.99%</w:t>
            </w:r>
          </w:p>
        </w:tc>
        <w:tc>
          <w:tcPr>
            <w:tcW w:type="dxa" w:w="104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56.72%</w:t>
            </w:r>
          </w:p>
        </w:tc>
        <w:tc>
          <w:tcPr>
            <w:tcW w:type="dxa" w:w="15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14.99</w:t>
            </w:r>
          </w:p>
        </w:tc>
        <w:tc>
          <w:tcPr>
            <w:tcW w:type="dxa" w:w="1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787.3</w:t>
            </w:r>
          </w:p>
        </w:tc>
        <w:tc>
          <w:tcPr>
            <w:tcW w:type="dxa" w:w="137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160.5</w:t>
            </w:r>
          </w:p>
        </w:tc>
      </w:tr>
    </w:tbl>
    <w:p>
      <w:pPr>
        <w:spacing w:before="80" w:after="160" w:line="240" w:lineRule="auto"/>
        <w:jc w:val="center"/>
      </w:pPr>
      <w:r>
        <w:rPr>
          <w:rFonts w:ascii="Calibri" w:hAnsi="Calibri" w:eastAsia="Microsoft YaHei"/>
          <w:b w:val="0"/>
          <w:color w:val="667085"/>
          <w:sz w:val="19"/>
        </w:rPr>
        <w:t>表5-2 默认阈值下的真实部署性能对比</w:t>
      </w:r>
    </w:p>
    <w:p>
      <w:pPr>
        <w:spacing w:before="0" w:after="160" w:line="320" w:lineRule="auto"/>
        <w:jc w:val="both"/>
      </w:pPr>
      <w:r>
        <w:rPr>
          <w:rFonts w:ascii="Calibri" w:hAnsi="Calibri" w:eastAsia="Microsoft YaHei"/>
          <w:b w:val="0"/>
          <w:color w:val="1F2937"/>
          <w:sz w:val="22"/>
        </w:rPr>
        <w:t>固定阈值 0.40 下，YOLOv8n 的 F1 为 58.97%，同时具有最低 RSS 增量和 GPU 峰值。YOLOv8s 的Precision 略高，但未获得更高 F1 或 mAP50-95；YOLOv8m 的推理时间与显存开销明显增加。因此，系统默认部署权重选择 YOLOv8n。</w:t>
      </w:r>
    </w:p>
    <w:p>
      <w:pPr>
        <w:pStyle w:val="Heading2"/>
        <w:keepNext/>
      </w:pPr>
      <w:r>
        <w:t>5.4 YOLOv8n 置信度阈值对比</w:t>
      </w:r>
    </w:p>
    <w:tbl>
      <w:tblPr>
        <w:tblW w:type="dxa" w:w="9360"/>
        <w:jc w:val="left"/>
        <w:tblLayout w:type="fixed"/>
        <w:tblLook w:firstColumn="1" w:firstRow="1" w:lastColumn="0" w:lastRow="0" w:noHBand="0" w:noVBand="1" w:val="04A0"/>
        <w:tblInd w:type="dxa" w:w="120"/>
      </w:tblPr>
      <w:tblGrid>
        <w:gridCol w:w="1600"/>
        <w:gridCol w:w="1500"/>
        <w:gridCol w:w="1500"/>
        <w:gridCol w:w="1500"/>
        <w:gridCol w:w="1650"/>
        <w:gridCol w:w="1610"/>
      </w:tblGrid>
      <w:tr>
        <w:trPr>
          <w:tblHeader w:val="true"/>
        </w:trPr>
        <w:tc>
          <w:tcPr>
            <w:tcW w:type="dxa" w:w="16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置信度阈值</w:t>
            </w:r>
          </w:p>
        </w:tc>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P</w:t>
            </w:r>
          </w:p>
        </w:tc>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R</w:t>
            </w:r>
          </w:p>
        </w:tc>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F1</w:t>
            </w:r>
          </w:p>
        </w:tc>
        <w:tc>
          <w:tcPr>
            <w:tcW w:type="dxa" w:w="16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模型推理(ms/图)</w:t>
            </w:r>
          </w:p>
        </w:tc>
        <w:tc>
          <w:tcPr>
            <w:tcW w:type="dxa" w:w="161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端到端(ms/图)</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0.25</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64.40%</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55.79%</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59.79%</w:t>
            </w:r>
          </w:p>
        </w:tc>
        <w:tc>
          <w:tcPr>
            <w:tcW w:type="dxa" w:w="16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8.20</w:t>
            </w:r>
          </w:p>
        </w:tc>
        <w:tc>
          <w:tcPr>
            <w:tcW w:type="dxa" w:w="16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14.68</w:t>
            </w:r>
          </w:p>
        </w:tc>
      </w:tr>
      <w:tr>
        <w:trPr/>
        <w:tc>
          <w:tcPr>
            <w:tcW w:type="dxa" w:w="1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0.40</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78.58%</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47.19%</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58.97%</w:t>
            </w:r>
          </w:p>
        </w:tc>
        <w:tc>
          <w:tcPr>
            <w:tcW w:type="dxa" w:w="16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8.36</w:t>
            </w:r>
          </w:p>
        </w:tc>
        <w:tc>
          <w:tcPr>
            <w:tcW w:type="dxa" w:w="16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14.94</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0.55</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86.26%</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38.38%</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53.12%</w:t>
            </w:r>
          </w:p>
        </w:tc>
        <w:tc>
          <w:tcPr>
            <w:tcW w:type="dxa" w:w="16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8.20</w:t>
            </w:r>
          </w:p>
        </w:tc>
        <w:tc>
          <w:tcPr>
            <w:tcW w:type="dxa" w:w="16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14.54</w:t>
            </w:r>
          </w:p>
        </w:tc>
      </w:tr>
    </w:tbl>
    <w:p>
      <w:pPr>
        <w:spacing w:before="80" w:after="160" w:line="240" w:lineRule="auto"/>
        <w:jc w:val="center"/>
      </w:pPr>
      <w:r>
        <w:rPr>
          <w:rFonts w:ascii="Calibri" w:hAnsi="Calibri" w:eastAsia="Microsoft YaHei"/>
          <w:b w:val="0"/>
          <w:color w:val="667085"/>
          <w:sz w:val="19"/>
        </w:rPr>
        <w:t>表5-3 YOLOv8n 不同置信度阈值下的真实运行点指标</w:t>
      </w:r>
    </w:p>
    <w:p>
      <w:pPr>
        <w:spacing w:before="0" w:after="160" w:line="320" w:lineRule="auto"/>
        <w:jc w:val="both"/>
      </w:pPr>
      <w:r>
        <w:rPr>
          <w:rFonts w:ascii="Calibri" w:hAnsi="Calibri" w:eastAsia="Microsoft YaHei"/>
          <w:b w:val="0"/>
          <w:color w:val="1F2937"/>
          <w:sz w:val="22"/>
        </w:rPr>
        <w:t>阈值 0.25 的 F1 为 59.79%，为三组中最高，但 Precision 降为 64.40%，误检相对更多。阈值 0.40将 Precision 提升至 78.58%，F1 仅小幅下降至 58.97%，适合作为减少误报的界面默认值。阈值 0.55虽然 Precision 达到 86.26%，但 Recall 下降到 38.38%，漏检明显增加，因此不宜作为默认值。</w:t>
      </w:r>
    </w:p>
    <w:p>
      <w:pPr>
        <w:pStyle w:val="Heading2"/>
        <w:keepNext/>
      </w:pPr>
      <w:r>
        <w:t>5.5 训练曲线与实验边界</w:t>
      </w:r>
    </w:p>
    <w:p>
      <w:r>
        <w:drawing>
          <wp:inline xmlns:a="http://schemas.openxmlformats.org/drawingml/2006/main" xmlns:pic="http://schemas.openxmlformats.org/drawingml/2006/picture">
            <wp:extent cx="5650992" cy="2825496"/>
            <wp:docPr id="2" name="Picture 2"/>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5650992" cy="2825496"/>
                    </a:xfrm>
                    <a:prstGeom prst="rect"/>
                  </pic:spPr>
                </pic:pic>
              </a:graphicData>
            </a:graphic>
          </wp:inline>
        </w:drawing>
      </w:r>
    </w:p>
    <w:p>
      <w:pPr>
        <w:spacing w:before="80" w:after="160" w:line="240" w:lineRule="auto"/>
        <w:jc w:val="center"/>
      </w:pPr>
      <w:r>
        <w:rPr>
          <w:rFonts w:ascii="Calibri" w:hAnsi="Calibri" w:eastAsia="Microsoft YaHei"/>
          <w:b w:val="0"/>
          <w:color w:val="667085"/>
          <w:sz w:val="19"/>
        </w:rPr>
        <w:t>图5-1 YOLOv8n 在 10 个轮次内的损失与验证指标变化</w:t>
      </w:r>
    </w:p>
    <w:p>
      <w:pPr>
        <w:spacing w:before="0" w:after="160" w:line="320" w:lineRule="auto"/>
        <w:jc w:val="both"/>
      </w:pPr>
      <w:r>
        <w:rPr>
          <w:rFonts w:ascii="Calibri" w:hAnsi="Calibri" w:eastAsia="Microsoft YaHei"/>
          <w:b w:val="0"/>
          <w:color w:val="1F2937"/>
          <w:sz w:val="22"/>
        </w:rPr>
        <w:t>训练曲线显示 mAP50 和 mAP50-95 在末轮仍有提升，说明 10 轮训练可提供模型规模和阈值的初步对比依据，但不足以证明完全收敛。公交车和卡车样本相对较少，训练/验证集由 COCO val2017 固定重划分得到。</w:t>
      </w:r>
    </w:p>
    <w:p>
      <w:pPr>
        <w:spacing w:before="0" w:after="160" w:line="320" w:lineRule="auto"/>
        <w:jc w:val="both"/>
      </w:pPr>
      <w:r>
        <w:rPr>
          <w:rFonts w:ascii="Calibri" w:hAnsi="Calibri" w:eastAsia="Microsoft YaHei"/>
          <w:b/>
          <w:color w:val="1F4D78"/>
          <w:sz w:val="22"/>
        </w:rPr>
        <w:t>实验边界：</w:t>
      </w:r>
      <w:r>
        <w:rPr>
          <w:rFonts w:ascii="Calibri" w:hAnsi="Calibri" w:eastAsia="Microsoft YaHei"/>
          <w:b w:val="0"/>
          <w:color w:val="1F2937"/>
          <w:sz w:val="22"/>
        </w:rPr>
        <w:t>本实验使用单随机种子、有限训练轮次和单一数据来源；正式结论应将增加训练轮次、扩充道路场景、多随机种子重复实验和独立外部测试集作为后续工作。</w:t>
      </w:r>
    </w:p>
    <w:p>
      <w:pPr>
        <w:pStyle w:val="Heading2"/>
        <w:keepNext/>
      </w:pPr>
      <w:r>
        <w:t>5.6 数据分布与类别不均衡</w:t>
      </w:r>
    </w:p>
    <w:p>
      <w:pPr>
        <w:spacing w:before="0" w:after="160" w:line="320" w:lineRule="auto"/>
        <w:jc w:val="both"/>
      </w:pPr>
      <w:r>
        <w:rPr>
          <w:rFonts w:ascii="Calibri" w:hAnsi="Calibri" w:eastAsia="Microsoft YaHei"/>
          <w:b w:val="0"/>
          <w:color w:val="1F2937"/>
          <w:sz w:val="22"/>
        </w:rPr>
        <w:t>训练集标签统计显示，四类实例总数为 6 906，其中 person 为 5 645、car 为 925、bus 为 140、truck 为196。人员类别远多于公交车和卡车，类别数量差异会使模型在有限训练轮次下更容易学习到高频类别的外观特征，而稀有车辆类别的召回和定位稳定性相对受限。</w:t>
      </w:r>
    </w:p>
    <w:p>
      <w:r>
        <w:drawing>
          <wp:inline xmlns:a="http://schemas.openxmlformats.org/drawingml/2006/main" xmlns:pic="http://schemas.openxmlformats.org/drawingml/2006/picture">
            <wp:extent cx="4709160" cy="4709160"/>
            <wp:docPr id="3" name="Picture 3"/>
            <wp:cNvGraphicFramePr>
              <a:graphicFrameLocks noChangeAspect="1"/>
            </wp:cNvGraphicFramePr>
            <a:graphic>
              <a:graphicData uri="http://schemas.openxmlformats.org/drawingml/2006/picture">
                <pic:pic>
                  <pic:nvPicPr>
                    <pic:cNvPr id="0" name="labels.jpg"/>
                    <pic:cNvPicPr/>
                  </pic:nvPicPr>
                  <pic:blipFill>
                    <a:blip r:embed="rId13"/>
                    <a:stretch>
                      <a:fillRect/>
                    </a:stretch>
                  </pic:blipFill>
                  <pic:spPr>
                    <a:xfrm>
                      <a:off x="0" y="0"/>
                      <a:ext cx="4709160" cy="4709160"/>
                    </a:xfrm>
                    <a:prstGeom prst="rect"/>
                  </pic:spPr>
                </pic:pic>
              </a:graphicData>
            </a:graphic>
          </wp:inline>
        </w:drawing>
      </w:r>
    </w:p>
    <w:p>
      <w:pPr>
        <w:spacing w:before="80" w:after="160" w:line="240" w:lineRule="auto"/>
        <w:jc w:val="center"/>
      </w:pPr>
      <w:r>
        <w:rPr>
          <w:rFonts w:ascii="Calibri" w:hAnsi="Calibri" w:eastAsia="Microsoft YaHei"/>
          <w:b w:val="0"/>
          <w:color w:val="667085"/>
          <w:sz w:val="19"/>
        </w:rPr>
        <w:t>图5-2 训练集四类实例数量与边界框分布</w:t>
      </w:r>
    </w:p>
    <w:p>
      <w:pPr>
        <w:spacing w:before="0" w:after="160" w:line="320" w:lineRule="auto"/>
        <w:jc w:val="both"/>
      </w:pPr>
      <w:r>
        <w:rPr>
          <w:rFonts w:ascii="Calibri" w:hAnsi="Calibri" w:eastAsia="Microsoft YaHei"/>
          <w:b w:val="0"/>
          <w:color w:val="1F2937"/>
          <w:sz w:val="22"/>
        </w:rPr>
        <w:t>图5-2左上角的柱状图直观展示了类别不均衡，其他子图反映归一化中心点、宽度和高度的分布。该图用于解释本实验结果，而不是将训练集分布误认为真实路口车流比例。对于后续应用，可通过补充公交车和卡车道路场景、采用类别均衡采样或增加针对性验证集来降低这一影响。</w:t>
      </w:r>
    </w:p>
    <w:p>
      <w:pPr>
        <w:pStyle w:val="Heading2"/>
        <w:keepNext/>
      </w:pPr>
      <w:r>
        <w:t>5.7 混淆矩阵与检错分析</w:t>
      </w:r>
    </w:p>
    <w:p>
      <w:pPr>
        <w:spacing w:before="0" w:after="160" w:line="320" w:lineRule="auto"/>
        <w:jc w:val="both"/>
      </w:pPr>
      <w:r>
        <w:rPr>
          <w:rFonts w:ascii="Calibri" w:hAnsi="Calibri" w:eastAsia="Microsoft YaHei"/>
          <w:b w:val="0"/>
          <w:color w:val="1F2937"/>
          <w:sz w:val="22"/>
        </w:rPr>
        <w:t>归一化混淆矩阵以真实类别为列、预测类别为行，矩阵对角线反映正确分类比例。person 的对角线值为0.83，说明该类别在当前验证集上的识别较稳定；car、bus、truck 的对角线分别约为 0.30、0.44、0.23，反映出车辆类别之间以及与背景漏检之间仍存在混淆。</w:t>
      </w:r>
    </w:p>
    <w:p>
      <w:r>
        <w:drawing>
          <wp:inline xmlns:a="http://schemas.openxmlformats.org/drawingml/2006/main" xmlns:pic="http://schemas.openxmlformats.org/drawingml/2006/picture">
            <wp:extent cx="4434840" cy="3326130"/>
            <wp:docPr id="4" name="Picture 4"/>
            <wp:cNvGraphicFramePr>
              <a:graphicFrameLocks noChangeAspect="1"/>
            </wp:cNvGraphicFramePr>
            <a:graphic>
              <a:graphicData uri="http://schemas.openxmlformats.org/drawingml/2006/picture">
                <pic:pic>
                  <pic:nvPicPr>
                    <pic:cNvPr id="0" name="confusion_matrix_normalized.png"/>
                    <pic:cNvPicPr/>
                  </pic:nvPicPr>
                  <pic:blipFill>
                    <a:blip r:embed="rId14"/>
                    <a:stretch>
                      <a:fillRect/>
                    </a:stretch>
                  </pic:blipFill>
                  <pic:spPr>
                    <a:xfrm>
                      <a:off x="0" y="0"/>
                      <a:ext cx="4434840" cy="3326130"/>
                    </a:xfrm>
                    <a:prstGeom prst="rect"/>
                  </pic:spPr>
                </pic:pic>
              </a:graphicData>
            </a:graphic>
          </wp:inline>
        </w:drawing>
      </w:r>
    </w:p>
    <w:p>
      <w:pPr>
        <w:spacing w:before="80" w:after="160" w:line="240" w:lineRule="auto"/>
        <w:jc w:val="center"/>
      </w:pPr>
      <w:r>
        <w:rPr>
          <w:rFonts w:ascii="Calibri" w:hAnsi="Calibri" w:eastAsia="Microsoft YaHei"/>
          <w:b w:val="0"/>
          <w:color w:val="667085"/>
          <w:sz w:val="19"/>
        </w:rPr>
        <w:t>图5-3 YOLOv8n 验证集归一化混淆矩阵</w:t>
      </w:r>
    </w:p>
    <w:p>
      <w:pPr>
        <w:spacing w:before="0" w:after="160" w:line="320" w:lineRule="auto"/>
        <w:jc w:val="both"/>
      </w:pPr>
      <w:r>
        <w:rPr>
          <w:rFonts w:ascii="Calibri" w:hAnsi="Calibri" w:eastAsia="Microsoft YaHei"/>
          <w:b w:val="0"/>
          <w:color w:val="1F2937"/>
          <w:sz w:val="22"/>
        </w:rPr>
        <w:t>该结果与有限训练轮次、类别不均衡和通用 COCO 图像来源相一致。因而本系统将 YOLOv8n/0.40 定位为当前实验条件下的工程默认组合，而不声称其已达到道路场景的最终精度。实际部署前应在目标摄像头视角采集独立样本，分别检查小目标、遮挡、夜间和拥挤场景的误检与漏检。</w:t>
      </w:r>
    </w:p>
    <w:p>
      <w:pPr>
        <w:pStyle w:val="Heading2"/>
        <w:keepNext/>
      </w:pPr>
      <w:r>
        <w:t>5.8 可复现实验步骤</w:t>
      </w:r>
    </w:p>
    <w:tbl>
      <w:tblPr>
        <w:tblW w:type="dxa" w:w="9360"/>
        <w:jc w:val="left"/>
        <w:tblLayout w:type="fixed"/>
        <w:tblLook w:firstColumn="1" w:firstRow="1" w:lastColumn="0" w:lastRow="0" w:noHBand="0" w:noVBand="1" w:val="04A0"/>
        <w:tblInd w:type="dxa" w:w="120"/>
      </w:tblPr>
      <w:tblGrid>
        <w:gridCol w:w="1700"/>
        <w:gridCol w:w="4400"/>
        <w:gridCol w:w="3260"/>
      </w:tblGrid>
      <w:tr>
        <w:trPr>
          <w:tblHeader w:val="true"/>
        </w:trPr>
        <w:tc>
          <w:tcPr>
            <w:tcW w:type="dxa" w:w="1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步骤</w:t>
            </w:r>
          </w:p>
        </w:tc>
        <w:tc>
          <w:tcPr>
            <w:tcW w:type="dxa" w:w="44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固定条件或操作</w:t>
            </w:r>
          </w:p>
        </w:tc>
        <w:tc>
          <w:tcPr>
            <w:tcW w:type="dxa" w:w="32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产出与目的</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数据构建</w:t>
            </w:r>
          </w:p>
        </w:tc>
        <w:tc>
          <w:tcPr>
            <w:tcW w:type="dxa" w:w="4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COCO 2017 val2017 过滤四类目标，固定随机种子 42</w:t>
            </w:r>
          </w:p>
        </w:tc>
        <w:tc>
          <w:tcPr>
            <w:tcW w:type="dxa" w:w="3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训练 1 500 张、验证 300 张</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统一配置</w:t>
            </w:r>
          </w:p>
        </w:tc>
        <w:tc>
          <w:tcPr>
            <w:tcW w:type="dxa" w:w="44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imgsz=640，batch=8，预训练初始化，epochs=10</w:t>
            </w:r>
          </w:p>
        </w:tc>
        <w:tc>
          <w:tcPr>
            <w:tcW w:type="dxa" w:w="3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消除模型间非结构性差异</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模型训练</w:t>
            </w:r>
          </w:p>
        </w:tc>
        <w:tc>
          <w:tcPr>
            <w:tcW w:type="dxa" w:w="4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分别训练 YOLOv8n、YOLOv8s、YOLOv8m</w:t>
            </w:r>
          </w:p>
        </w:tc>
        <w:tc>
          <w:tcPr>
            <w:tcW w:type="dxa" w:w="3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保存各自权重和验证指标</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部署基准</w:t>
            </w:r>
          </w:p>
        </w:tc>
        <w:tc>
          <w:tcPr>
            <w:tcW w:type="dxa" w:w="44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同一验证集、阈值 0.40、独立进程采样</w:t>
            </w:r>
          </w:p>
        </w:tc>
        <w:tc>
          <w:tcPr>
            <w:tcW w:type="dxa" w:w="3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记录 P/R/F1、耗时、RSS 和显存</w:t>
            </w:r>
          </w:p>
        </w:tc>
      </w:tr>
      <w:tr>
        <w:trPr/>
        <w:tc>
          <w:tcPr>
            <w:tcW w:type="dxa" w:w="1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阈值运行点</w:t>
            </w:r>
          </w:p>
        </w:tc>
        <w:tc>
          <w:tcPr>
            <w:tcW w:type="dxa" w:w="4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固定 YOLOv8n 比较 0.25、0.40、0.55</w:t>
            </w:r>
          </w:p>
        </w:tc>
        <w:tc>
          <w:tcPr>
            <w:tcW w:type="dxa" w:w="3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比较误报、漏检和端到端耗时</w:t>
            </w:r>
          </w:p>
        </w:tc>
      </w:tr>
      <w:tr>
        <w:trPr/>
        <w:tc>
          <w:tcPr>
            <w:tcW w:type="dxa" w:w="1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结果留存</w:t>
            </w:r>
          </w:p>
        </w:tc>
        <w:tc>
          <w:tcPr>
            <w:tcW w:type="dxa" w:w="44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保存 JSON、CSV、图表和 Markdown 报告</w:t>
            </w:r>
          </w:p>
        </w:tc>
        <w:tc>
          <w:tcPr>
            <w:tcW w:type="dxa" w:w="3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报告数值可回溯至实验目录</w:t>
            </w:r>
          </w:p>
        </w:tc>
      </w:tr>
    </w:tbl>
    <w:p>
      <w:pPr>
        <w:spacing w:before="80" w:after="160" w:line="240" w:lineRule="auto"/>
        <w:jc w:val="center"/>
      </w:pPr>
      <w:r>
        <w:rPr>
          <w:rFonts w:ascii="Calibri" w:hAnsi="Calibri" w:eastAsia="Microsoft YaHei"/>
          <w:b w:val="0"/>
          <w:color w:val="667085"/>
          <w:sz w:val="19"/>
        </w:rPr>
        <w:t>表5-4 真实训练与部署对比的复现实验步骤</w:t>
      </w:r>
    </w:p>
    <w:p>
      <w:pPr>
        <w:pStyle w:val="Heading1"/>
        <w:keepNext/>
      </w:pPr>
      <w:r>
        <w:t>第6章 部署、接口与答辩演示</w:t>
      </w:r>
    </w:p>
    <w:p>
      <w:pPr>
        <w:pStyle w:val="Heading2"/>
        <w:keepNext/>
      </w:pPr>
      <w:r>
        <w:t>6.1 本地与容器部署</w:t>
      </w:r>
    </w:p>
    <w:p>
      <w:pPr>
        <w:spacing w:before="0" w:after="160" w:line="320" w:lineRule="auto"/>
        <w:jc w:val="both"/>
      </w:pPr>
      <w:r>
        <w:rPr>
          <w:rFonts w:ascii="Calibri" w:hAnsi="Calibri" w:eastAsia="Microsoft YaHei"/>
          <w:b w:val="0"/>
          <w:color w:val="1F2937"/>
          <w:sz w:val="22"/>
        </w:rPr>
        <w:t>本地运行时，后端在 backend 目录使用 python -m uvicorn app.main:app --host 0.0.0.0 --port 8000 启动；前端在 frontend 目录使用 npm run dev -- --host 0.0.0.0 --port 5173 启动。后端提供 /health 健康检查、/docs 自动接口文档、/metrics 监控指标和 /ws/traffic-updates 实时推送。Docker 部署通过 docker compose up --build启动，并应挂载数据目录以持久化 SQLite、模型、媒体和日志。</w:t>
      </w:r>
    </w:p>
    <w:p>
      <w:pPr>
        <w:pStyle w:val="Heading2"/>
        <w:keepNext/>
      </w:pPr>
      <w:r>
        <w:t>6.2 核心 API</w:t>
      </w:r>
    </w:p>
    <w:tbl>
      <w:tblPr>
        <w:tblW w:type="dxa" w:w="9360"/>
        <w:jc w:val="left"/>
        <w:tblLayout w:type="fixed"/>
        <w:tblLook w:firstColumn="1" w:firstRow="1" w:lastColumn="0" w:lastRow="0" w:noHBand="0" w:noVBand="1" w:val="04A0"/>
        <w:tblInd w:type="dxa" w:w="120"/>
      </w:tblPr>
      <w:tblGrid>
        <w:gridCol w:w="1250"/>
        <w:gridCol w:w="3450"/>
        <w:gridCol w:w="4660"/>
      </w:tblGrid>
      <w:tr>
        <w:trPr>
          <w:tblHeader w:val="true"/>
        </w:trPr>
        <w:tc>
          <w:tcPr>
            <w:tcW w:type="dxa" w:w="12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方法</w:t>
            </w:r>
          </w:p>
        </w:tc>
        <w:tc>
          <w:tcPr>
            <w:tcW w:type="dxa" w:w="34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接口</w:t>
            </w:r>
          </w:p>
        </w:tc>
        <w:tc>
          <w:tcPr>
            <w:tcW w:type="dxa" w:w="46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说明</w:t>
            </w:r>
          </w:p>
        </w:tc>
      </w:tr>
      <w:tr>
        <w:trPr/>
        <w:tc>
          <w:tcPr>
            <w:tcW w:type="dxa" w:w="12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POST</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/api/detect-vehicles</w:t>
            </w:r>
          </w:p>
        </w:tc>
        <w:tc>
          <w:tcPr>
            <w:tcW w:type="dxa" w:w="46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图片检测，返回统计、耗时和可选历史记录</w:t>
            </w:r>
          </w:p>
        </w:tc>
      </w:tr>
      <w:tr>
        <w:trPr/>
        <w:tc>
          <w:tcPr>
            <w:tcW w:type="dxa" w:w="12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POST</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/api/detect-video</w:t>
            </w:r>
          </w:p>
        </w:tc>
        <w:tc>
          <w:tcPr>
            <w:tcW w:type="dxa" w:w="46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创建异步视频任务，返回 202 和任务 ID</w:t>
            </w:r>
          </w:p>
        </w:tc>
      </w:tr>
      <w:tr>
        <w:trPr/>
        <w:tc>
          <w:tcPr>
            <w:tcW w:type="dxa" w:w="12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GET</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/api/video-jobs/{job_id}</w:t>
            </w:r>
          </w:p>
        </w:tc>
        <w:tc>
          <w:tcPr>
            <w:tcW w:type="dxa" w:w="46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查询视频状态、进度、统计和输出路径</w:t>
            </w:r>
          </w:p>
        </w:tc>
      </w:tr>
      <w:tr>
        <w:trPr/>
        <w:tc>
          <w:tcPr>
            <w:tcW w:type="dxa" w:w="12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GET/DELETE</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/api/history</w:t>
            </w:r>
          </w:p>
        </w:tc>
        <w:tc>
          <w:tcPr>
            <w:tcW w:type="dxa" w:w="46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查询历史或按选中 ID 批量删除</w:t>
            </w:r>
          </w:p>
        </w:tc>
      </w:tr>
      <w:tr>
        <w:trPr/>
        <w:tc>
          <w:tcPr>
            <w:tcW w:type="dxa" w:w="12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GET/POST</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/api/models</w:t>
            </w:r>
          </w:p>
        </w:tc>
        <w:tc>
          <w:tcPr>
            <w:tcW w:type="dxa" w:w="46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查看、上传和激活模型</w:t>
            </w:r>
          </w:p>
        </w:tc>
      </w:tr>
      <w:tr>
        <w:trPr/>
        <w:tc>
          <w:tcPr>
            <w:tcW w:type="dxa" w:w="12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POST</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/api/training/jobs</w:t>
            </w:r>
          </w:p>
        </w:tc>
        <w:tc>
          <w:tcPr>
            <w:tcW w:type="dxa" w:w="46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创建模型训练任务</w:t>
            </w:r>
          </w:p>
        </w:tc>
      </w:tr>
      <w:tr>
        <w:trPr/>
        <w:tc>
          <w:tcPr>
            <w:tcW w:type="dxa" w:w="12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POST</w:t>
            </w:r>
          </w:p>
        </w:tc>
        <w:tc>
          <w:tcPr>
            <w:tcW w:type="dxa" w:w="34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/api/experiments/compare</w:t>
            </w:r>
          </w:p>
        </w:tc>
        <w:tc>
          <w:tcPr>
            <w:tcW w:type="dxa" w:w="46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在统一验证集创建模型对比任务</w:t>
            </w:r>
          </w:p>
        </w:tc>
      </w:tr>
      <w:tr>
        <w:trPr/>
        <w:tc>
          <w:tcPr>
            <w:tcW w:type="dxa" w:w="12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WS</w:t>
            </w:r>
          </w:p>
        </w:tc>
        <w:tc>
          <w:tcPr>
            <w:tcW w:type="dxa" w:w="34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/ws/traffic-updates</w:t>
            </w:r>
          </w:p>
        </w:tc>
        <w:tc>
          <w:tcPr>
            <w:tcW w:type="dxa" w:w="46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推送任务进度、结果与状态变化</w:t>
            </w:r>
          </w:p>
        </w:tc>
      </w:tr>
    </w:tbl>
    <w:p>
      <w:pPr>
        <w:spacing w:before="80" w:after="160" w:line="240" w:lineRule="auto"/>
        <w:jc w:val="center"/>
      </w:pPr>
      <w:r>
        <w:rPr>
          <w:rFonts w:ascii="Calibri" w:hAnsi="Calibri" w:eastAsia="Microsoft YaHei"/>
          <w:b w:val="0"/>
          <w:color w:val="667085"/>
          <w:sz w:val="19"/>
        </w:rPr>
        <w:t>表6-1 核心 API 一览</w:t>
      </w:r>
    </w:p>
    <w:p>
      <w:pPr>
        <w:pStyle w:val="Heading2"/>
        <w:keepNext/>
      </w:pPr>
      <w:r>
        <w:t>6.3 答辩演示流程</w:t>
      </w:r>
    </w:p>
    <w:tbl>
      <w:tblPr>
        <w:tblW w:type="dxa" w:w="9360"/>
        <w:jc w:val="left"/>
        <w:tblLayout w:type="fixed"/>
        <w:tblLook w:firstColumn="1" w:firstRow="1" w:lastColumn="0" w:lastRow="0" w:noHBand="0" w:noVBand="1" w:val="04A0"/>
        <w:tblInd w:type="dxa" w:w="120"/>
      </w:tblPr>
      <w:tblGrid>
        <w:gridCol w:w="1600"/>
        <w:gridCol w:w="3050"/>
        <w:gridCol w:w="4710"/>
      </w:tblGrid>
      <w:tr>
        <w:trPr>
          <w:tblHeader w:val="true"/>
        </w:trPr>
        <w:tc>
          <w:tcPr>
            <w:tcW w:type="dxa" w:w="16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演示环节</w:t>
            </w:r>
          </w:p>
        </w:tc>
        <w:tc>
          <w:tcPr>
            <w:tcW w:type="dxa" w:w="30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操作</w:t>
            </w:r>
          </w:p>
        </w:tc>
        <w:tc>
          <w:tcPr>
            <w:tcW w:type="dxa" w:w="471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讲解重点</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正常检测</w:t>
            </w:r>
          </w:p>
        </w:tc>
        <w:tc>
          <w:tcPr>
            <w:tcW w:type="dxa" w:w="30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上传道路图片并保存历史</w:t>
            </w:r>
          </w:p>
        </w:tc>
        <w:tc>
          <w:tcPr>
            <w:tcW w:type="dxa" w:w="47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检测框、类别、置信度、分类数量、车道统计、处理耗时</w:t>
            </w:r>
          </w:p>
        </w:tc>
      </w:tr>
      <w:tr>
        <w:trPr/>
        <w:tc>
          <w:tcPr>
            <w:tcW w:type="dxa" w:w="1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视频任务</w:t>
            </w:r>
          </w:p>
        </w:tc>
        <w:tc>
          <w:tcPr>
            <w:tcW w:type="dxa" w:w="30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 MP4 并启用基准线</w:t>
            </w:r>
          </w:p>
        </w:tc>
        <w:tc>
          <w:tcPr>
            <w:tcW w:type="dxa" w:w="47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queued/running/completed、进度、进出统计、输出视频</w:t>
            </w:r>
          </w:p>
        </w:tc>
      </w:tr>
      <w:tr>
        <w:trPr/>
        <w:tc>
          <w:tcPr>
            <w:tcW w:type="dxa" w:w="16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历史删除</w:t>
            </w:r>
          </w:p>
        </w:tc>
        <w:tc>
          <w:tcPr>
            <w:tcW w:type="dxa" w:w="30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查看详情，勾选两条记录后批量删除</w:t>
            </w:r>
          </w:p>
        </w:tc>
        <w:tc>
          <w:tcPr>
            <w:tcW w:type="dxa" w:w="47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确认弹窗、列表更新、刷新后不恢复、输出媒体同步清理</w:t>
            </w:r>
          </w:p>
        </w:tc>
      </w:tr>
      <w:tr>
        <w:trPr/>
        <w:tc>
          <w:tcPr>
            <w:tcW w:type="dxa" w:w="16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异常处理</w:t>
            </w:r>
          </w:p>
        </w:tc>
        <w:tc>
          <w:tcPr>
            <w:tcW w:type="dxa" w:w="30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上传错误格式或构造无效基准线参数</w:t>
            </w:r>
          </w:p>
        </w:tc>
        <w:tc>
          <w:tcPr>
            <w:tcW w:type="dxa" w:w="47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明确 400/413/503 错误，不产生伪结果和错误历史</w:t>
            </w:r>
          </w:p>
        </w:tc>
      </w:tr>
    </w:tbl>
    <w:p>
      <w:pPr>
        <w:spacing w:before="80" w:after="160" w:line="240" w:lineRule="auto"/>
        <w:jc w:val="center"/>
      </w:pPr>
      <w:r>
        <w:rPr>
          <w:rFonts w:ascii="Calibri" w:hAnsi="Calibri" w:eastAsia="Microsoft YaHei"/>
          <w:b w:val="0"/>
          <w:color w:val="667085"/>
          <w:sz w:val="19"/>
        </w:rPr>
        <w:t>表6-2 答辩完整演示流程</w:t>
      </w:r>
    </w:p>
    <w:p>
      <w:pPr>
        <w:spacing w:before="80" w:after="80" w:line="240" w:lineRule="auto"/>
      </w:pPr>
      <w:r>
        <w:rPr>
          <w:rFonts w:ascii="Calibri" w:hAnsi="Calibri" w:eastAsia="Microsoft YaHei"/>
          <w:b w:val="0"/>
          <w:color w:val="667085"/>
          <w:sz w:val="17"/>
        </w:rPr>
        <w:t>完整部署变量、Docker 联调、故障排查与 API 调用示例见 docs/DEPLOYMENT.md、docs/API.md 与 docs/DEMO_RUNBOOK.md。</w:t>
      </w:r>
    </w:p>
    <w:p>
      <w:pPr>
        <w:pStyle w:val="Heading2"/>
        <w:keepNext/>
      </w:pPr>
      <w:r>
        <w:t>6.4 部署验收与故障定位</w:t>
      </w:r>
    </w:p>
    <w:p>
      <w:pPr>
        <w:spacing w:before="0" w:after="160" w:line="320" w:lineRule="auto"/>
        <w:jc w:val="both"/>
      </w:pPr>
      <w:r>
        <w:rPr>
          <w:rFonts w:ascii="Calibri" w:hAnsi="Calibri" w:eastAsia="Microsoft YaHei"/>
          <w:b w:val="0"/>
          <w:color w:val="1F2937"/>
          <w:sz w:val="22"/>
        </w:rPr>
        <w:t>部署验收从服务可用性、模型可用性、媒体处理和数据一致性四个方面开展。验收时先访问 /health、/api/system/info 和 /api/inference-device 确认后端、模型与推理设备状态，再按图片检测、视频任务、历史删除和异常输入顺序执行端到端验证。每个环节都应保存任务 ID 或历史 ID，便于出现问题时回到数据库记录、输出媒体和后端日志进行定位。</w:t>
      </w:r>
    </w:p>
    <w:tbl>
      <w:tblPr>
        <w:tblW w:type="dxa" w:w="9360"/>
        <w:jc w:val="left"/>
        <w:tblLayout w:type="fixed"/>
        <w:tblLook w:firstColumn="1" w:firstRow="1" w:lastColumn="0" w:lastRow="0" w:noHBand="0" w:noVBand="1" w:val="04A0"/>
        <w:tblInd w:type="dxa" w:w="120"/>
      </w:tblPr>
      <w:tblGrid>
        <w:gridCol w:w="1900"/>
        <w:gridCol w:w="3500"/>
        <w:gridCol w:w="3960"/>
      </w:tblGrid>
      <w:tr>
        <w:trPr>
          <w:tblHeader w:val="true"/>
        </w:trPr>
        <w:tc>
          <w:tcPr>
            <w:tcW w:type="dxa" w:w="1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验收环节</w:t>
            </w:r>
          </w:p>
        </w:tc>
        <w:tc>
          <w:tcPr>
            <w:tcW w:type="dxa" w:w="3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操作</w:t>
            </w:r>
          </w:p>
        </w:tc>
        <w:tc>
          <w:tcPr>
            <w:tcW w:type="dxa" w:w="39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通过条件</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服务健康</w:t>
            </w:r>
          </w:p>
        </w:tc>
        <w:tc>
          <w:tcPr>
            <w:tcW w:type="dxa" w:w="3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访问 /health</w:t>
            </w:r>
          </w:p>
        </w:tc>
        <w:tc>
          <w:tcPr>
            <w:tcW w:type="dxa" w:w="3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服务可达，检测依赖状态明确</w:t>
            </w:r>
          </w:p>
        </w:tc>
      </w:tr>
      <w:tr>
        <w:trPr/>
        <w:tc>
          <w:tcPr>
            <w:tcW w:type="dxa" w:w="1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模型与设备</w:t>
            </w:r>
          </w:p>
        </w:tc>
        <w:tc>
          <w:tcPr>
            <w:tcW w:type="dxa" w:w="3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检查激活模型和推理设备</w:t>
            </w:r>
          </w:p>
        </w:tc>
        <w:tc>
          <w:tcPr>
            <w:tcW w:type="dxa" w:w="3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模型路径可用，CPU/CUDA 状态可见</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图片检测</w:t>
            </w:r>
          </w:p>
        </w:tc>
        <w:tc>
          <w:tcPr>
            <w:tcW w:type="dxa" w:w="3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提交合法道路图片</w:t>
            </w:r>
          </w:p>
        </w:tc>
        <w:tc>
          <w:tcPr>
            <w:tcW w:type="dxa" w:w="3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返回标注图、统计、耗时和可选历史</w:t>
            </w:r>
          </w:p>
        </w:tc>
      </w:tr>
      <w:tr>
        <w:trPr/>
        <w:tc>
          <w:tcPr>
            <w:tcW w:type="dxa" w:w="1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视频任务</w:t>
            </w:r>
          </w:p>
        </w:tc>
        <w:tc>
          <w:tcPr>
            <w:tcW w:type="dxa" w:w="3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提交 MP4 并查询任务 ID</w:t>
            </w:r>
          </w:p>
        </w:tc>
        <w:tc>
          <w:tcPr>
            <w:tcW w:type="dxa" w:w="3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可观察 queued/running/completed 或失败原因</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历史删除</w:t>
            </w:r>
          </w:p>
        </w:tc>
        <w:tc>
          <w:tcPr>
            <w:tcW w:type="dxa" w:w="3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勾选两条记录并确认删除</w:t>
            </w:r>
          </w:p>
        </w:tc>
        <w:tc>
          <w:tcPr>
            <w:tcW w:type="dxa" w:w="39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列表刷新后不恢复，关联媒体受控清理</w:t>
            </w:r>
          </w:p>
        </w:tc>
      </w:tr>
      <w:tr>
        <w:trPr/>
        <w:tc>
          <w:tcPr>
            <w:tcW w:type="dxa" w:w="1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异常输入</w:t>
            </w:r>
          </w:p>
        </w:tc>
        <w:tc>
          <w:tcPr>
            <w:tcW w:type="dxa" w:w="3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错误格式、超限或无效基准线</w:t>
            </w:r>
          </w:p>
        </w:tc>
        <w:tc>
          <w:tcPr>
            <w:tcW w:type="dxa" w:w="39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返回 400/413/503，不生成伪结果</w:t>
            </w:r>
          </w:p>
        </w:tc>
      </w:tr>
    </w:tbl>
    <w:p>
      <w:pPr>
        <w:spacing w:before="80" w:after="160" w:line="240" w:lineRule="auto"/>
        <w:jc w:val="center"/>
      </w:pPr>
      <w:r>
        <w:rPr>
          <w:rFonts w:ascii="Calibri" w:hAnsi="Calibri" w:eastAsia="Microsoft YaHei"/>
          <w:b w:val="0"/>
          <w:color w:val="667085"/>
          <w:sz w:val="19"/>
        </w:rPr>
        <w:t>表6-3 部署与演示验收清单</w:t>
      </w:r>
    </w:p>
    <w:p>
      <w:pPr>
        <w:pStyle w:val="Heading2"/>
        <w:keepNext/>
      </w:pPr>
      <w:r>
        <w:t>6.5 接口调用约定</w:t>
      </w:r>
    </w:p>
    <w:p>
      <w:pPr>
        <w:spacing w:before="0" w:after="160" w:line="320" w:lineRule="auto"/>
        <w:jc w:val="both"/>
      </w:pPr>
      <w:r>
        <w:rPr>
          <w:rFonts w:ascii="Calibri" w:hAnsi="Calibri" w:eastAsia="Microsoft YaHei"/>
          <w:b w:val="0"/>
          <w:color w:val="1F2937"/>
          <w:sz w:val="22"/>
        </w:rPr>
        <w:t>图片、视频、模型和数据集上传使用 multipart/form-data，任务创建和批量删除使用 JSON。视频和训练接口快速返回 202 与任务 ID，客户端应通过任务查询接口或 WebSocket 接收后续状态，不能把“已受理”直接解释为“已完成”。批量删除接口使用 {"ids":["id-1","id-2"]} 结构，响应中的 deleted_ids 是页面更新与验收记录的依据。</w:t>
      </w:r>
    </w:p>
    <w:tbl>
      <w:tblPr>
        <w:tblW w:type="dxa" w:w="9360"/>
        <w:jc w:val="left"/>
        <w:tblLayout w:type="fixed"/>
        <w:tblLook w:firstColumn="1" w:firstRow="1" w:lastColumn="0" w:lastRow="0" w:noHBand="0" w:noVBand="1" w:val="04A0"/>
        <w:tblInd w:type="dxa" w:w="120"/>
      </w:tblPr>
      <w:tblGrid>
        <w:gridCol w:w="1500"/>
        <w:gridCol w:w="2550"/>
        <w:gridCol w:w="2950"/>
        <w:gridCol w:w="2360"/>
      </w:tblGrid>
      <w:tr>
        <w:trPr>
          <w:tblHeader w:val="true"/>
        </w:trPr>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场景</w:t>
            </w:r>
          </w:p>
        </w:tc>
        <w:tc>
          <w:tcPr>
            <w:tcW w:type="dxa" w:w="25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接口</w:t>
            </w:r>
          </w:p>
        </w:tc>
        <w:tc>
          <w:tcPr>
            <w:tcW w:type="dxa" w:w="29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请求重点</w:t>
            </w:r>
          </w:p>
        </w:tc>
        <w:tc>
          <w:tcPr>
            <w:tcW w:type="dxa" w:w="23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响应或事件</w:t>
            </w:r>
          </w:p>
        </w:tc>
      </w:tr>
      <w:tr>
        <w:trPr/>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图片检测</w:t>
            </w:r>
          </w:p>
        </w:tc>
        <w:tc>
          <w:tcPr>
            <w:tcW w:type="dxa" w:w="25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POST /api/detect-vehicles</w:t>
            </w:r>
          </w:p>
        </w:tc>
        <w:tc>
          <w:tcPr>
            <w:tcW w:type="dxa" w:w="29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multipart：image、record_history、基准线字段</w:t>
            </w:r>
          </w:p>
        </w:tc>
        <w:tc>
          <w:tcPr>
            <w:tcW w:type="dxa" w:w="2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统计、标注图路径、耗时</w:t>
            </w:r>
          </w:p>
        </w:tc>
      </w:tr>
      <w:tr>
        <w:trPr/>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视频任务</w:t>
            </w:r>
          </w:p>
        </w:tc>
        <w:tc>
          <w:tcPr>
            <w:tcW w:type="dxa" w:w="25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POST /api/detect-video</w:t>
            </w:r>
          </w:p>
        </w:tc>
        <w:tc>
          <w:tcPr>
            <w:tcW w:type="dxa" w:w="29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multipart：video、可选基准线字段</w:t>
            </w:r>
          </w:p>
        </w:tc>
        <w:tc>
          <w:tcPr>
            <w:tcW w:type="dxa" w:w="23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202、任务 ID 与初始状态</w:t>
            </w:r>
          </w:p>
        </w:tc>
      </w:tr>
      <w:tr>
        <w:trPr/>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任务查询</w:t>
            </w:r>
          </w:p>
        </w:tc>
        <w:tc>
          <w:tcPr>
            <w:tcW w:type="dxa" w:w="25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GET /api/video-jobs/{job_id}</w:t>
            </w:r>
          </w:p>
        </w:tc>
        <w:tc>
          <w:tcPr>
            <w:tcW w:type="dxa" w:w="29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路径参数 job_id</w:t>
            </w:r>
          </w:p>
        </w:tc>
        <w:tc>
          <w:tcPr>
            <w:tcW w:type="dxa" w:w="2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状态、进度、统计、输出路径</w:t>
            </w:r>
          </w:p>
        </w:tc>
      </w:tr>
      <w:tr>
        <w:trPr/>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批量删除</w:t>
            </w:r>
          </w:p>
        </w:tc>
        <w:tc>
          <w:tcPr>
            <w:tcW w:type="dxa" w:w="25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DELETE /api/history</w:t>
            </w:r>
          </w:p>
        </w:tc>
        <w:tc>
          <w:tcPr>
            <w:tcW w:type="dxa" w:w="29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JSON：ids 列表</w:t>
            </w:r>
          </w:p>
        </w:tc>
        <w:tc>
          <w:tcPr>
            <w:tcW w:type="dxa" w:w="23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deleted_ids 与受控媒体清理结果</w:t>
            </w:r>
          </w:p>
        </w:tc>
      </w:tr>
      <w:tr>
        <w:trPr/>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实时推送</w:t>
            </w:r>
          </w:p>
        </w:tc>
        <w:tc>
          <w:tcPr>
            <w:tcW w:type="dxa" w:w="25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WS /ws/traffic-updates</w:t>
            </w:r>
          </w:p>
        </w:tc>
        <w:tc>
          <w:tcPr>
            <w:tcW w:type="dxa" w:w="29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保持 WebSocket 连接</w:t>
            </w:r>
          </w:p>
        </w:tc>
        <w:tc>
          <w:tcPr>
            <w:tcW w:type="dxa" w:w="2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video_progress、completed、failed 等事件</w:t>
            </w:r>
          </w:p>
        </w:tc>
      </w:tr>
    </w:tbl>
    <w:p>
      <w:pPr>
        <w:spacing w:before="80" w:after="160" w:line="240" w:lineRule="auto"/>
        <w:jc w:val="center"/>
      </w:pPr>
      <w:r>
        <w:rPr>
          <w:rFonts w:ascii="Calibri" w:hAnsi="Calibri" w:eastAsia="Microsoft YaHei"/>
          <w:b w:val="0"/>
          <w:color w:val="667085"/>
          <w:sz w:val="19"/>
        </w:rPr>
        <w:t>表6-4 前后端调用的关键接口约定</w:t>
      </w:r>
    </w:p>
    <w:p>
      <w:pPr>
        <w:pStyle w:val="Heading1"/>
        <w:keepNext/>
      </w:pPr>
      <w:r>
        <w:t>第7章 总结与展望</w:t>
      </w:r>
    </w:p>
    <w:p>
      <w:pPr>
        <w:pStyle w:val="Heading2"/>
        <w:keepNext/>
      </w:pPr>
      <w:r>
        <w:t>7.1 工作总结</w:t>
      </w:r>
    </w:p>
    <w:p>
      <w:pPr>
        <w:spacing w:before="0" w:after="160" w:line="320" w:lineRule="auto"/>
        <w:jc w:val="both"/>
      </w:pPr>
      <w:r>
        <w:rPr>
          <w:rFonts w:ascii="Calibri" w:hAnsi="Calibri" w:eastAsia="Microsoft YaHei"/>
          <w:b w:val="0"/>
          <w:color w:val="1F2937"/>
          <w:sz w:val="22"/>
        </w:rPr>
        <w:t>本文完成了智能交通目标检测与任务管理系统的需求分析、架构设计、关键功能实现和真实实验评估。系统围绕道路图片和视频构建了检测、分类/车道/进出统计、后台视频任务、实时进度推送、历史留存和安全批量删除的业务闭环。</w:t>
      </w:r>
    </w:p>
    <w:p>
      <w:pPr>
        <w:spacing w:before="0" w:after="160" w:line="320" w:lineRule="auto"/>
        <w:jc w:val="both"/>
      </w:pPr>
      <w:r>
        <w:rPr>
          <w:rFonts w:ascii="Calibri" w:hAnsi="Calibri" w:eastAsia="Microsoft YaHei"/>
          <w:b/>
          <w:color w:val="1F4D78"/>
          <w:sz w:val="22"/>
        </w:rPr>
        <w:t>业务输出：</w:t>
      </w:r>
      <w:r>
        <w:rPr>
          <w:rFonts w:ascii="Calibri" w:hAnsi="Calibri" w:eastAsia="Microsoft YaHei"/>
          <w:b w:val="0"/>
          <w:color w:val="1F2937"/>
          <w:sz w:val="22"/>
        </w:rPr>
        <w:t>检测结果不仅包含边界框，还提供四类目标计数、车道区域统计和可配置基准线进出统计。</w:t>
      </w:r>
    </w:p>
    <w:p>
      <w:pPr>
        <w:spacing w:before="0" w:after="160" w:line="320" w:lineRule="auto"/>
        <w:jc w:val="both"/>
      </w:pPr>
      <w:r>
        <w:rPr>
          <w:rFonts w:ascii="Calibri" w:hAnsi="Calibri" w:eastAsia="Microsoft YaHei"/>
          <w:b/>
          <w:color w:val="1F4D78"/>
          <w:sz w:val="22"/>
        </w:rPr>
        <w:t>可观测任务：</w:t>
      </w:r>
      <w:r>
        <w:rPr>
          <w:rFonts w:ascii="Calibri" w:hAnsi="Calibri" w:eastAsia="Microsoft YaHei"/>
          <w:b w:val="0"/>
          <w:color w:val="1F2937"/>
          <w:sz w:val="22"/>
        </w:rPr>
        <w:t>视频任务采用持久化状态机与 WebSocket 推送，用户可以观察处理过程、最终结果和失败原因。</w:t>
      </w:r>
    </w:p>
    <w:p>
      <w:pPr>
        <w:spacing w:before="0" w:after="160" w:line="320" w:lineRule="auto"/>
        <w:jc w:val="both"/>
      </w:pPr>
      <w:r>
        <w:rPr>
          <w:rFonts w:ascii="Calibri" w:hAnsi="Calibri" w:eastAsia="Microsoft YaHei"/>
          <w:b/>
          <w:color w:val="1F4D78"/>
          <w:sz w:val="22"/>
        </w:rPr>
        <w:t>可信历史：</w:t>
      </w:r>
      <w:r>
        <w:rPr>
          <w:rFonts w:ascii="Calibri" w:hAnsi="Calibri" w:eastAsia="Microsoft YaHei"/>
          <w:b w:val="0"/>
          <w:color w:val="1F2937"/>
          <w:sz w:val="22"/>
        </w:rPr>
        <w:t>历史记录关联媒体、模型、统计和耗时；删除操作以记录 ID 为中心并限制媒体清理范围。</w:t>
      </w:r>
    </w:p>
    <w:p>
      <w:pPr>
        <w:spacing w:before="0" w:after="160" w:line="320" w:lineRule="auto"/>
        <w:jc w:val="both"/>
      </w:pPr>
      <w:r>
        <w:rPr>
          <w:rFonts w:ascii="Calibri" w:hAnsi="Calibri" w:eastAsia="Microsoft YaHei"/>
          <w:b/>
          <w:color w:val="1F4D78"/>
          <w:sz w:val="22"/>
        </w:rPr>
        <w:t>实测选型：</w:t>
      </w:r>
      <w:r>
        <w:rPr>
          <w:rFonts w:ascii="Calibri" w:hAnsi="Calibri" w:eastAsia="Microsoft YaHei"/>
          <w:b w:val="0"/>
          <w:color w:val="1F2937"/>
          <w:sz w:val="22"/>
        </w:rPr>
        <w:t>真实训练和部署基准支持 YOLOv8n/0.40 作为当前条件下的保守默认部署组合。</w:t>
      </w:r>
    </w:p>
    <w:p>
      <w:pPr>
        <w:pStyle w:val="Heading2"/>
        <w:keepNext/>
      </w:pPr>
      <w:r>
        <w:t>7.2 创新点表述</w:t>
      </w:r>
    </w:p>
    <w:p>
      <w:pPr>
        <w:spacing w:before="0" w:after="160" w:line="320" w:lineRule="auto"/>
        <w:jc w:val="both"/>
      </w:pPr>
      <w:r>
        <w:rPr>
          <w:rFonts w:ascii="Calibri" w:hAnsi="Calibri" w:eastAsia="Microsoft YaHei"/>
          <w:b/>
          <w:color w:val="1F4D78"/>
          <w:sz w:val="22"/>
        </w:rPr>
        <w:t>面向交通业务的多层统计：</w:t>
      </w:r>
      <w:r>
        <w:rPr>
          <w:rFonts w:ascii="Calibri" w:hAnsi="Calibri" w:eastAsia="Microsoft YaHei"/>
          <w:b w:val="0"/>
          <w:color w:val="1F2937"/>
          <w:sz w:val="22"/>
        </w:rPr>
        <w:t>在四类道路目标检测结果上扩展类别统计、车道统计和可配置基准线进出统计，而非仅展示检测框。</w:t>
      </w:r>
    </w:p>
    <w:p>
      <w:pPr>
        <w:spacing w:before="0" w:after="160" w:line="320" w:lineRule="auto"/>
        <w:jc w:val="both"/>
      </w:pPr>
      <w:r>
        <w:rPr>
          <w:rFonts w:ascii="Calibri" w:hAnsi="Calibri" w:eastAsia="Microsoft YaHei"/>
          <w:b/>
          <w:color w:val="1F4D78"/>
          <w:sz w:val="22"/>
        </w:rPr>
        <w:t>轻量、可配置的跨线流量统计：</w:t>
      </w:r>
      <w:r>
        <w:rPr>
          <w:rFonts w:ascii="Calibri" w:hAnsi="Calibri" w:eastAsia="Microsoft YaHei"/>
          <w:b w:val="0"/>
          <w:color w:val="1F2937"/>
          <w:sz w:val="22"/>
        </w:rPr>
        <w:t>采用归一化基准线和同类最近中心点关联，在不同画面尺寸中输出 entry/exit 数量。</w:t>
      </w:r>
    </w:p>
    <w:p>
      <w:pPr>
        <w:spacing w:before="0" w:after="160" w:line="320" w:lineRule="auto"/>
        <w:jc w:val="both"/>
      </w:pPr>
      <w:r>
        <w:rPr>
          <w:rFonts w:ascii="Calibri" w:hAnsi="Calibri" w:eastAsia="Microsoft YaHei"/>
          <w:b/>
          <w:color w:val="1F4D78"/>
          <w:sz w:val="22"/>
        </w:rPr>
        <w:t>检测、任务和证据链一体化管理：</w:t>
      </w:r>
      <w:r>
        <w:rPr>
          <w:rFonts w:ascii="Calibri" w:hAnsi="Calibri" w:eastAsia="Microsoft YaHei"/>
          <w:b w:val="0"/>
          <w:color w:val="1F2937"/>
          <w:sz w:val="22"/>
        </w:rPr>
        <w:t>视频推理采用可持久化后台任务与 WebSocket 进度推送；检测历史关联媒体、模型和统计并支持安全批量删除。</w:t>
      </w:r>
    </w:p>
    <w:p>
      <w:pPr>
        <w:spacing w:before="0" w:after="160" w:line="320" w:lineRule="auto"/>
        <w:jc w:val="both"/>
      </w:pPr>
      <w:r>
        <w:rPr>
          <w:rFonts w:ascii="Calibri" w:hAnsi="Calibri" w:eastAsia="Microsoft YaHei"/>
          <w:b/>
          <w:color w:val="1F4D78"/>
          <w:sz w:val="22"/>
        </w:rPr>
        <w:t>数据驱动的部署选型：</w:t>
      </w:r>
      <w:r>
        <w:rPr>
          <w:rFonts w:ascii="Calibri" w:hAnsi="Calibri" w:eastAsia="Microsoft YaHei"/>
          <w:b w:val="0"/>
          <w:color w:val="1F2937"/>
          <w:sz w:val="22"/>
        </w:rPr>
        <w:t>以真实训练、固定阈值运行点、速度、RSS 和 GPU 显存对比支撑默认模型和阈值选择。</w:t>
      </w:r>
    </w:p>
    <w:p>
      <w:pPr>
        <w:pStyle w:val="Heading2"/>
        <w:keepNext/>
      </w:pPr>
      <w:r>
        <w:t>7.3 后续工作</w:t>
      </w:r>
    </w:p>
    <w:p>
      <w:pPr>
        <w:spacing w:before="0" w:after="160" w:line="320" w:lineRule="auto"/>
        <w:jc w:val="both"/>
      </w:pPr>
      <w:r>
        <w:rPr>
          <w:rFonts w:ascii="Calibri" w:hAnsi="Calibri" w:eastAsia="Microsoft YaHei"/>
          <w:b w:val="0"/>
          <w:color w:val="1F2937"/>
          <w:sz w:val="22"/>
        </w:rPr>
        <w:t>后续可从数据、算法和工程三个方向扩展：补充来自真实道路摄像头的外部测试集，增加训练轮次和多随机种子重复实验；在流量统计需求提升时评估专门的多目标跟踪方法；针对前端生产包较大的情况使用路由级懒加载和依赖拆分；在生产环境增加模型版本审计、可观测性指标与备份恢复策略。</w:t>
      </w:r>
    </w:p>
    <w:p>
      <w:pPr>
        <w:pStyle w:val="Heading2"/>
        <w:keepNext/>
      </w:pPr>
      <w:r>
        <w:t>7.4 课题边界与工程价值</w:t>
      </w:r>
    </w:p>
    <w:p>
      <w:pPr>
        <w:spacing w:before="0" w:after="160" w:line="320" w:lineRule="auto"/>
        <w:jc w:val="both"/>
      </w:pPr>
      <w:r>
        <w:rPr>
          <w:rFonts w:ascii="Calibri" w:hAnsi="Calibri" w:eastAsia="Microsoft YaHei"/>
          <w:b w:val="0"/>
          <w:color w:val="1F2937"/>
          <w:sz w:val="22"/>
        </w:rPr>
        <w:t>本文的贡献边界需要明确：系统没有提出新的 YOLO 网络结构，也没有将最近中心点关联表述为复杂的多目标跟踪算法。其价值在于把通用目标检测结果转换为交通场景可理解、可管理和可验证的业务数据，并把耗时视频处理、结果媒体、历史记录和删除操作放在同一个可追溯流程中。</w:t>
      </w:r>
    </w:p>
    <w:p>
      <w:pPr>
        <w:spacing w:before="0" w:after="160" w:line="320" w:lineRule="auto"/>
        <w:jc w:val="both"/>
      </w:pPr>
      <w:r>
        <w:rPr>
          <w:rFonts w:ascii="Calibri" w:hAnsi="Calibri" w:eastAsia="Microsoft YaHei"/>
          <w:b w:val="0"/>
          <w:color w:val="1F2937"/>
          <w:sz w:val="22"/>
        </w:rPr>
        <w:t>这种工程化设计使答辩演示能够从一次正常检测扩展到视频任务、异常输入和多选删除的完整流程，也使后续更换模型或扩充数据集时保留统一的数据对象和接口边界。实验部分对模型精度、速度和资源占用给出真实运行记录，为默认配置提供了可解释的选择依据。</w:t>
      </w:r>
    </w:p>
    <w:p>
      <w:pPr>
        <w:pStyle w:val="Heading1"/>
        <w:keepNext/>
      </w:pPr>
      <w:r>
        <w:t>参考文献</w:t>
      </w:r>
    </w:p>
    <w:p>
      <w:pPr>
        <w:spacing w:before="0" w:after="80" w:line="290" w:lineRule="auto"/>
        <w:jc w:val="left"/>
      </w:pPr>
      <w:r>
        <w:rPr>
          <w:rFonts w:ascii="Calibri" w:hAnsi="Calibri" w:eastAsia="Microsoft YaHei"/>
          <w:b w:val="0"/>
          <w:color w:val="1F2937"/>
          <w:sz w:val="19"/>
        </w:rPr>
        <w:t>[1] Lin T Y, Maire M, Belongie S, et al. Microsoft COCO: Common Objects in Context[C]//European Conference on Computer Vision. Cham: Springer, 2014: 740-755.</w:t>
      </w:r>
    </w:p>
    <w:p>
      <w:pPr>
        <w:spacing w:before="0" w:after="80" w:line="290" w:lineRule="auto"/>
        <w:jc w:val="left"/>
      </w:pPr>
      <w:r>
        <w:rPr>
          <w:rFonts w:ascii="Calibri" w:hAnsi="Calibri" w:eastAsia="Microsoft YaHei"/>
          <w:b w:val="0"/>
          <w:color w:val="1F2937"/>
          <w:sz w:val="19"/>
        </w:rPr>
        <w:t>[2] Redmon J, Divvala S, Girshick R, Farhadi A. You Only Look Once: Unified, Real-Time Object Detection[C]//IEEE Conference on Computer Vision and Pattern Recognition. 2016: 779-788.</w:t>
      </w:r>
    </w:p>
    <w:p>
      <w:pPr>
        <w:spacing w:before="0" w:after="80" w:line="290" w:lineRule="auto"/>
        <w:jc w:val="left"/>
      </w:pPr>
      <w:r>
        <w:rPr>
          <w:rFonts w:ascii="Calibri" w:hAnsi="Calibri" w:eastAsia="Microsoft YaHei"/>
          <w:b w:val="0"/>
          <w:color w:val="1F2937"/>
          <w:sz w:val="19"/>
        </w:rPr>
        <w:t>[3] Ultralytics. YOLOv8 Documentation[EB/OL]. https://docs.ultralytics.com/models/yolov8/ (访问日期：2026-07-29).</w:t>
      </w:r>
    </w:p>
    <w:p>
      <w:pPr>
        <w:spacing w:before="0" w:after="80" w:line="290" w:lineRule="auto"/>
        <w:jc w:val="left"/>
      </w:pPr>
      <w:r>
        <w:rPr>
          <w:rFonts w:ascii="Calibri" w:hAnsi="Calibri" w:eastAsia="Microsoft YaHei"/>
          <w:b w:val="0"/>
          <w:color w:val="1F2937"/>
          <w:sz w:val="19"/>
        </w:rPr>
        <w:t>[4] FastAPI. FastAPI Documentation[EB/OL]. https://fastapi.tiangolo.com/ (访问日期：2026-07-29).</w:t>
      </w:r>
    </w:p>
    <w:p>
      <w:pPr>
        <w:spacing w:before="0" w:after="80" w:line="290" w:lineRule="auto"/>
        <w:jc w:val="left"/>
      </w:pPr>
      <w:r>
        <w:rPr>
          <w:rFonts w:ascii="Calibri" w:hAnsi="Calibri" w:eastAsia="Microsoft YaHei"/>
          <w:b w:val="0"/>
          <w:color w:val="1F2937"/>
          <w:sz w:val="19"/>
        </w:rPr>
        <w:t>[5] 项目真实训练报告：experiments/results/coco2017_yolov8/experiment_report.md。</w:t>
      </w:r>
    </w:p>
    <w:p>
      <w:pPr>
        <w:spacing w:before="0" w:after="80" w:line="290" w:lineRule="auto"/>
        <w:jc w:val="left"/>
      </w:pPr>
      <w:r>
        <w:rPr>
          <w:rFonts w:ascii="Calibri" w:hAnsi="Calibri" w:eastAsia="Microsoft YaHei"/>
          <w:b w:val="0"/>
          <w:color w:val="1F2937"/>
          <w:sz w:val="19"/>
        </w:rPr>
        <w:t>[6] 项目真实部署基准：experiments/results/deployment_benchmark/benchmark_report.md。</w:t>
      </w:r>
    </w:p>
    <w:p>
      <w:pPr>
        <w:spacing w:before="0" w:after="80" w:line="290" w:lineRule="auto"/>
        <w:jc w:val="left"/>
      </w:pPr>
      <w:r>
        <w:rPr>
          <w:rFonts w:ascii="Calibri" w:hAnsi="Calibri" w:eastAsia="Microsoft YaHei"/>
          <w:b w:val="0"/>
          <w:color w:val="1F2937"/>
          <w:sz w:val="19"/>
        </w:rPr>
        <w:t>[7] PyTorch. PyTorch Documentation[EB/OL]. https://docs.pytorch.org/docs/stable/index.html (访问日期：2026-07-29).</w:t>
      </w:r>
    </w:p>
    <w:p>
      <w:pPr>
        <w:spacing w:before="0" w:after="80" w:line="290" w:lineRule="auto"/>
        <w:jc w:val="left"/>
      </w:pPr>
      <w:r>
        <w:rPr>
          <w:rFonts w:ascii="Calibri" w:hAnsi="Calibri" w:eastAsia="Microsoft YaHei"/>
          <w:b w:val="0"/>
          <w:color w:val="1F2937"/>
          <w:sz w:val="19"/>
        </w:rPr>
        <w:t>[8] React. React Documentation[EB/OL]. https://react.dev/ (访问日期：2026-07-29).</w:t>
      </w:r>
    </w:p>
    <w:p>
      <w:pPr>
        <w:spacing w:before="0" w:after="80" w:line="290" w:lineRule="auto"/>
        <w:jc w:val="left"/>
      </w:pPr>
      <w:r>
        <w:rPr>
          <w:rFonts w:ascii="Calibri" w:hAnsi="Calibri" w:eastAsia="Microsoft YaHei"/>
          <w:b w:val="0"/>
          <w:color w:val="1F2937"/>
          <w:sz w:val="19"/>
        </w:rPr>
        <w:t>[9] Vite. Vite Guide[EB/OL]. https://vite.dev/guide/ (访问日期：2026-07-29).</w:t>
      </w:r>
    </w:p>
    <w:p>
      <w:pPr>
        <w:spacing w:before="0" w:after="80" w:line="290" w:lineRule="auto"/>
        <w:jc w:val="left"/>
      </w:pPr>
      <w:r>
        <w:rPr>
          <w:rFonts w:ascii="Calibri" w:hAnsi="Calibri" w:eastAsia="Microsoft YaHei"/>
          <w:b w:val="0"/>
          <w:color w:val="1F2937"/>
          <w:sz w:val="19"/>
        </w:rPr>
        <w:t>[10] SQLite. SQLite Documentation[EB/OL]. https://www.sqlite.org/docs.html (访问日期：2026-07-29).</w:t>
      </w:r>
    </w:p>
    <w:p>
      <w:pPr>
        <w:spacing w:before="0" w:after="80" w:line="290" w:lineRule="auto"/>
        <w:jc w:val="left"/>
      </w:pPr>
      <w:r>
        <w:rPr>
          <w:rFonts w:ascii="Calibri" w:hAnsi="Calibri" w:eastAsia="Microsoft YaHei"/>
          <w:b w:val="0"/>
          <w:color w:val="1F2937"/>
          <w:sz w:val="19"/>
        </w:rPr>
        <w:t>[11] Docker. Docker Documentation[EB/OL]. https://docs.docker.com/ (访问日期：2026-07-29).</w:t>
      </w:r>
    </w:p>
    <w:p>
      <w:pPr>
        <w:spacing w:before="0" w:after="80" w:line="290" w:lineRule="auto"/>
        <w:jc w:val="left"/>
      </w:pPr>
      <w:r>
        <w:rPr>
          <w:rFonts w:ascii="Calibri" w:hAnsi="Calibri" w:eastAsia="Microsoft YaHei"/>
          <w:b w:val="0"/>
          <w:color w:val="1F2937"/>
          <w:sz w:val="19"/>
        </w:rPr>
        <w:t>[12] Fette I, Melnikov A. The WebSocket Protocol: RFC 6455[S/OL]. IETF, 2011. https://www.rfc-editor.org/rfc/rfc6455.html (访问日期：2026-07-29).</w:t>
      </w:r>
    </w:p>
    <w:p>
      <w:r>
        <w:br w:type="page"/>
      </w:r>
    </w:p>
    <w:p>
      <w:pPr>
        <w:pStyle w:val="Heading1"/>
        <w:keepNext/>
      </w:pPr>
      <w:r>
        <w:t>附录A 答辩材料索引</w:t>
      </w:r>
    </w:p>
    <w:p>
      <w:pPr>
        <w:spacing w:before="0" w:after="160" w:line="320" w:lineRule="auto"/>
        <w:jc w:val="both"/>
      </w:pPr>
      <w:r>
        <w:rPr>
          <w:rFonts w:ascii="Calibri" w:hAnsi="Calibri" w:eastAsia="Microsoft YaHei"/>
          <w:b w:val="0"/>
          <w:color w:val="1F2937"/>
          <w:sz w:val="22"/>
        </w:rPr>
        <w:t>为便于答辩和验收，本项目已提供以下可直接使用的材料：</w:t>
      </w:r>
    </w:p>
    <w:tbl>
      <w:tblPr>
        <w:tblW w:type="dxa" w:w="9360"/>
        <w:jc w:val="left"/>
        <w:tblLayout w:type="fixed"/>
        <w:tblLook w:firstColumn="1" w:firstRow="1" w:lastColumn="0" w:lastRow="0" w:noHBand="0" w:noVBand="1" w:val="04A0"/>
        <w:tblInd w:type="dxa" w:w="120"/>
      </w:tblPr>
      <w:tblGrid>
        <w:gridCol w:w="1950"/>
        <w:gridCol w:w="4000"/>
        <w:gridCol w:w="3410"/>
      </w:tblGrid>
      <w:tr>
        <w:trPr>
          <w:tblHeader w:val="true"/>
        </w:trPr>
        <w:tc>
          <w:tcPr>
            <w:tcW w:type="dxa" w:w="19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材料</w:t>
            </w:r>
          </w:p>
        </w:tc>
        <w:tc>
          <w:tcPr>
            <w:tcW w:type="dxa" w:w="40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路径</w:t>
            </w:r>
          </w:p>
        </w:tc>
        <w:tc>
          <w:tcPr>
            <w:tcW w:type="dxa" w:w="341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内容</w:t>
            </w:r>
          </w:p>
        </w:tc>
      </w:tr>
      <w:tr>
        <w:trPr/>
        <w:tc>
          <w:tcPr>
            <w:tcW w:type="dxa" w:w="19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论文写作素材</w:t>
            </w:r>
          </w:p>
        </w:tc>
        <w:tc>
          <w:tcPr>
            <w:tcW w:type="dxa" w:w="4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docs/THESIS_WRITING.md</w:t>
            </w:r>
          </w:p>
        </w:tc>
        <w:tc>
          <w:tcPr>
            <w:tcW w:type="dxa" w:w="34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需求、架构、流程、实验、创新点表述</w:t>
            </w:r>
          </w:p>
        </w:tc>
      </w:tr>
      <w:tr>
        <w:trPr/>
        <w:tc>
          <w:tcPr>
            <w:tcW w:type="dxa" w:w="19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部署说明</w:t>
            </w:r>
          </w:p>
        </w:tc>
        <w:tc>
          <w:tcPr>
            <w:tcW w:type="dxa" w:w="4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docs/DEPLOYMENT.md</w:t>
            </w:r>
          </w:p>
        </w:tc>
        <w:tc>
          <w:tcPr>
            <w:tcW w:type="dxa" w:w="34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本地、Docker、GPU、持久化与故障排查</w:t>
            </w:r>
          </w:p>
        </w:tc>
      </w:tr>
      <w:tr>
        <w:trPr/>
        <w:tc>
          <w:tcPr>
            <w:tcW w:type="dxa" w:w="19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API 文档</w:t>
            </w:r>
          </w:p>
        </w:tc>
        <w:tc>
          <w:tcPr>
            <w:tcW w:type="dxa" w:w="4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docs/API.md</w:t>
            </w:r>
          </w:p>
        </w:tc>
        <w:tc>
          <w:tcPr>
            <w:tcW w:type="dxa" w:w="34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REST、WebSocket、错误码与调用示例</w:t>
            </w:r>
          </w:p>
        </w:tc>
      </w:tr>
      <w:tr>
        <w:trPr/>
        <w:tc>
          <w:tcPr>
            <w:tcW w:type="dxa" w:w="19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演示脚本</w:t>
            </w:r>
          </w:p>
        </w:tc>
        <w:tc>
          <w:tcPr>
            <w:tcW w:type="dxa" w:w="4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docs/DEMO_RUNBOOK.md</w:t>
            </w:r>
          </w:p>
        </w:tc>
        <w:tc>
          <w:tcPr>
            <w:tcW w:type="dxa" w:w="34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正常检测、视频任务、历史删除、异常处理</w:t>
            </w:r>
          </w:p>
        </w:tc>
      </w:tr>
      <w:tr>
        <w:trPr/>
        <w:tc>
          <w:tcPr>
            <w:tcW w:type="dxa" w:w="19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答辩 PPT</w:t>
            </w:r>
          </w:p>
        </w:tc>
        <w:tc>
          <w:tcPr>
            <w:tcW w:type="dxa" w:w="4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deliverables/智能交通检测系统_答辩演示.pptx</w:t>
            </w:r>
          </w:p>
        </w:tc>
        <w:tc>
          <w:tcPr>
            <w:tcW w:type="dxa" w:w="34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真实实验图表、演示流程与创新边界</w:t>
            </w:r>
          </w:p>
        </w:tc>
      </w:tr>
    </w:tbl>
    <w:p>
      <w:pPr>
        <w:spacing w:before="80" w:after="160" w:line="240" w:lineRule="auto"/>
        <w:jc w:val="center"/>
      </w:pPr>
      <w:r>
        <w:rPr>
          <w:rFonts w:ascii="Calibri" w:hAnsi="Calibri" w:eastAsia="Microsoft YaHei"/>
          <w:b w:val="0"/>
          <w:color w:val="667085"/>
          <w:sz w:val="19"/>
        </w:rPr>
        <w:t>表A-1 毕业设计配套材料</w:t>
      </w:r>
    </w:p>
    <w:p>
      <w:pPr>
        <w:pStyle w:val="Heading2"/>
        <w:keepNext/>
      </w:pPr>
      <w:r>
        <w:t>A.1 材料使用说明</w:t>
      </w:r>
    </w:p>
    <w:p>
      <w:pPr>
        <w:spacing w:before="0" w:after="160" w:line="320" w:lineRule="auto"/>
        <w:jc w:val="both"/>
      </w:pPr>
      <w:r>
        <w:rPr>
          <w:rFonts w:ascii="Calibri" w:hAnsi="Calibri" w:eastAsia="Microsoft YaHei"/>
          <w:b w:val="0"/>
          <w:color w:val="1F2937"/>
          <w:sz w:val="22"/>
        </w:rPr>
        <w:t>论文正文与配套材料之间保持可追溯关系。实验数据、曲线和对比表可回溯至 experiments/results 目录；部署步骤、环境变量和故障排查可回溯至部署说明；接口字段和错误处理可回溯至 API 文档。答辩时应以实际运行结果为准，报告中的图表和数值用于说明实验设置、对比条件和模型选择依据。</w:t>
      </w:r>
    </w:p>
    <w:p>
      <w:pPr>
        <w:spacing w:before="0" w:after="160" w:line="320" w:lineRule="auto"/>
        <w:jc w:val="both"/>
      </w:pPr>
      <w:r>
        <w:rPr>
          <w:rFonts w:ascii="Calibri" w:hAnsi="Calibri" w:eastAsia="Microsoft YaHei"/>
          <w:b w:val="0"/>
          <w:color w:val="1F2937"/>
          <w:sz w:val="22"/>
        </w:rPr>
        <w:t>建议按“服务健康检查 - 正常图片检测 - 视频任务进度 - 历史多选删除 - 异常输入”的顺序组织演示。每个环节均保留可核查的接口响应、任务 ID 或历史 ID；当出现模型加载、文件格式或存储异常时，优先展示明确错误信息及未生成伪造历史记录的处理结果。</w:t>
      </w:r>
    </w:p>
    <w:tbl>
      <w:tblPr>
        <w:tblW w:type="dxa" w:w="9360"/>
        <w:jc w:val="left"/>
        <w:tblLayout w:type="fixed"/>
        <w:tblLook w:firstColumn="1" w:firstRow="1" w:lastColumn="0" w:lastRow="0" w:noHBand="0" w:noVBand="1" w:val="04A0"/>
        <w:tblInd w:type="dxa" w:w="120"/>
      </w:tblPr>
      <w:tblGrid>
        <w:gridCol w:w="1900"/>
        <w:gridCol w:w="3400"/>
        <w:gridCol w:w="4060"/>
      </w:tblGrid>
      <w:tr>
        <w:trPr>
          <w:tblHeader w:val="true"/>
        </w:trPr>
        <w:tc>
          <w:tcPr>
            <w:tcW w:type="dxa" w:w="1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答辩场景</w:t>
            </w:r>
          </w:p>
        </w:tc>
        <w:tc>
          <w:tcPr>
            <w:tcW w:type="dxa" w:w="34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核查材料</w:t>
            </w:r>
          </w:p>
        </w:tc>
        <w:tc>
          <w:tcPr>
            <w:tcW w:type="dxa" w:w="40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验证方式</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实验结果核查</w:t>
            </w:r>
          </w:p>
        </w:tc>
        <w:tc>
          <w:tcPr>
            <w:tcW w:type="dxa" w:w="3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训练报告、基准 JSON、曲线图</w:t>
            </w:r>
          </w:p>
        </w:tc>
        <w:tc>
          <w:tcPr>
            <w:tcW w:type="dxa" w:w="4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核对统一数据集、模型、阈值和速度/资源指标</w:t>
            </w:r>
          </w:p>
        </w:tc>
      </w:tr>
      <w:tr>
        <w:trPr/>
        <w:tc>
          <w:tcPr>
            <w:tcW w:type="dxa" w:w="1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部署流程核查</w:t>
            </w:r>
          </w:p>
        </w:tc>
        <w:tc>
          <w:tcPr>
            <w:tcW w:type="dxa" w:w="34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部署说明、健康检查响应</w:t>
            </w:r>
          </w:p>
        </w:tc>
        <w:tc>
          <w:tcPr>
            <w:tcW w:type="dxa" w:w="40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核对端口、模型路径、存储挂载与推理设备状态</w:t>
            </w:r>
          </w:p>
        </w:tc>
      </w:tr>
      <w:tr>
        <w:trPr/>
        <w:tc>
          <w:tcPr>
            <w:tcW w:type="dxa" w:w="1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功能与接口核查</w:t>
            </w:r>
          </w:p>
        </w:tc>
        <w:tc>
          <w:tcPr>
            <w:tcW w:type="dxa" w:w="34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演示脚本、历史详情、视频任务、API 文档和 OpenAPI /docs</w:t>
            </w:r>
          </w:p>
        </w:tc>
        <w:tc>
          <w:tcPr>
            <w:tcW w:type="dxa" w:w="40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核对正常、异步、删除和异常处理闭环，以及请求/响应字段、状态码和 WebSocket 事件</w:t>
            </w:r>
          </w:p>
        </w:tc>
      </w:tr>
    </w:tbl>
    <w:p>
      <w:pPr>
        <w:spacing w:before="80" w:after="160" w:line="240" w:lineRule="auto"/>
        <w:jc w:val="center"/>
      </w:pPr>
      <w:r>
        <w:rPr>
          <w:rFonts w:ascii="Calibri" w:hAnsi="Calibri" w:eastAsia="Microsoft YaHei"/>
          <w:b w:val="0"/>
          <w:color w:val="667085"/>
          <w:sz w:val="19"/>
        </w:rPr>
        <w:t>表A-2 答辩材料与验收方式对应关系</w:t>
      </w:r>
    </w:p>
    <w:p>
      <w:pPr>
        <w:pStyle w:val="Heading1"/>
        <w:keepNext/>
        <w:pageBreakBefore/>
      </w:pPr>
      <w:r>
        <w:t>附录B 典型接口参数与结果字段</w:t>
      </w:r>
    </w:p>
    <w:p>
      <w:pPr>
        <w:spacing w:before="0" w:after="160" w:line="320" w:lineRule="auto"/>
        <w:jc w:val="both"/>
      </w:pPr>
      <w:r>
        <w:rPr>
          <w:rFonts w:ascii="Calibri" w:hAnsi="Calibri" w:eastAsia="Microsoft YaHei"/>
          <w:b w:val="0"/>
          <w:color w:val="1F2937"/>
          <w:sz w:val="22"/>
        </w:rPr>
        <w:t>本附录列出答辩演示和联调中最常使用的参数与返回字段。所有路径均以本地开发地址http://127.0.0.1:8000 为例，具体端口和跨域配置可按部署环境调整。</w:t>
      </w:r>
    </w:p>
    <w:tbl>
      <w:tblPr>
        <w:tblW w:type="dxa" w:w="9360"/>
        <w:jc w:val="left"/>
        <w:tblLayout w:type="fixed"/>
        <w:tblLook w:firstColumn="1" w:firstRow="1" w:lastColumn="0" w:lastRow="0" w:noHBand="0" w:noVBand="1" w:val="04A0"/>
        <w:tblInd w:type="dxa" w:w="120"/>
      </w:tblPr>
      <w:tblGrid>
        <w:gridCol w:w="1800"/>
        <w:gridCol w:w="2200"/>
        <w:gridCol w:w="3350"/>
        <w:gridCol w:w="2010"/>
      </w:tblGrid>
      <w:tr>
        <w:trPr>
          <w:tblHeader w:val="true"/>
        </w:trPr>
        <w:tc>
          <w:tcPr>
            <w:tcW w:type="dxa" w:w="18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参数用途</w:t>
            </w:r>
          </w:p>
        </w:tc>
        <w:tc>
          <w:tcPr>
            <w:tcW w:type="dxa" w:w="22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字段</w:t>
            </w:r>
          </w:p>
        </w:tc>
        <w:tc>
          <w:tcPr>
            <w:tcW w:type="dxa" w:w="335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取值或约束</w:t>
            </w:r>
          </w:p>
        </w:tc>
        <w:tc>
          <w:tcPr>
            <w:tcW w:type="dxa" w:w="201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接口</w:t>
            </w:r>
          </w:p>
        </w:tc>
      </w:tr>
      <w:tr>
        <w:trPr/>
        <w:tc>
          <w:tcPr>
            <w:tcW w:type="dxa" w:w="18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图片文件</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image</w:t>
            </w:r>
          </w:p>
        </w:tc>
        <w:tc>
          <w:tcPr>
            <w:tcW w:type="dxa" w:w="33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JPG/JPEG/PNG/BMP，最大 10 MB</w:t>
            </w:r>
          </w:p>
        </w:tc>
        <w:tc>
          <w:tcPr>
            <w:tcW w:type="dxa" w:w="20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POST /api/detect-vehicles</w:t>
            </w:r>
          </w:p>
        </w:tc>
      </w:tr>
      <w:tr>
        <w:trPr/>
        <w:tc>
          <w:tcPr>
            <w:tcW w:type="dxa" w:w="18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保存历史</w:t>
            </w:r>
          </w:p>
        </w:tc>
        <w:tc>
          <w:tcPr>
            <w:tcW w:type="dxa" w:w="2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record_history</w:t>
            </w:r>
          </w:p>
        </w:tc>
        <w:tc>
          <w:tcPr>
            <w:tcW w:type="dxa" w:w="33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true / false，默认 true</w:t>
            </w:r>
          </w:p>
        </w:tc>
        <w:tc>
          <w:tcPr>
            <w:tcW w:type="dxa" w:w="20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POST /api/detect-vehicles</w:t>
            </w:r>
          </w:p>
        </w:tc>
      </w:tr>
      <w:tr>
        <w:trPr/>
        <w:tc>
          <w:tcPr>
            <w:tcW w:type="dxa" w:w="18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基准线启用</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baseline_enabled</w:t>
            </w:r>
          </w:p>
        </w:tc>
        <w:tc>
          <w:tcPr>
            <w:tcW w:type="dxa" w:w="33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true / false</w:t>
            </w:r>
          </w:p>
        </w:tc>
        <w:tc>
          <w:tcPr>
            <w:tcW w:type="dxa" w:w="20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图片或视频检测</w:t>
            </w:r>
          </w:p>
        </w:tc>
      </w:tr>
      <w:tr>
        <w:trPr/>
        <w:tc>
          <w:tcPr>
            <w:tcW w:type="dxa" w:w="18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基准线方向</w:t>
            </w:r>
          </w:p>
        </w:tc>
        <w:tc>
          <w:tcPr>
            <w:tcW w:type="dxa" w:w="2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baseline_orientation</w:t>
            </w:r>
          </w:p>
        </w:tc>
        <w:tc>
          <w:tcPr>
            <w:tcW w:type="dxa" w:w="33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horizontal 或 vertical</w:t>
            </w:r>
          </w:p>
        </w:tc>
        <w:tc>
          <w:tcPr>
            <w:tcW w:type="dxa" w:w="20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图片或视频检测</w:t>
            </w:r>
          </w:p>
        </w:tc>
      </w:tr>
      <w:tr>
        <w:trPr/>
        <w:tc>
          <w:tcPr>
            <w:tcW w:type="dxa" w:w="18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运动方向</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baseline_direction</w:t>
            </w:r>
          </w:p>
        </w:tc>
        <w:tc>
          <w:tcPr>
            <w:tcW w:type="dxa" w:w="33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horizontal 使用 up/down；vertical 使用 left/right</w:t>
            </w:r>
          </w:p>
        </w:tc>
        <w:tc>
          <w:tcPr>
            <w:tcW w:type="dxa" w:w="20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图片或视频检测</w:t>
            </w:r>
          </w:p>
        </w:tc>
      </w:tr>
      <w:tr>
        <w:trPr/>
        <w:tc>
          <w:tcPr>
            <w:tcW w:type="dxa" w:w="18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基准线位置</w:t>
            </w:r>
          </w:p>
        </w:tc>
        <w:tc>
          <w:tcPr>
            <w:tcW w:type="dxa" w:w="22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baseline_position</w:t>
            </w:r>
          </w:p>
        </w:tc>
        <w:tc>
          <w:tcPr>
            <w:tcW w:type="dxa" w:w="335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归一化 0.05 至 0.95</w:t>
            </w:r>
          </w:p>
        </w:tc>
        <w:tc>
          <w:tcPr>
            <w:tcW w:type="dxa" w:w="201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图片或视频检测</w:t>
            </w:r>
          </w:p>
        </w:tc>
      </w:tr>
      <w:tr>
        <w:trPr/>
        <w:tc>
          <w:tcPr>
            <w:tcW w:type="dxa" w:w="18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批量删除</w:t>
            </w:r>
          </w:p>
        </w:tc>
        <w:tc>
          <w:tcPr>
            <w:tcW w:type="dxa" w:w="22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ids</w:t>
            </w:r>
          </w:p>
        </w:tc>
        <w:tc>
          <w:tcPr>
            <w:tcW w:type="dxa" w:w="335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JSON 字符串数组，如 ["id-1", "id-2"]</w:t>
            </w:r>
          </w:p>
        </w:tc>
        <w:tc>
          <w:tcPr>
            <w:tcW w:type="dxa" w:w="201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DELETE /api/history</w:t>
            </w:r>
          </w:p>
        </w:tc>
      </w:tr>
    </w:tbl>
    <w:p>
      <w:pPr>
        <w:spacing w:before="80" w:after="160" w:line="240" w:lineRule="auto"/>
        <w:jc w:val="center"/>
      </w:pPr>
      <w:r>
        <w:rPr>
          <w:rFonts w:ascii="Calibri" w:hAnsi="Calibri" w:eastAsia="Microsoft YaHei"/>
          <w:b w:val="0"/>
          <w:color w:val="667085"/>
          <w:sz w:val="19"/>
        </w:rPr>
        <w:t>表B-1 常用请求参数与校验约束</w:t>
      </w:r>
    </w:p>
    <w:tbl>
      <w:tblPr>
        <w:tblW w:type="dxa" w:w="9360"/>
        <w:jc w:val="left"/>
        <w:tblLayout w:type="fixed"/>
        <w:tblLook w:firstColumn="1" w:firstRow="1" w:lastColumn="0" w:lastRow="0" w:noHBand="0" w:noVBand="1" w:val="04A0"/>
        <w:tblInd w:type="dxa" w:w="120"/>
      </w:tblPr>
      <w:tblGrid>
        <w:gridCol w:w="3000"/>
        <w:gridCol w:w="3000"/>
        <w:gridCol w:w="3360"/>
      </w:tblGrid>
      <w:tr>
        <w:trPr>
          <w:tblHeader w:val="true"/>
        </w:trPr>
        <w:tc>
          <w:tcPr>
            <w:tcW w:type="dxa" w:w="30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结果字段</w:t>
            </w:r>
          </w:p>
        </w:tc>
        <w:tc>
          <w:tcPr>
            <w:tcW w:type="dxa" w:w="30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含义</w:t>
            </w:r>
          </w:p>
        </w:tc>
        <w:tc>
          <w:tcPr>
            <w:tcW w:type="dxa" w:w="33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页面或验收用途</w:t>
            </w:r>
          </w:p>
        </w:tc>
      </w:tr>
      <w:tr>
        <w:trPr/>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total_vehicles</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车辆总数</w:t>
            </w:r>
          </w:p>
        </w:tc>
        <w:tc>
          <w:tcPr>
            <w:tcW w:type="dxa" w:w="3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结果摘要卡片</w:t>
            </w:r>
          </w:p>
        </w:tc>
      </w:tr>
      <w:tr>
        <w:trPr/>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class_counts</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四类目标数量</w:t>
            </w:r>
          </w:p>
        </w:tc>
        <w:tc>
          <w:tcPr>
            <w:tcW w:type="dxa" w:w="33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分类统计和图表</w:t>
            </w:r>
          </w:p>
        </w:tc>
      </w:tr>
      <w:tr>
        <w:trPr/>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lane_counts</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东南西北车辆数量</w:t>
            </w:r>
          </w:p>
        </w:tc>
        <w:tc>
          <w:tcPr>
            <w:tcW w:type="dxa" w:w="3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车道区域统计</w:t>
            </w:r>
          </w:p>
        </w:tc>
      </w:tr>
      <w:tr>
        <w:trPr/>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flow_counts</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进入与离开数量</w:t>
            </w:r>
          </w:p>
        </w:tc>
        <w:tc>
          <w:tcPr>
            <w:tcW w:type="dxa" w:w="33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启用基准线时的流量展示</w:t>
            </w:r>
          </w:p>
        </w:tc>
      </w:tr>
      <w:tr>
        <w:trPr/>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processing_time</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处理耗时</w:t>
            </w:r>
          </w:p>
        </w:tc>
        <w:tc>
          <w:tcPr>
            <w:tcW w:type="dxa" w:w="3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性能观察与历史详情</w:t>
            </w:r>
          </w:p>
        </w:tc>
      </w:tr>
      <w:tr>
        <w:trPr/>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annotated_image_path / output_path</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应用生成媒体相对路径</w:t>
            </w:r>
          </w:p>
        </w:tc>
        <w:tc>
          <w:tcPr>
            <w:tcW w:type="dxa" w:w="33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标注结果展示与关联清理</w:t>
            </w:r>
          </w:p>
        </w:tc>
      </w:tr>
      <w:tr>
        <w:trPr/>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deleted_ids</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已删除记录 ID</w:t>
            </w:r>
          </w:p>
        </w:tc>
        <w:tc>
          <w:tcPr>
            <w:tcW w:type="dxa" w:w="33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批量删除后刷新列表</w:t>
            </w:r>
          </w:p>
        </w:tc>
      </w:tr>
    </w:tbl>
    <w:p>
      <w:pPr>
        <w:spacing w:before="80" w:after="160" w:line="240" w:lineRule="auto"/>
        <w:jc w:val="center"/>
      </w:pPr>
      <w:r>
        <w:rPr>
          <w:rFonts w:ascii="Calibri" w:hAnsi="Calibri" w:eastAsia="Microsoft YaHei"/>
          <w:b w:val="0"/>
          <w:color w:val="667085"/>
          <w:sz w:val="19"/>
        </w:rPr>
        <w:t>表B-2 典型响应字段与业务用途</w:t>
      </w:r>
    </w:p>
    <w:p>
      <w:pPr>
        <w:pStyle w:val="Heading1"/>
        <w:keepNext/>
        <w:pageBreakBefore/>
      </w:pPr>
      <w:r>
        <w:t>附录C 答辩与部署验收记录表</w:t>
      </w:r>
    </w:p>
    <w:p>
      <w:pPr>
        <w:spacing w:before="0" w:after="160" w:line="320" w:lineRule="auto"/>
        <w:jc w:val="both"/>
      </w:pPr>
      <w:r>
        <w:rPr>
          <w:rFonts w:ascii="Calibri" w:hAnsi="Calibri" w:eastAsia="Microsoft YaHei"/>
          <w:b w:val="0"/>
          <w:color w:val="1F2937"/>
          <w:sz w:val="22"/>
        </w:rPr>
        <w:t>以下清单可用于答辩前联调或部署交付验收。执行人应记录实际时间、模型名称、任务 ID 或历史 ID，并在异常时保留接口响应和后端日志；该表的目的在于保证演示过程可重复，而不是替代完整的压力与安全测试。</w:t>
      </w:r>
    </w:p>
    <w:tbl>
      <w:tblPr>
        <w:tblW w:type="dxa" w:w="9360"/>
        <w:jc w:val="left"/>
        <w:tblLayout w:type="fixed"/>
        <w:tblLook w:firstColumn="1" w:firstRow="1" w:lastColumn="0" w:lastRow="0" w:noHBand="0" w:noVBand="1" w:val="04A0"/>
        <w:tblInd w:type="dxa" w:w="120"/>
      </w:tblPr>
      <w:tblGrid>
        <w:gridCol w:w="900"/>
        <w:gridCol w:w="1500"/>
        <w:gridCol w:w="2700"/>
        <w:gridCol w:w="3000"/>
        <w:gridCol w:w="1260"/>
      </w:tblGrid>
      <w:tr>
        <w:trPr>
          <w:tblHeader w:val="true"/>
        </w:trPr>
        <w:tc>
          <w:tcPr>
            <w:tcW w:type="dxa" w:w="9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编号</w:t>
            </w:r>
          </w:p>
        </w:tc>
        <w:tc>
          <w:tcPr>
            <w:tcW w:type="dxa" w:w="15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验收主题</w:t>
            </w:r>
          </w:p>
        </w:tc>
        <w:tc>
          <w:tcPr>
            <w:tcW w:type="dxa" w:w="27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操作</w:t>
            </w:r>
          </w:p>
        </w:tc>
        <w:tc>
          <w:tcPr>
            <w:tcW w:type="dxa" w:w="300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预期结果</w:t>
            </w:r>
          </w:p>
        </w:tc>
        <w:tc>
          <w:tcPr>
            <w:tcW w:type="dxa" w:w="1260"/>
            <w:vAlign w:val="center"/>
            <w:shd w:fill="E8EEF5"/>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40" w:lineRule="auto"/>
              <w:jc w:val="center"/>
            </w:pPr>
            <w:r/>
            <w:r>
              <w:rPr>
                <w:rFonts w:ascii="Calibri" w:hAnsi="Calibri" w:eastAsia="Microsoft YaHei"/>
                <w:b/>
                <w:color w:val="1F4D78"/>
                <w:sz w:val="18"/>
              </w:rPr>
              <w:t>记录</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C-01</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健康检查</w:t>
            </w:r>
          </w:p>
        </w:tc>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启动前后端后请求 /health</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服务、模型、存储状态可读</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C-02</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图片检测</w:t>
            </w:r>
          </w:p>
        </w:tc>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上传合法道路图片并保存历史</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标注图、类别/车道统计、耗时齐全</w:t>
            </w:r>
          </w:p>
        </w:tc>
        <w:tc>
          <w:tcPr>
            <w:tcW w:type="dxa" w:w="1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C-03</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基准线统计</w:t>
            </w:r>
          </w:p>
        </w:tc>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设置水平向下、位置 0.50</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参数生效，返回完整 entry/exit 结构</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C-04</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视频任务</w:t>
            </w:r>
          </w:p>
        </w:tc>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 MP4 并查询任务</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状态变化、进度和结果视频可查看</w:t>
            </w:r>
          </w:p>
        </w:tc>
        <w:tc>
          <w:tcPr>
            <w:tcW w:type="dxa" w:w="1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C-05</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多选删除</w:t>
            </w:r>
          </w:p>
        </w:tc>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选择两条历史记录后确认</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deleted_ids 返回，刷新后记录不恢复</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C-06</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文件异常</w:t>
            </w:r>
          </w:p>
        </w:tc>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上传不支持格式或超限文件</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明确 400/413，不写入错误历史</w:t>
            </w:r>
          </w:p>
        </w:tc>
        <w:tc>
          <w:tcPr>
            <w:tcW w:type="dxa" w:w="1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C-07</w:t>
            </w:r>
          </w:p>
        </w:tc>
        <w:tc>
          <w:tcPr>
            <w:tcW w:type="dxa" w:w="15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参数异常</w:t>
            </w:r>
          </w:p>
        </w:tc>
        <w:tc>
          <w:tcPr>
            <w:tcW w:type="dxa" w:w="27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提交不匹配的基准线方向</w:t>
            </w:r>
          </w:p>
        </w:tc>
        <w:tc>
          <w:tcPr>
            <w:tcW w:type="dxa" w:w="300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明确 400，不进入推理</w:t>
            </w:r>
          </w:p>
        </w:tc>
        <w:tc>
          <w:tcPr>
            <w:tcW w:type="dxa" w:w="1260"/>
            <w:vAlign w:val="center"/>
            <w:tcBorders>
              <w:top w:val="single" w:sz="4" w:space="0" w:color="D0D5DD"/>
              <w:left w:val="single" w:sz="4" w:space="0" w:color="D0D5DD"/>
              <w:bottom w:val="single" w:sz="4" w:space="0" w:color="D0D5DD"/>
              <w:right w:val="single" w:sz="4" w:space="0" w:color="D0D5DD"/>
            </w:tcBorders>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r>
        <w:trPr/>
        <w:tc>
          <w:tcPr>
            <w:tcW w:type="dxa" w:w="9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left"/>
            </w:pPr>
            <w:r/>
            <w:r>
              <w:rPr>
                <w:rFonts w:ascii="Calibri" w:hAnsi="Calibri" w:eastAsia="Microsoft YaHei"/>
                <w:b w:val="0"/>
                <w:color w:val="1F2937"/>
                <w:sz w:val="18"/>
              </w:rPr>
              <w:t>C-08</w:t>
            </w:r>
          </w:p>
        </w:tc>
        <w:tc>
          <w:tcPr>
            <w:tcW w:type="dxa" w:w="15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模型切换</w:t>
            </w:r>
          </w:p>
        </w:tc>
        <w:tc>
          <w:tcPr>
            <w:tcW w:type="dxa" w:w="27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激活可用 .pt 模型并再次检测</w:t>
            </w:r>
          </w:p>
        </w:tc>
        <w:tc>
          <w:tcPr>
            <w:tcW w:type="dxa" w:w="300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当前模型信息与检测结果一致</w:t>
            </w:r>
          </w:p>
        </w:tc>
        <w:tc>
          <w:tcPr>
            <w:tcW w:type="dxa" w:w="1260"/>
            <w:vAlign w:val="center"/>
            <w:tcBorders>
              <w:top w:val="single" w:sz="4" w:space="0" w:color="D0D5DD"/>
              <w:left w:val="single" w:sz="4" w:space="0" w:color="D0D5DD"/>
              <w:bottom w:val="single" w:sz="4" w:space="0" w:color="D0D5DD"/>
              <w:right w:val="single" w:sz="4" w:space="0" w:color="D0D5DD"/>
            </w:tcBorders>
            <w:shd w:fill="F4F6F9"/>
            <w:tcMar>
              <w:top w:w="80" w:type="dxa"/>
              <w:bottom w:w="80" w:type="dxa"/>
              <w:start w:w="120" w:type="dxa"/>
              <w:end w:w="120" w:type="dxa"/>
            </w:tcMar>
          </w:tcPr>
          <w:p>
            <w:pPr>
              <w:spacing w:before="0" w:after="0" w:line="259" w:lineRule="auto"/>
              <w:jc w:val="center"/>
            </w:pPr>
            <w:r/>
            <w:r>
              <w:rPr>
                <w:rFonts w:ascii="Calibri" w:hAnsi="Calibri" w:eastAsia="Microsoft YaHei"/>
                <w:b w:val="0"/>
                <w:color w:val="1F2937"/>
                <w:sz w:val="18"/>
              </w:rPr>
              <w:t>□ 通过  □ 异常</w:t>
            </w:r>
          </w:p>
        </w:tc>
      </w:tr>
    </w:tbl>
    <w:p>
      <w:pPr>
        <w:spacing w:before="80" w:after="160" w:line="240" w:lineRule="auto"/>
        <w:jc w:val="center"/>
      </w:pPr>
      <w:r>
        <w:rPr>
          <w:rFonts w:ascii="Calibri" w:hAnsi="Calibri" w:eastAsia="Microsoft YaHei"/>
          <w:b w:val="0"/>
          <w:color w:val="667085"/>
          <w:sz w:val="19"/>
        </w:rPr>
        <w:t>表C-1 答辩与部署验收清单</w:t>
      </w:r>
    </w:p>
    <w:p>
      <w:pPr>
        <w:spacing w:before="0" w:after="160" w:line="320" w:lineRule="auto"/>
        <w:jc w:val="both"/>
      </w:pPr>
      <w:r>
        <w:rPr>
          <w:rFonts w:ascii="Calibri" w:hAnsi="Calibri" w:eastAsia="Microsoft YaHei"/>
          <w:b w:val="0"/>
          <w:color w:val="1F2937"/>
          <w:sz w:val="22"/>
        </w:rPr>
        <w:t>验收完成后，可将任务 ID、历史 ID、模型版本、部署设备和异常日志路径附在本页下方或另行登记。对于视频任务，建议在答辩机器上提前试跑一次，确认视频编解码器、磁盘余量和 GPU/CPU 推理设备可用。</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Microsoft YaHei"/>
        <w:b w:val="0"/>
        <w:color w:val="667085"/>
        <w:sz w:val="18"/>
      </w:rPr>
      <w:t xml:space="preserve">第 </w:t>
    </w:r>
    <w:r>
      <w:fldChar w:fldCharType="begin"/>
      <w:instrText xml:space="preserve"> PAGE </w:instrText>
      <w:fldChar w:fldCharType="end"/>
    </w:r>
    <w:r>
      <w:rPr>
        <w:rFonts w:ascii="Calibri" w:hAnsi="Calibri" w:eastAsia="Microsoft YaHei"/>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Microsoft YaHei"/>
        <w:b w:val="0"/>
        <w:color w:val="667085"/>
        <w:sz w:val="17"/>
      </w:rPr>
      <w:t>智能交通目标检测与任务管理系统毕业设计报告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b w:val="0"/>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智能交通目标检测与任务管理系统毕业设计报告</dc:title>
  <dc:subject>基于真实训练与部署基准的智能交通目标检测系统设计与实现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