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B774B" w14:textId="77777777" w:rsidR="001203AE" w:rsidRPr="007C0094" w:rsidRDefault="008C6FA6" w:rsidP="001203AE">
      <w:pPr>
        <w:pStyle w:val="Heading1"/>
        <w:rPr>
          <w:rFonts w:cs="Arial"/>
          <w:szCs w:val="22"/>
          <w:lang w:val="en-GB"/>
        </w:rPr>
      </w:pPr>
      <w:r w:rsidRPr="007C0094">
        <w:rPr>
          <w:rFonts w:cs="Arial"/>
          <w:szCs w:val="22"/>
          <w:lang w:val="en-GB"/>
        </w:rPr>
        <w:t>Children with Suspected or Confirmed COVID-19 Infection</w:t>
      </w:r>
    </w:p>
    <w:p w14:paraId="5AFB387A" w14:textId="77777777" w:rsidR="00A84D47" w:rsidRPr="007C0094" w:rsidRDefault="00A84D47" w:rsidP="00A84D47">
      <w:pPr>
        <w:pStyle w:val="paragraph"/>
        <w:textAlignment w:val="baseline"/>
        <w:rPr>
          <w:b/>
          <w:bCs/>
        </w:rPr>
      </w:pPr>
      <w:r w:rsidRPr="007C0094">
        <w:rPr>
          <w:rStyle w:val="normaltextrun"/>
          <w:rFonts w:ascii="Arial" w:hAnsi="Arial" w:cs="Arial"/>
          <w:b/>
          <w:bCs/>
          <w:i/>
          <w:iCs/>
        </w:rPr>
        <w:t>Executive summary</w:t>
      </w:r>
    </w:p>
    <w:p w14:paraId="3681C099" w14:textId="636B7FB1" w:rsidR="00A84D47" w:rsidRPr="007C0094" w:rsidRDefault="00A84D47" w:rsidP="00A84D47">
      <w:pPr>
        <w:pStyle w:val="paragraph"/>
        <w:textAlignment w:val="baseline"/>
        <w:rPr>
          <w:b/>
          <w:bCs/>
        </w:rPr>
      </w:pPr>
      <w:r w:rsidRPr="007C0094">
        <w:rPr>
          <w:rStyle w:val="normaltextrun"/>
          <w:rFonts w:ascii="Arial" w:hAnsi="Arial" w:cs="Arial"/>
          <w:b/>
          <w:bCs/>
        </w:rPr>
        <w:t>Introduction</w:t>
      </w:r>
    </w:p>
    <w:p w14:paraId="1A937CAB" w14:textId="6E812643" w:rsidR="00A84D47" w:rsidRPr="007C0094" w:rsidRDefault="008C6FA6" w:rsidP="00A84D47">
      <w:pPr>
        <w:pStyle w:val="paragraph"/>
        <w:textAlignment w:val="baseline"/>
      </w:pPr>
      <w:r w:rsidRPr="007C0094">
        <w:rPr>
          <w:rStyle w:val="normaltextrun"/>
          <w:rFonts w:ascii="Arial" w:hAnsi="Arial" w:cs="Arial"/>
          <w:sz w:val="22"/>
          <w:szCs w:val="22"/>
        </w:rPr>
        <w:t>Children appear to have a similar likelihood of contracting COVID-19 as adults do but the infection is associated with a less severe illness. Children with pre-existing medical conditions such as immunocompromise, heart disease, chronic kidney disease or respiratory problems may be more severely affected. Children may also have a mixed infection with another respiratory virus or a secondary bacterial infection. Most children should, however, recover 1-2 weeks after the onset of symptoms.</w:t>
      </w:r>
    </w:p>
    <w:p w14:paraId="7F8B4B62" w14:textId="77777777" w:rsidR="00A84D47" w:rsidRPr="007C0094" w:rsidRDefault="00A84D47" w:rsidP="00A84D47">
      <w:pPr>
        <w:pStyle w:val="paragraph"/>
        <w:textAlignment w:val="baseline"/>
        <w:rPr>
          <w:b/>
          <w:bCs/>
          <w:u w:val="single"/>
        </w:rPr>
      </w:pPr>
      <w:r w:rsidRPr="007C0094">
        <w:rPr>
          <w:rStyle w:val="normaltextrun"/>
          <w:rFonts w:ascii="Arial" w:hAnsi="Arial" w:cs="Arial"/>
          <w:b/>
          <w:bCs/>
        </w:rPr>
        <w:t>Target User</w:t>
      </w:r>
    </w:p>
    <w:p w14:paraId="799511E2" w14:textId="77777777" w:rsidR="008C6FA6" w:rsidRPr="007C0094" w:rsidRDefault="008C6FA6" w:rsidP="008C6FA6">
      <w:pPr>
        <w:pStyle w:val="ListParagraph"/>
        <w:numPr>
          <w:ilvl w:val="0"/>
          <w:numId w:val="27"/>
        </w:numPr>
        <w:rPr>
          <w:rStyle w:val="normaltextrun"/>
          <w:szCs w:val="22"/>
          <w:lang w:val="en-GB"/>
        </w:rPr>
      </w:pPr>
      <w:r w:rsidRPr="007C0094">
        <w:rPr>
          <w:rStyle w:val="normaltextrun"/>
          <w:szCs w:val="22"/>
          <w:lang w:val="en-GB"/>
        </w:rPr>
        <w:t>Doctors</w:t>
      </w:r>
    </w:p>
    <w:p w14:paraId="48DBDB7F" w14:textId="77777777" w:rsidR="00A84D47" w:rsidRPr="007C0094" w:rsidRDefault="008C6FA6" w:rsidP="00A84D47">
      <w:pPr>
        <w:pStyle w:val="ListParagraph"/>
        <w:numPr>
          <w:ilvl w:val="0"/>
          <w:numId w:val="27"/>
        </w:numPr>
        <w:rPr>
          <w:lang w:val="en-GB"/>
        </w:rPr>
      </w:pPr>
      <w:r w:rsidRPr="007C0094">
        <w:rPr>
          <w:rStyle w:val="normaltextrun"/>
          <w:szCs w:val="22"/>
          <w:lang w:val="en-GB"/>
        </w:rPr>
        <w:t>Nurses</w:t>
      </w:r>
    </w:p>
    <w:p w14:paraId="2E50F088" w14:textId="77777777" w:rsidR="00A84D47" w:rsidRPr="007C0094" w:rsidRDefault="00A84D47" w:rsidP="00A84D47">
      <w:pPr>
        <w:pStyle w:val="paragraph"/>
        <w:textAlignment w:val="baseline"/>
        <w:rPr>
          <w:b/>
          <w:bCs/>
          <w:u w:val="single"/>
        </w:rPr>
      </w:pPr>
      <w:r w:rsidRPr="007C0094">
        <w:rPr>
          <w:rStyle w:val="normaltextrun"/>
          <w:rFonts w:ascii="Arial" w:hAnsi="Arial" w:cs="Arial"/>
          <w:b/>
          <w:bCs/>
        </w:rPr>
        <w:t>Target area of use</w:t>
      </w:r>
      <w:bookmarkStart w:id="0" w:name="_GoBack"/>
      <w:bookmarkEnd w:id="0"/>
    </w:p>
    <w:p w14:paraId="4190D30A" w14:textId="77777777" w:rsidR="00A84D47" w:rsidRPr="007C0094" w:rsidRDefault="008C6FA6" w:rsidP="00A84D47">
      <w:pPr>
        <w:pStyle w:val="ListParagraph"/>
        <w:numPr>
          <w:ilvl w:val="0"/>
          <w:numId w:val="28"/>
        </w:numPr>
        <w:rPr>
          <w:lang w:val="en-GB"/>
        </w:rPr>
      </w:pPr>
      <w:r w:rsidRPr="007C0094">
        <w:rPr>
          <w:rStyle w:val="normaltextrun"/>
          <w:szCs w:val="22"/>
          <w:lang w:val="en-GB"/>
        </w:rPr>
        <w:t>Ward</w:t>
      </w:r>
    </w:p>
    <w:p w14:paraId="326085ED" w14:textId="77777777" w:rsidR="00A84D47" w:rsidRPr="007C0094" w:rsidRDefault="00A84D47" w:rsidP="00A84D47">
      <w:pPr>
        <w:pStyle w:val="Heading2"/>
        <w:rPr>
          <w:rFonts w:ascii="Times New Roman" w:hAnsi="Times New Roman"/>
          <w:lang w:val="en-GB" w:eastAsia="en-GB"/>
        </w:rPr>
      </w:pPr>
      <w:r w:rsidRPr="007C0094">
        <w:rPr>
          <w:lang w:val="en-GB" w:eastAsia="en-GB"/>
        </w:rPr>
        <w:t>Key areas of focus / New additions / Changes  </w:t>
      </w:r>
    </w:p>
    <w:p w14:paraId="60286973" w14:textId="77777777" w:rsidR="00A84D47" w:rsidRPr="007C0094" w:rsidRDefault="008C6FA6" w:rsidP="00A84D47">
      <w:pPr>
        <w:pStyle w:val="paragraph"/>
        <w:textAlignment w:val="baseline"/>
      </w:pPr>
      <w:r w:rsidRPr="007C0094">
        <w:rPr>
          <w:rStyle w:val="normaltextrun"/>
          <w:rFonts w:ascii="Arial" w:hAnsi="Arial" w:cs="Arial"/>
          <w:sz w:val="22"/>
          <w:szCs w:val="22"/>
        </w:rPr>
        <w:t>Clinical care of patients under 16 years old with confirmed or suspected COVID-19 infection. Please see separate guideline for care of neonates, pregnant women and adults with COVID-19 as well as palliative care.</w:t>
      </w:r>
    </w:p>
    <w:p w14:paraId="2BFBC3A2" w14:textId="77777777" w:rsidR="00A84D47" w:rsidRPr="007C0094" w:rsidRDefault="00A84D47" w:rsidP="00A84D47">
      <w:pPr>
        <w:pStyle w:val="paragraph"/>
        <w:textAlignment w:val="baseline"/>
        <w:rPr>
          <w:b/>
          <w:bCs/>
          <w:u w:val="single"/>
        </w:rPr>
      </w:pPr>
      <w:r w:rsidRPr="007C0094">
        <w:rPr>
          <w:rStyle w:val="normaltextrun"/>
          <w:rFonts w:ascii="Arial" w:hAnsi="Arial" w:cs="Arial"/>
          <w:b/>
          <w:bCs/>
        </w:rPr>
        <w:t>Limitations</w:t>
      </w:r>
    </w:p>
    <w:p w14:paraId="3DAB1606" w14:textId="77777777" w:rsidR="00A84D47" w:rsidRPr="007C0094" w:rsidRDefault="008C6FA6" w:rsidP="00A84D47">
      <w:pPr>
        <w:pStyle w:val="paragraph"/>
        <w:textAlignment w:val="baseline"/>
        <w:rPr>
          <w:b/>
          <w:bCs/>
        </w:rPr>
      </w:pPr>
      <w:r w:rsidRPr="007C0094">
        <w:rPr>
          <w:rStyle w:val="normaltextrun"/>
          <w:rFonts w:ascii="Arial" w:hAnsi="Arial" w:cs="Arial"/>
          <w:sz w:val="22"/>
          <w:szCs w:val="22"/>
        </w:rPr>
        <w:t xml:space="preserve">The evidence base for managing COVID-19 infections is growing exponentially as we see more cases. For the most up to date information please see the links in the reference section below as our understanding and response to this disease will change over time. Currently we have no facilities for dedicated paediatric intensive care in The Gambia. </w:t>
      </w:r>
    </w:p>
    <w:p w14:paraId="672A6659" w14:textId="77777777" w:rsidR="00A84D47" w:rsidRPr="007C0094" w:rsidRDefault="00A84D47" w:rsidP="00A84D47">
      <w:pPr>
        <w:rPr>
          <w:lang w:val="en-GB"/>
        </w:rPr>
      </w:pPr>
    </w:p>
    <w:p w14:paraId="0A37501D" w14:textId="77777777" w:rsidR="00A84D47" w:rsidRPr="007C0094" w:rsidRDefault="00A84D47">
      <w:pPr>
        <w:spacing w:after="0"/>
        <w:outlineLvl w:val="9"/>
        <w:rPr>
          <w:b/>
          <w:sz w:val="24"/>
          <w:szCs w:val="22"/>
          <w:lang w:val="en-GB"/>
        </w:rPr>
      </w:pPr>
      <w:r w:rsidRPr="007C0094">
        <w:rPr>
          <w:szCs w:val="22"/>
          <w:lang w:val="en-GB"/>
        </w:rPr>
        <w:br w:type="page"/>
      </w:r>
    </w:p>
    <w:p w14:paraId="75395800" w14:textId="77777777" w:rsidR="00975A60" w:rsidRPr="007C0094" w:rsidRDefault="00975A60" w:rsidP="00975A60">
      <w:pPr>
        <w:pStyle w:val="Heading2"/>
        <w:rPr>
          <w:rFonts w:cs="Arial"/>
          <w:szCs w:val="22"/>
          <w:lang w:val="en-GB"/>
        </w:rPr>
      </w:pPr>
      <w:r w:rsidRPr="007C0094">
        <w:rPr>
          <w:rFonts w:cs="Arial"/>
          <w:szCs w:val="22"/>
          <w:lang w:val="en-GB"/>
        </w:rPr>
        <w:lastRenderedPageBreak/>
        <w:t>Presenting symptoms and signs</w:t>
      </w:r>
    </w:p>
    <w:p w14:paraId="4EC5F315" w14:textId="57F5F230" w:rsidR="008C6FA6" w:rsidRPr="007C0094" w:rsidRDefault="008C6FA6" w:rsidP="008C6FA6">
      <w:pPr>
        <w:spacing w:after="0"/>
        <w:rPr>
          <w:lang w:val="en-GB"/>
        </w:rPr>
      </w:pPr>
      <w:r w:rsidRPr="007C0094">
        <w:rPr>
          <w:rStyle w:val="normaltextrun"/>
          <w:rFonts w:eastAsia="Times New Roman"/>
          <w:szCs w:val="22"/>
          <w:lang w:val="en-GB" w:eastAsia="en-GB"/>
        </w:rPr>
        <w:t>Children will most often present with fever and coug</w:t>
      </w:r>
      <w:r w:rsidR="00BC1028">
        <w:rPr>
          <w:rStyle w:val="normaltextrun"/>
          <w:rFonts w:eastAsia="Times New Roman"/>
          <w:szCs w:val="22"/>
          <w:lang w:val="en-GB" w:eastAsia="en-GB"/>
        </w:rPr>
        <w:t>h</w:t>
      </w:r>
      <w:r w:rsidRPr="007C0094">
        <w:rPr>
          <w:rStyle w:val="normaltextrun"/>
          <w:rFonts w:eastAsia="Times New Roman"/>
          <w:szCs w:val="22"/>
          <w:lang w:val="en-GB" w:eastAsia="en-GB"/>
        </w:rPr>
        <w:t>. Other less common symptoms include rhinitis, dy</w:t>
      </w:r>
      <w:r w:rsidR="00D747D6" w:rsidRPr="007C0094">
        <w:rPr>
          <w:rStyle w:val="normaltextrun"/>
          <w:rFonts w:eastAsia="Times New Roman"/>
          <w:szCs w:val="22"/>
          <w:lang w:val="en-GB" w:eastAsia="en-GB"/>
        </w:rPr>
        <w:t>s</w:t>
      </w:r>
      <w:r w:rsidRPr="007C0094">
        <w:rPr>
          <w:rStyle w:val="normaltextrun"/>
          <w:rFonts w:eastAsia="Times New Roman"/>
          <w:szCs w:val="22"/>
          <w:lang w:val="en-GB" w:eastAsia="en-GB"/>
        </w:rPr>
        <w:t>pnoea, cyanosis, fatigue, headache, poor feeding and diarrhoea. Diarrhoea appears to be more common in children. Most children will be asymptomatic or just have mild symptoms and not require admission to hospital. In severe cases it may present as pneumonia, bronchiolitis or sepsis.</w:t>
      </w:r>
    </w:p>
    <w:p w14:paraId="3284646F" w14:textId="77777777" w:rsidR="001203AE" w:rsidRPr="007C0094" w:rsidRDefault="008C6FA6" w:rsidP="001203AE">
      <w:pPr>
        <w:pStyle w:val="Heading3"/>
        <w:rPr>
          <w:lang w:val="en-GB"/>
        </w:rPr>
      </w:pPr>
      <w:r w:rsidRPr="007C0094">
        <w:rPr>
          <w:lang w:val="en-GB"/>
        </w:rPr>
        <w:t>Pneumonia</w:t>
      </w:r>
    </w:p>
    <w:p w14:paraId="6B8C5F48" w14:textId="77777777" w:rsidR="008C6FA6" w:rsidRPr="007C0094" w:rsidRDefault="008C6FA6" w:rsidP="008C6FA6">
      <w:pPr>
        <w:rPr>
          <w:rStyle w:val="normaltextrun"/>
          <w:rFonts w:eastAsia="Times New Roman"/>
          <w:szCs w:val="22"/>
          <w:lang w:val="en-GB" w:eastAsia="en-GB"/>
        </w:rPr>
      </w:pPr>
      <w:r w:rsidRPr="007C0094">
        <w:rPr>
          <w:rStyle w:val="normaltextrun"/>
          <w:rFonts w:eastAsia="Times New Roman"/>
          <w:szCs w:val="22"/>
          <w:lang w:val="en-GB" w:eastAsia="en-GB"/>
        </w:rPr>
        <w:t>Pneumonia is defined as: cough or difficulty breathing AND fast breathing</w:t>
      </w:r>
    </w:p>
    <w:tbl>
      <w:tblPr>
        <w:tblStyle w:val="TableGrid"/>
        <w:tblW w:w="5000" w:type="pct"/>
        <w:tblLook w:val="04A0" w:firstRow="1" w:lastRow="0" w:firstColumn="1" w:lastColumn="0" w:noHBand="0" w:noVBand="1"/>
      </w:tblPr>
      <w:tblGrid>
        <w:gridCol w:w="4742"/>
        <w:gridCol w:w="4114"/>
      </w:tblGrid>
      <w:tr w:rsidR="008C6FA6" w:rsidRPr="007C0094" w14:paraId="764F4351" w14:textId="77777777" w:rsidTr="008C6FA6">
        <w:tc>
          <w:tcPr>
            <w:tcW w:w="5000" w:type="pct"/>
            <w:gridSpan w:val="2"/>
          </w:tcPr>
          <w:p w14:paraId="418973AB" w14:textId="77777777" w:rsidR="008C6FA6" w:rsidRPr="00AA71A7" w:rsidRDefault="008C6FA6" w:rsidP="00B4144F">
            <w:pPr>
              <w:rPr>
                <w:b/>
                <w:bCs/>
                <w:lang w:val="en-GB"/>
              </w:rPr>
            </w:pPr>
            <w:r w:rsidRPr="00AA71A7">
              <w:rPr>
                <w:b/>
                <w:bCs/>
                <w:lang w:val="en-GB"/>
              </w:rPr>
              <w:t>Definition of fast breathing as per WHO</w:t>
            </w:r>
          </w:p>
        </w:tc>
      </w:tr>
      <w:tr w:rsidR="008C6FA6" w:rsidRPr="007C0094" w14:paraId="0C0DF93F" w14:textId="77777777" w:rsidTr="008C6FA6">
        <w:tc>
          <w:tcPr>
            <w:tcW w:w="2677" w:type="pct"/>
          </w:tcPr>
          <w:p w14:paraId="3C4D7CC9" w14:textId="77777777" w:rsidR="008C6FA6" w:rsidRPr="007C0094" w:rsidRDefault="008C6FA6" w:rsidP="00B4144F">
            <w:pPr>
              <w:rPr>
                <w:lang w:val="en-GB"/>
              </w:rPr>
            </w:pPr>
            <w:r w:rsidRPr="007C0094">
              <w:rPr>
                <w:lang w:val="en-GB"/>
              </w:rPr>
              <w:t>&lt;2 months old</w:t>
            </w:r>
          </w:p>
        </w:tc>
        <w:tc>
          <w:tcPr>
            <w:tcW w:w="2323" w:type="pct"/>
          </w:tcPr>
          <w:p w14:paraId="6A4893A5" w14:textId="77777777" w:rsidR="008C6FA6" w:rsidRPr="007C0094" w:rsidRDefault="008C6FA6" w:rsidP="00B4144F">
            <w:pPr>
              <w:rPr>
                <w:lang w:val="en-GB"/>
              </w:rPr>
            </w:pPr>
            <w:r w:rsidRPr="007C0094">
              <w:rPr>
                <w:lang w:val="en-GB"/>
              </w:rPr>
              <w:t>≥ 60 breaths/min</w:t>
            </w:r>
          </w:p>
        </w:tc>
      </w:tr>
      <w:tr w:rsidR="008C6FA6" w:rsidRPr="007C0094" w14:paraId="361B9836" w14:textId="77777777" w:rsidTr="008C6FA6">
        <w:tc>
          <w:tcPr>
            <w:tcW w:w="2677" w:type="pct"/>
          </w:tcPr>
          <w:p w14:paraId="42413E8D" w14:textId="77777777" w:rsidR="008C6FA6" w:rsidRPr="007C0094" w:rsidRDefault="008C6FA6" w:rsidP="00B4144F">
            <w:pPr>
              <w:rPr>
                <w:lang w:val="en-GB"/>
              </w:rPr>
            </w:pPr>
            <w:r w:rsidRPr="007C0094">
              <w:rPr>
                <w:lang w:val="en-GB"/>
              </w:rPr>
              <w:t>2-11 months old</w:t>
            </w:r>
          </w:p>
        </w:tc>
        <w:tc>
          <w:tcPr>
            <w:tcW w:w="2323" w:type="pct"/>
          </w:tcPr>
          <w:p w14:paraId="5079D754" w14:textId="77777777" w:rsidR="008C6FA6" w:rsidRPr="007C0094" w:rsidRDefault="008C6FA6" w:rsidP="00B4144F">
            <w:pPr>
              <w:rPr>
                <w:lang w:val="en-GB"/>
              </w:rPr>
            </w:pPr>
            <w:r w:rsidRPr="007C0094">
              <w:rPr>
                <w:lang w:val="en-GB"/>
              </w:rPr>
              <w:t>≥ 50 breaths/min</w:t>
            </w:r>
          </w:p>
        </w:tc>
      </w:tr>
      <w:tr w:rsidR="008C6FA6" w:rsidRPr="007C0094" w14:paraId="3CB19264" w14:textId="77777777" w:rsidTr="008C6FA6">
        <w:tc>
          <w:tcPr>
            <w:tcW w:w="2677" w:type="pct"/>
          </w:tcPr>
          <w:p w14:paraId="04D6B5A9" w14:textId="77777777" w:rsidR="008C6FA6" w:rsidRPr="007C0094" w:rsidRDefault="008C6FA6" w:rsidP="00B4144F">
            <w:pPr>
              <w:rPr>
                <w:lang w:val="en-GB"/>
              </w:rPr>
            </w:pPr>
            <w:r w:rsidRPr="007C0094">
              <w:rPr>
                <w:lang w:val="en-GB"/>
              </w:rPr>
              <w:t>1-5 years old</w:t>
            </w:r>
          </w:p>
        </w:tc>
        <w:tc>
          <w:tcPr>
            <w:tcW w:w="2323" w:type="pct"/>
          </w:tcPr>
          <w:p w14:paraId="3C2980D9" w14:textId="77777777" w:rsidR="008C6FA6" w:rsidRPr="007C0094" w:rsidRDefault="008C6FA6" w:rsidP="00B4144F">
            <w:pPr>
              <w:rPr>
                <w:lang w:val="en-GB"/>
              </w:rPr>
            </w:pPr>
            <w:r w:rsidRPr="007C0094">
              <w:rPr>
                <w:lang w:val="en-GB"/>
              </w:rPr>
              <w:t>≥ 40 breaths/min</w:t>
            </w:r>
          </w:p>
        </w:tc>
      </w:tr>
      <w:tr w:rsidR="008C6FA6" w:rsidRPr="007C0094" w14:paraId="44D17DAE" w14:textId="77777777" w:rsidTr="008C6FA6">
        <w:tc>
          <w:tcPr>
            <w:tcW w:w="2677" w:type="pct"/>
          </w:tcPr>
          <w:p w14:paraId="30096280" w14:textId="77777777" w:rsidR="008C6FA6" w:rsidRPr="007C0094" w:rsidRDefault="008C6FA6" w:rsidP="00B4144F">
            <w:pPr>
              <w:rPr>
                <w:lang w:val="en-GB"/>
              </w:rPr>
            </w:pPr>
            <w:r w:rsidRPr="007C0094">
              <w:rPr>
                <w:lang w:val="en-GB"/>
              </w:rPr>
              <w:t>&gt; 5 years old</w:t>
            </w:r>
          </w:p>
        </w:tc>
        <w:tc>
          <w:tcPr>
            <w:tcW w:w="2323" w:type="pct"/>
          </w:tcPr>
          <w:p w14:paraId="704246A9" w14:textId="77777777" w:rsidR="008C6FA6" w:rsidRPr="007C0094" w:rsidRDefault="008C6FA6" w:rsidP="00B4144F">
            <w:pPr>
              <w:rPr>
                <w:lang w:val="en-GB"/>
              </w:rPr>
            </w:pPr>
            <w:r w:rsidRPr="007C0094">
              <w:rPr>
                <w:lang w:val="en-GB"/>
              </w:rPr>
              <w:t>&gt;20 breaths/min</w:t>
            </w:r>
          </w:p>
        </w:tc>
      </w:tr>
    </w:tbl>
    <w:p w14:paraId="073176F3" w14:textId="77777777" w:rsidR="00AA71A7" w:rsidRDefault="00AA71A7" w:rsidP="00AA71A7">
      <w:pPr>
        <w:rPr>
          <w:rStyle w:val="normaltextrun"/>
          <w:rFonts w:eastAsia="Times New Roman"/>
          <w:szCs w:val="22"/>
          <w:lang w:val="en-GB" w:eastAsia="en-GB"/>
        </w:rPr>
      </w:pPr>
    </w:p>
    <w:p w14:paraId="733F6357" w14:textId="7CB0015E" w:rsidR="008C6FA6" w:rsidRPr="007C0094" w:rsidRDefault="008C6FA6" w:rsidP="00AA71A7">
      <w:pPr>
        <w:rPr>
          <w:rStyle w:val="normaltextrun"/>
          <w:rFonts w:eastAsia="Times New Roman"/>
          <w:szCs w:val="22"/>
          <w:lang w:val="en-GB" w:eastAsia="en-GB"/>
        </w:rPr>
      </w:pPr>
      <w:r w:rsidRPr="007C0094">
        <w:rPr>
          <w:rStyle w:val="normaltextrun"/>
          <w:rFonts w:eastAsia="Times New Roman"/>
          <w:szCs w:val="22"/>
          <w:lang w:val="en-GB" w:eastAsia="en-GB"/>
        </w:rPr>
        <w:t>Severe pneumonia is defined as:</w:t>
      </w:r>
    </w:p>
    <w:p w14:paraId="6FD239E8" w14:textId="77777777" w:rsidR="008C6FA6" w:rsidRPr="007C0094" w:rsidRDefault="008C6FA6" w:rsidP="00AA71A7">
      <w:pPr>
        <w:rPr>
          <w:rStyle w:val="normaltextrun"/>
          <w:rFonts w:eastAsia="Times New Roman"/>
          <w:szCs w:val="22"/>
          <w:lang w:val="en-GB" w:eastAsia="en-GB"/>
        </w:rPr>
      </w:pPr>
      <w:r w:rsidRPr="007C0094">
        <w:rPr>
          <w:rStyle w:val="normaltextrun"/>
          <w:rFonts w:eastAsia="Times New Roman"/>
          <w:szCs w:val="22"/>
          <w:lang w:val="en-GB" w:eastAsia="en-GB"/>
        </w:rPr>
        <w:t>Cough or difficulty breathing plus at least one of the following:</w:t>
      </w:r>
    </w:p>
    <w:p w14:paraId="35BD49BA" w14:textId="513263B1" w:rsidR="008C6FA6" w:rsidRPr="007C0094" w:rsidRDefault="008C6FA6" w:rsidP="008C6FA6">
      <w:pPr>
        <w:pStyle w:val="ListParagraph"/>
        <w:numPr>
          <w:ilvl w:val="0"/>
          <w:numId w:val="24"/>
        </w:numPr>
        <w:rPr>
          <w:szCs w:val="22"/>
          <w:lang w:val="en-GB"/>
        </w:rPr>
      </w:pPr>
      <w:r w:rsidRPr="007C0094">
        <w:rPr>
          <w:szCs w:val="22"/>
          <w:lang w:val="en-GB"/>
        </w:rPr>
        <w:t>Central cyanosis or SpO2 &lt;</w:t>
      </w:r>
      <w:r w:rsidR="00D747D6" w:rsidRPr="007C0094">
        <w:rPr>
          <w:szCs w:val="22"/>
          <w:lang w:val="en-GB"/>
        </w:rPr>
        <w:t xml:space="preserve"> </w:t>
      </w:r>
      <w:r w:rsidRPr="007C0094">
        <w:rPr>
          <w:szCs w:val="22"/>
          <w:lang w:val="en-GB"/>
        </w:rPr>
        <w:t>90%</w:t>
      </w:r>
    </w:p>
    <w:p w14:paraId="3C73434A" w14:textId="77777777" w:rsidR="008C6FA6" w:rsidRPr="007C0094" w:rsidRDefault="008C6FA6" w:rsidP="008C6FA6">
      <w:pPr>
        <w:pStyle w:val="ListParagraph"/>
        <w:numPr>
          <w:ilvl w:val="0"/>
          <w:numId w:val="24"/>
        </w:numPr>
        <w:rPr>
          <w:szCs w:val="22"/>
          <w:lang w:val="en-GB"/>
        </w:rPr>
      </w:pPr>
      <w:r w:rsidRPr="007C0094">
        <w:rPr>
          <w:szCs w:val="22"/>
          <w:lang w:val="en-GB"/>
        </w:rPr>
        <w:t>Severe respiratory distress (grunting or severe chest indrawing)</w:t>
      </w:r>
    </w:p>
    <w:p w14:paraId="58C18A32" w14:textId="77777777" w:rsidR="008C6FA6" w:rsidRPr="007C0094" w:rsidRDefault="008C6FA6" w:rsidP="008C6FA6">
      <w:pPr>
        <w:pStyle w:val="ListParagraph"/>
        <w:numPr>
          <w:ilvl w:val="0"/>
          <w:numId w:val="24"/>
        </w:numPr>
        <w:rPr>
          <w:szCs w:val="22"/>
          <w:lang w:val="en-GB"/>
        </w:rPr>
      </w:pPr>
      <w:r w:rsidRPr="007C0094">
        <w:rPr>
          <w:szCs w:val="22"/>
          <w:lang w:val="en-GB"/>
        </w:rPr>
        <w:t>Inability to breastfeed or drink</w:t>
      </w:r>
    </w:p>
    <w:p w14:paraId="48B9220A" w14:textId="77777777" w:rsidR="008C6FA6" w:rsidRPr="007C0094" w:rsidRDefault="008C6FA6" w:rsidP="008C6FA6">
      <w:pPr>
        <w:pStyle w:val="ListParagraph"/>
        <w:numPr>
          <w:ilvl w:val="0"/>
          <w:numId w:val="24"/>
        </w:numPr>
        <w:rPr>
          <w:szCs w:val="22"/>
          <w:lang w:val="en-GB"/>
        </w:rPr>
      </w:pPr>
      <w:r w:rsidRPr="007C0094">
        <w:rPr>
          <w:szCs w:val="22"/>
          <w:lang w:val="en-GB"/>
        </w:rPr>
        <w:t>Lethargic or unconscious</w:t>
      </w:r>
    </w:p>
    <w:p w14:paraId="1DB8C478" w14:textId="77777777" w:rsidR="008C6FA6" w:rsidRPr="007C0094" w:rsidRDefault="008C6FA6" w:rsidP="008C6FA6">
      <w:pPr>
        <w:pStyle w:val="ListParagraph"/>
        <w:numPr>
          <w:ilvl w:val="0"/>
          <w:numId w:val="24"/>
        </w:numPr>
        <w:rPr>
          <w:szCs w:val="22"/>
          <w:lang w:val="en-GB"/>
        </w:rPr>
      </w:pPr>
      <w:r w:rsidRPr="007C0094">
        <w:rPr>
          <w:szCs w:val="22"/>
          <w:lang w:val="en-GB"/>
        </w:rPr>
        <w:t xml:space="preserve">Convulsions </w:t>
      </w:r>
    </w:p>
    <w:p w14:paraId="0A23DD2A" w14:textId="77777777" w:rsidR="008C6FA6" w:rsidRPr="007C0094" w:rsidRDefault="008C6FA6" w:rsidP="008C6FA6">
      <w:pPr>
        <w:pStyle w:val="Heading3"/>
        <w:rPr>
          <w:lang w:val="en-GB"/>
        </w:rPr>
      </w:pPr>
      <w:r w:rsidRPr="007C0094">
        <w:rPr>
          <w:lang w:val="en-GB"/>
        </w:rPr>
        <w:t xml:space="preserve">Septic shock </w:t>
      </w:r>
    </w:p>
    <w:p w14:paraId="250F3D80" w14:textId="77777777" w:rsidR="008C6FA6" w:rsidRPr="007C0094" w:rsidRDefault="008C6FA6" w:rsidP="008C6FA6">
      <w:pPr>
        <w:spacing w:after="0"/>
        <w:rPr>
          <w:rStyle w:val="normaltextrun"/>
          <w:rFonts w:eastAsia="Times New Roman"/>
          <w:szCs w:val="22"/>
          <w:lang w:val="en-GB" w:eastAsia="en-GB"/>
        </w:rPr>
      </w:pPr>
      <w:r w:rsidRPr="007C0094">
        <w:rPr>
          <w:rStyle w:val="normaltextrun"/>
          <w:rFonts w:eastAsia="Times New Roman"/>
          <w:szCs w:val="22"/>
          <w:lang w:val="en-GB" w:eastAsia="en-GB"/>
        </w:rPr>
        <w:t>Septic shock is defined in children as:</w:t>
      </w:r>
    </w:p>
    <w:p w14:paraId="6CA7F822" w14:textId="77777777" w:rsidR="008C6FA6" w:rsidRPr="007C0094" w:rsidRDefault="008C6FA6" w:rsidP="008C6FA6">
      <w:pPr>
        <w:pStyle w:val="ListParagraph"/>
        <w:numPr>
          <w:ilvl w:val="0"/>
          <w:numId w:val="24"/>
        </w:numPr>
        <w:rPr>
          <w:szCs w:val="22"/>
          <w:lang w:val="en-GB"/>
        </w:rPr>
      </w:pPr>
      <w:r w:rsidRPr="007C0094">
        <w:rPr>
          <w:szCs w:val="22"/>
          <w:lang w:val="en-GB"/>
        </w:rPr>
        <w:t>Hypotension (systolic blood pressure [SBP] &lt; 5th centile or &gt; 2 SD below normal for age)</w:t>
      </w:r>
    </w:p>
    <w:p w14:paraId="5B2C5192" w14:textId="77777777" w:rsidR="008C6FA6" w:rsidRPr="007C0094" w:rsidRDefault="008C6FA6" w:rsidP="008C6FA6">
      <w:pPr>
        <w:spacing w:after="0"/>
        <w:rPr>
          <w:rFonts w:ascii="Calibri" w:hAnsi="Calibri" w:cs="Calibri"/>
          <w:lang w:val="en-GB"/>
        </w:rPr>
      </w:pPr>
      <w:r w:rsidRPr="007C0094">
        <w:rPr>
          <w:rStyle w:val="normaltextrun"/>
          <w:rFonts w:eastAsia="Times New Roman"/>
          <w:szCs w:val="22"/>
          <w:lang w:val="en-GB" w:eastAsia="en-GB"/>
        </w:rPr>
        <w:t>OR</w:t>
      </w:r>
    </w:p>
    <w:p w14:paraId="6EC6FB41" w14:textId="77777777" w:rsidR="008C6FA6" w:rsidRPr="007C0094" w:rsidRDefault="008C6FA6" w:rsidP="008C6FA6">
      <w:pPr>
        <w:spacing w:after="0"/>
        <w:rPr>
          <w:rStyle w:val="normaltextrun"/>
          <w:rFonts w:eastAsia="Times New Roman"/>
          <w:szCs w:val="22"/>
          <w:lang w:val="en-GB" w:eastAsia="en-GB"/>
        </w:rPr>
      </w:pPr>
      <w:r w:rsidRPr="007C0094">
        <w:rPr>
          <w:rStyle w:val="normaltextrun"/>
          <w:rFonts w:eastAsia="Times New Roman"/>
          <w:szCs w:val="22"/>
          <w:lang w:val="en-GB" w:eastAsia="en-GB"/>
        </w:rPr>
        <w:t xml:space="preserve">Two or more of the following: </w:t>
      </w:r>
    </w:p>
    <w:p w14:paraId="019E03E9" w14:textId="77777777" w:rsidR="008C6FA6" w:rsidRPr="007C0094" w:rsidRDefault="008C6FA6" w:rsidP="008C6FA6">
      <w:pPr>
        <w:pStyle w:val="ListParagraph"/>
        <w:numPr>
          <w:ilvl w:val="0"/>
          <w:numId w:val="24"/>
        </w:numPr>
        <w:rPr>
          <w:szCs w:val="22"/>
          <w:lang w:val="en-GB"/>
        </w:rPr>
      </w:pPr>
      <w:r w:rsidRPr="007C0094">
        <w:rPr>
          <w:szCs w:val="22"/>
          <w:lang w:val="en-GB"/>
        </w:rPr>
        <w:t>Altered mental state</w:t>
      </w:r>
    </w:p>
    <w:p w14:paraId="707C3C4F" w14:textId="77777777" w:rsidR="008C6FA6" w:rsidRPr="007C0094" w:rsidRDefault="008C6FA6" w:rsidP="008C6FA6">
      <w:pPr>
        <w:pStyle w:val="ListParagraph"/>
        <w:numPr>
          <w:ilvl w:val="0"/>
          <w:numId w:val="24"/>
        </w:numPr>
        <w:rPr>
          <w:szCs w:val="22"/>
          <w:lang w:val="en-GB"/>
        </w:rPr>
      </w:pPr>
      <w:r w:rsidRPr="007C0094">
        <w:rPr>
          <w:szCs w:val="22"/>
          <w:lang w:val="en-GB"/>
        </w:rPr>
        <w:t>Bradycardia or tachycardia (HR &lt; 90 bpm or &gt; 160 bpm in infants and HR &lt; 70 bpm or &gt; 150 bpm in children</w:t>
      </w:r>
    </w:p>
    <w:p w14:paraId="08DBD0D0" w14:textId="77777777" w:rsidR="008C6FA6" w:rsidRPr="007C0094" w:rsidRDefault="008C6FA6" w:rsidP="008C6FA6">
      <w:pPr>
        <w:pStyle w:val="ListParagraph"/>
        <w:numPr>
          <w:ilvl w:val="0"/>
          <w:numId w:val="24"/>
        </w:numPr>
        <w:rPr>
          <w:szCs w:val="22"/>
          <w:lang w:val="en-GB"/>
        </w:rPr>
      </w:pPr>
      <w:r w:rsidRPr="007C0094">
        <w:rPr>
          <w:szCs w:val="22"/>
          <w:lang w:val="en-GB"/>
        </w:rPr>
        <w:t>Prolonged capillary refill (&gt; 2 sec) or feeble pulses</w:t>
      </w:r>
    </w:p>
    <w:p w14:paraId="103634FE" w14:textId="29309643" w:rsidR="008C6FA6" w:rsidRPr="007C0094" w:rsidRDefault="008C6FA6" w:rsidP="008C6FA6">
      <w:pPr>
        <w:pStyle w:val="ListParagraph"/>
        <w:numPr>
          <w:ilvl w:val="0"/>
          <w:numId w:val="24"/>
        </w:numPr>
        <w:rPr>
          <w:szCs w:val="22"/>
          <w:lang w:val="en-GB"/>
        </w:rPr>
      </w:pPr>
      <w:r w:rsidRPr="007C0094">
        <w:rPr>
          <w:szCs w:val="22"/>
          <w:lang w:val="en-GB"/>
        </w:rPr>
        <w:t>Tachypn</w:t>
      </w:r>
      <w:r w:rsidR="007C0094">
        <w:rPr>
          <w:szCs w:val="22"/>
          <w:lang w:val="en-GB"/>
        </w:rPr>
        <w:t>o</w:t>
      </w:r>
      <w:r w:rsidRPr="007C0094">
        <w:rPr>
          <w:szCs w:val="22"/>
          <w:lang w:val="en-GB"/>
        </w:rPr>
        <w:t>ea</w:t>
      </w:r>
    </w:p>
    <w:p w14:paraId="752BE08D" w14:textId="77777777" w:rsidR="008C6FA6" w:rsidRPr="007C0094" w:rsidRDefault="008C6FA6" w:rsidP="008C6FA6">
      <w:pPr>
        <w:pStyle w:val="ListParagraph"/>
        <w:numPr>
          <w:ilvl w:val="0"/>
          <w:numId w:val="24"/>
        </w:numPr>
        <w:rPr>
          <w:szCs w:val="22"/>
          <w:lang w:val="en-GB"/>
        </w:rPr>
      </w:pPr>
      <w:r w:rsidRPr="007C0094">
        <w:rPr>
          <w:szCs w:val="22"/>
          <w:lang w:val="en-GB"/>
        </w:rPr>
        <w:t>Mottled or cold skin or petechial or purpuric rash</w:t>
      </w:r>
    </w:p>
    <w:p w14:paraId="1966D4A0" w14:textId="77777777" w:rsidR="008C6FA6" w:rsidRPr="007C0094" w:rsidRDefault="008C6FA6" w:rsidP="008C6FA6">
      <w:pPr>
        <w:pStyle w:val="ListParagraph"/>
        <w:numPr>
          <w:ilvl w:val="0"/>
          <w:numId w:val="24"/>
        </w:numPr>
        <w:rPr>
          <w:szCs w:val="22"/>
          <w:lang w:val="en-GB"/>
        </w:rPr>
      </w:pPr>
      <w:r w:rsidRPr="007C0094">
        <w:rPr>
          <w:szCs w:val="22"/>
          <w:lang w:val="en-GB"/>
        </w:rPr>
        <w:t>Increased lactate (not available at MRC lab)</w:t>
      </w:r>
    </w:p>
    <w:p w14:paraId="39251F92" w14:textId="77777777" w:rsidR="008C6FA6" w:rsidRPr="007C0094" w:rsidRDefault="008C6FA6" w:rsidP="008C6FA6">
      <w:pPr>
        <w:pStyle w:val="ListParagraph"/>
        <w:numPr>
          <w:ilvl w:val="0"/>
          <w:numId w:val="24"/>
        </w:numPr>
        <w:rPr>
          <w:szCs w:val="22"/>
          <w:lang w:val="en-GB"/>
        </w:rPr>
      </w:pPr>
      <w:r w:rsidRPr="007C0094">
        <w:rPr>
          <w:szCs w:val="22"/>
          <w:lang w:val="en-GB"/>
        </w:rPr>
        <w:t>Oliguria</w:t>
      </w:r>
    </w:p>
    <w:p w14:paraId="4609EE96" w14:textId="77777777" w:rsidR="008C6FA6" w:rsidRPr="007C0094" w:rsidRDefault="008C6FA6" w:rsidP="008C6FA6">
      <w:pPr>
        <w:pStyle w:val="ListParagraph"/>
        <w:numPr>
          <w:ilvl w:val="0"/>
          <w:numId w:val="24"/>
        </w:numPr>
        <w:rPr>
          <w:szCs w:val="22"/>
          <w:lang w:val="en-GB"/>
        </w:rPr>
      </w:pPr>
      <w:r w:rsidRPr="007C0094">
        <w:rPr>
          <w:szCs w:val="22"/>
          <w:lang w:val="en-GB"/>
        </w:rPr>
        <w:t>Hyperthermia or hypothermia.</w:t>
      </w:r>
    </w:p>
    <w:p w14:paraId="7D2E4B28" w14:textId="77777777" w:rsidR="00AA71A7" w:rsidRDefault="00AA71A7">
      <w:pPr>
        <w:spacing w:after="0"/>
        <w:outlineLvl w:val="9"/>
        <w:rPr>
          <w:b/>
          <w:sz w:val="24"/>
          <w:szCs w:val="22"/>
          <w:lang w:val="en-GB"/>
        </w:rPr>
      </w:pPr>
      <w:r>
        <w:rPr>
          <w:szCs w:val="22"/>
          <w:lang w:val="en-GB"/>
        </w:rPr>
        <w:br w:type="page"/>
      </w:r>
    </w:p>
    <w:p w14:paraId="30E10765" w14:textId="0FAD0F3D" w:rsidR="00975A60" w:rsidRPr="007C0094" w:rsidRDefault="00975A60" w:rsidP="00975A60">
      <w:pPr>
        <w:pStyle w:val="Heading2"/>
        <w:rPr>
          <w:rFonts w:cs="Arial"/>
          <w:szCs w:val="22"/>
          <w:lang w:val="en-GB"/>
        </w:rPr>
      </w:pPr>
      <w:r w:rsidRPr="007C0094">
        <w:rPr>
          <w:rFonts w:cs="Arial"/>
          <w:szCs w:val="22"/>
          <w:lang w:val="en-GB"/>
        </w:rPr>
        <w:lastRenderedPageBreak/>
        <w:t>Examination findings</w:t>
      </w:r>
    </w:p>
    <w:p w14:paraId="7BD05F36" w14:textId="7590EDDE" w:rsidR="008C6FA6" w:rsidRPr="007C0094" w:rsidRDefault="008C6FA6" w:rsidP="008C6FA6">
      <w:pPr>
        <w:rPr>
          <w:lang w:val="en-GB"/>
        </w:rPr>
      </w:pPr>
      <w:r w:rsidRPr="007C0094">
        <w:rPr>
          <w:rStyle w:val="normaltextrun"/>
          <w:rFonts w:eastAsia="Times New Roman"/>
          <w:lang w:val="en-GB" w:eastAsia="en-GB"/>
        </w:rPr>
        <w:t xml:space="preserve">Do not routinely examine ANY children’s throats during the COVID-19 pandemic as there are likely to be asymptomatic patients with pharyngeal carriage which increases exposure for healthcare professionals. It is reasonable to prescribe antibiotics for a possible streptococcal infection </w:t>
      </w:r>
      <w:proofErr w:type="gramStart"/>
      <w:r w:rsidRPr="007C0094">
        <w:rPr>
          <w:rStyle w:val="normaltextrun"/>
          <w:rFonts w:eastAsia="Times New Roman"/>
          <w:lang w:val="en-GB" w:eastAsia="en-GB"/>
        </w:rPr>
        <w:t>on the basis of</w:t>
      </w:r>
      <w:proofErr w:type="gramEnd"/>
      <w:r w:rsidRPr="007C0094">
        <w:rPr>
          <w:rStyle w:val="normaltextrun"/>
          <w:rFonts w:eastAsia="Times New Roman"/>
          <w:lang w:val="en-GB" w:eastAsia="en-GB"/>
        </w:rPr>
        <w:t xml:space="preserve"> history alone at this time</w:t>
      </w:r>
      <w:r w:rsidRPr="007C0094">
        <w:rPr>
          <w:lang w:val="en-GB"/>
        </w:rPr>
        <w:t>.</w:t>
      </w:r>
    </w:p>
    <w:p w14:paraId="184D9959" w14:textId="77777777" w:rsidR="008C6FA6" w:rsidRPr="007C0094" w:rsidRDefault="008C6FA6" w:rsidP="008C6FA6">
      <w:pPr>
        <w:spacing w:before="240"/>
        <w:rPr>
          <w:lang w:val="en-GB"/>
        </w:rPr>
      </w:pPr>
      <w:r w:rsidRPr="007C0094">
        <w:rPr>
          <w:lang w:val="en-GB"/>
        </w:rPr>
        <w:t>Although most children will only have mild symptoms, it is important to specifically assess their:</w:t>
      </w:r>
    </w:p>
    <w:p w14:paraId="19A3D727" w14:textId="77777777" w:rsidR="008C6FA6" w:rsidRPr="007C0094" w:rsidRDefault="008C6FA6" w:rsidP="008C6FA6">
      <w:pPr>
        <w:pStyle w:val="ListParagraph"/>
        <w:numPr>
          <w:ilvl w:val="0"/>
          <w:numId w:val="24"/>
        </w:numPr>
        <w:rPr>
          <w:szCs w:val="22"/>
          <w:lang w:val="en-GB"/>
        </w:rPr>
      </w:pPr>
      <w:r w:rsidRPr="007C0094">
        <w:rPr>
          <w:szCs w:val="22"/>
          <w:lang w:val="en-GB"/>
        </w:rPr>
        <w:t>Breathing: Respiratory rate, work of breathing, presence of severe chest indrawing, SpO2 level</w:t>
      </w:r>
    </w:p>
    <w:p w14:paraId="5E3045DD" w14:textId="7FA8E895" w:rsidR="008C6FA6" w:rsidRPr="007C0094" w:rsidRDefault="008C6FA6" w:rsidP="008C6FA6">
      <w:pPr>
        <w:pStyle w:val="ListParagraph"/>
        <w:numPr>
          <w:ilvl w:val="0"/>
          <w:numId w:val="24"/>
        </w:numPr>
        <w:rPr>
          <w:szCs w:val="22"/>
          <w:lang w:val="en-GB"/>
        </w:rPr>
      </w:pPr>
      <w:r w:rsidRPr="007C0094">
        <w:rPr>
          <w:szCs w:val="22"/>
          <w:lang w:val="en-GB"/>
        </w:rPr>
        <w:t>Circulation: Heart rate, central capillary re-fill time, BP if available</w:t>
      </w:r>
    </w:p>
    <w:p w14:paraId="5FADA543" w14:textId="77777777" w:rsidR="008C6FA6" w:rsidRPr="007C0094" w:rsidRDefault="008C6FA6" w:rsidP="008C6FA6">
      <w:pPr>
        <w:pStyle w:val="ListParagraph"/>
        <w:numPr>
          <w:ilvl w:val="0"/>
          <w:numId w:val="24"/>
        </w:numPr>
        <w:rPr>
          <w:szCs w:val="22"/>
          <w:lang w:val="en-GB"/>
        </w:rPr>
      </w:pPr>
      <w:r w:rsidRPr="007C0094">
        <w:rPr>
          <w:szCs w:val="22"/>
          <w:lang w:val="en-GB"/>
        </w:rPr>
        <w:t>Hydration: Skin turgor, anterior fontanelle, mucous membranes</w:t>
      </w:r>
    </w:p>
    <w:p w14:paraId="39A38185" w14:textId="77777777" w:rsidR="008C6FA6" w:rsidRPr="007C0094" w:rsidRDefault="008C6FA6" w:rsidP="008C6FA6">
      <w:pPr>
        <w:pStyle w:val="ListParagraph"/>
        <w:numPr>
          <w:ilvl w:val="0"/>
          <w:numId w:val="24"/>
        </w:numPr>
        <w:rPr>
          <w:szCs w:val="22"/>
          <w:lang w:val="en-GB"/>
        </w:rPr>
      </w:pPr>
      <w:r w:rsidRPr="007C0094">
        <w:rPr>
          <w:szCs w:val="22"/>
          <w:lang w:val="en-GB"/>
        </w:rPr>
        <w:t>Temperature and features of sepsis</w:t>
      </w:r>
    </w:p>
    <w:p w14:paraId="5DAB6C7B" w14:textId="2A54CA7A" w:rsidR="008C6FA6" w:rsidRPr="007C0094" w:rsidRDefault="008C6FA6" w:rsidP="008C6FA6">
      <w:pPr>
        <w:pStyle w:val="ListParagraph"/>
        <w:numPr>
          <w:ilvl w:val="0"/>
          <w:numId w:val="24"/>
        </w:numPr>
        <w:rPr>
          <w:szCs w:val="22"/>
          <w:lang w:val="en-GB"/>
        </w:rPr>
      </w:pPr>
      <w:r w:rsidRPr="007C0094">
        <w:rPr>
          <w:szCs w:val="22"/>
          <w:lang w:val="en-GB"/>
        </w:rPr>
        <w:t xml:space="preserve">Blood glucose level if history of poor feeding or vomiting </w:t>
      </w:r>
    </w:p>
    <w:p w14:paraId="6EC721CF" w14:textId="77777777" w:rsidR="008C6FA6" w:rsidRPr="007C0094" w:rsidRDefault="008C6FA6" w:rsidP="008C6FA6">
      <w:pPr>
        <w:pStyle w:val="Heading2"/>
        <w:rPr>
          <w:rFonts w:cs="Arial"/>
          <w:szCs w:val="22"/>
          <w:lang w:val="en-GB"/>
        </w:rPr>
      </w:pPr>
      <w:r w:rsidRPr="007C0094">
        <w:rPr>
          <w:rFonts w:cs="Arial"/>
          <w:szCs w:val="22"/>
          <w:lang w:val="en-GB"/>
        </w:rPr>
        <w:t>Investigations</w:t>
      </w:r>
    </w:p>
    <w:p w14:paraId="4C95D10B" w14:textId="24016904" w:rsidR="008C6FA6" w:rsidRPr="007C0094" w:rsidRDefault="008C6FA6" w:rsidP="00984199">
      <w:pPr>
        <w:rPr>
          <w:lang w:val="en-GB"/>
        </w:rPr>
      </w:pPr>
      <w:r w:rsidRPr="007C0094">
        <w:rPr>
          <w:lang w:val="en-GB"/>
        </w:rPr>
        <w:t>Please see SOP</w:t>
      </w:r>
      <w:r w:rsidR="00F91B08">
        <w:rPr>
          <w:lang w:val="en-GB"/>
        </w:rPr>
        <w:t>-AIR-007</w:t>
      </w:r>
      <w:r w:rsidRPr="007C0094">
        <w:rPr>
          <w:lang w:val="en-GB"/>
        </w:rPr>
        <w:t xml:space="preserve"> for how to do nasopharyngeal and throat swab</w:t>
      </w:r>
      <w:r w:rsidR="00F91B08">
        <w:rPr>
          <w:lang w:val="en-GB"/>
        </w:rPr>
        <w:t>s</w:t>
      </w:r>
      <w:r w:rsidRPr="007C0094">
        <w:rPr>
          <w:lang w:val="en-GB"/>
        </w:rPr>
        <w:t xml:space="preserve"> to confirm infection.</w:t>
      </w:r>
    </w:p>
    <w:p w14:paraId="2811CE12" w14:textId="77777777" w:rsidR="008C6FA6" w:rsidRPr="007C0094" w:rsidRDefault="008C6FA6" w:rsidP="0051779E">
      <w:pPr>
        <w:pStyle w:val="Heading3"/>
        <w:rPr>
          <w:lang w:val="en-GB"/>
        </w:rPr>
      </w:pPr>
      <w:r w:rsidRPr="007C0094">
        <w:rPr>
          <w:lang w:val="en-GB"/>
        </w:rPr>
        <w:t>Well child</w:t>
      </w:r>
    </w:p>
    <w:p w14:paraId="653C27C7" w14:textId="77777777" w:rsidR="008C6FA6" w:rsidRPr="007C0094" w:rsidRDefault="008C6FA6" w:rsidP="00984199">
      <w:pPr>
        <w:rPr>
          <w:lang w:val="en-GB"/>
        </w:rPr>
      </w:pPr>
      <w:r w:rsidRPr="007C0094">
        <w:rPr>
          <w:lang w:val="en-GB"/>
        </w:rPr>
        <w:t>There is no need to do any investigations for a child with confirmed COVID-19 who is well with mild symptoms.</w:t>
      </w:r>
    </w:p>
    <w:p w14:paraId="5C029601" w14:textId="77777777" w:rsidR="008C6FA6" w:rsidRPr="007C0094" w:rsidRDefault="008C6FA6" w:rsidP="0051779E">
      <w:pPr>
        <w:pStyle w:val="Heading3"/>
        <w:rPr>
          <w:lang w:val="en-GB"/>
        </w:rPr>
      </w:pPr>
      <w:r w:rsidRPr="007C0094">
        <w:rPr>
          <w:lang w:val="en-GB"/>
        </w:rPr>
        <w:t xml:space="preserve">Unwell child </w:t>
      </w:r>
    </w:p>
    <w:p w14:paraId="6F843185" w14:textId="1DBDAB58" w:rsidR="008C6FA6" w:rsidRPr="007C0094" w:rsidRDefault="008C6FA6" w:rsidP="00984199">
      <w:pPr>
        <w:rPr>
          <w:lang w:val="en-GB"/>
        </w:rPr>
      </w:pPr>
      <w:r w:rsidRPr="007C0094">
        <w:rPr>
          <w:lang w:val="en-GB"/>
        </w:rPr>
        <w:t>If the child looks unwell (specifically with persistent fever, dehydration or suspected sepsis, signs of liver dysfunction or respiratory failure) then they should be investigated with full blood count, blood culture and renal function tests.</w:t>
      </w:r>
    </w:p>
    <w:p w14:paraId="17D2D50E" w14:textId="10631F38" w:rsidR="008C6FA6" w:rsidRPr="007C0094" w:rsidRDefault="008C6FA6" w:rsidP="00984199">
      <w:pPr>
        <w:rPr>
          <w:lang w:val="en-GB"/>
        </w:rPr>
      </w:pPr>
      <w:r w:rsidRPr="007C0094">
        <w:rPr>
          <w:lang w:val="en-GB"/>
        </w:rPr>
        <w:t>In COVID-19 you would typically see normal or reduced white cell count with low neutrophil and/or lymphocyte counts. Some patients will also have low platelets too. In severe cases there may be elevated liver enzymes, if these persist then check coagulation as this may also be deranged. Liver function tests should not routinely be checked.</w:t>
      </w:r>
    </w:p>
    <w:p w14:paraId="6073F3EF" w14:textId="1158FBB9" w:rsidR="008C6FA6" w:rsidRPr="007C0094" w:rsidRDefault="008C6FA6" w:rsidP="00984199">
      <w:pPr>
        <w:rPr>
          <w:szCs w:val="22"/>
          <w:lang w:val="en-GB"/>
        </w:rPr>
      </w:pPr>
      <w:r w:rsidRPr="007C0094">
        <w:rPr>
          <w:lang w:val="en-GB"/>
        </w:rPr>
        <w:t xml:space="preserve">Radiological changes in children may be non-specific. Chest X-rays may show bilateral patchy airspace consolidation at the periphery of the lungs, </w:t>
      </w:r>
      <w:proofErr w:type="spellStart"/>
      <w:r w:rsidRPr="007C0094">
        <w:rPr>
          <w:lang w:val="en-GB"/>
        </w:rPr>
        <w:t>peribronchial</w:t>
      </w:r>
      <w:proofErr w:type="spellEnd"/>
      <w:r w:rsidRPr="007C0094">
        <w:rPr>
          <w:lang w:val="en-GB"/>
        </w:rPr>
        <w:t xml:space="preserve"> thickening and ground-glass opacities. Chest CT shows airspace consolidations and ground-glass opacities. </w:t>
      </w:r>
    </w:p>
    <w:p w14:paraId="1EC7E080" w14:textId="77777777" w:rsidR="00F03F25" w:rsidRPr="007C0094" w:rsidRDefault="001203AE" w:rsidP="002A2856">
      <w:pPr>
        <w:pStyle w:val="Heading2"/>
        <w:rPr>
          <w:rFonts w:cs="Arial"/>
          <w:szCs w:val="22"/>
          <w:lang w:val="en-GB"/>
        </w:rPr>
      </w:pPr>
      <w:r w:rsidRPr="007C0094">
        <w:rPr>
          <w:rFonts w:cs="Arial"/>
          <w:szCs w:val="22"/>
          <w:lang w:val="en-GB"/>
        </w:rPr>
        <w:t xml:space="preserve">Management </w:t>
      </w:r>
    </w:p>
    <w:p w14:paraId="7010F232" w14:textId="77777777" w:rsidR="00984199" w:rsidRPr="007C0094" w:rsidRDefault="00984199" w:rsidP="00984199">
      <w:pPr>
        <w:rPr>
          <w:lang w:val="en-GB"/>
        </w:rPr>
      </w:pPr>
      <w:proofErr w:type="gramStart"/>
      <w:r w:rsidRPr="007C0094">
        <w:rPr>
          <w:lang w:val="en-GB"/>
        </w:rPr>
        <w:t>The majority of</w:t>
      </w:r>
      <w:proofErr w:type="gramEnd"/>
      <w:r w:rsidRPr="007C0094">
        <w:rPr>
          <w:lang w:val="en-GB"/>
        </w:rPr>
        <w:t xml:space="preserve"> children with confirmed COVID-19 can be managed at home with good advice on hand hygiene, self-isolation and staying well hydrated. Hospital admission should be avoided wherever possible and is only indicated if the child requires oxygen therapy, feeding or fluid support or has a suspected bacterial infection.</w:t>
      </w:r>
    </w:p>
    <w:p w14:paraId="2ED1632A" w14:textId="77777777" w:rsidR="00AA71A7" w:rsidRDefault="00AA71A7">
      <w:pPr>
        <w:spacing w:after="0"/>
        <w:outlineLvl w:val="9"/>
        <w:rPr>
          <w:rFonts w:eastAsia="Times New Roman" w:cs="Times New Roman"/>
          <w:b/>
          <w:bCs/>
          <w:szCs w:val="26"/>
          <w:u w:val="single"/>
          <w:lang w:val="en-GB"/>
        </w:rPr>
      </w:pPr>
      <w:r>
        <w:rPr>
          <w:lang w:val="en-GB"/>
        </w:rPr>
        <w:br w:type="page"/>
      </w:r>
    </w:p>
    <w:p w14:paraId="11E8936B" w14:textId="74063FFB" w:rsidR="00984199" w:rsidRPr="007C0094" w:rsidRDefault="00984199" w:rsidP="0051779E">
      <w:pPr>
        <w:pStyle w:val="Heading3"/>
        <w:rPr>
          <w:lang w:val="en-GB"/>
        </w:rPr>
      </w:pPr>
      <w:r w:rsidRPr="007C0094">
        <w:rPr>
          <w:lang w:val="en-GB"/>
        </w:rPr>
        <w:lastRenderedPageBreak/>
        <w:t>Respiratory Care</w:t>
      </w:r>
    </w:p>
    <w:p w14:paraId="75B953D2" w14:textId="1ECCD9F5" w:rsidR="00984199" w:rsidRPr="007C0094" w:rsidRDefault="00984199" w:rsidP="00984199">
      <w:pPr>
        <w:pStyle w:val="ListParagraph"/>
        <w:numPr>
          <w:ilvl w:val="0"/>
          <w:numId w:val="24"/>
        </w:numPr>
        <w:rPr>
          <w:szCs w:val="22"/>
          <w:lang w:val="en-GB"/>
        </w:rPr>
      </w:pPr>
      <w:r w:rsidRPr="007C0094">
        <w:rPr>
          <w:lang w:val="en-GB"/>
        </w:rPr>
        <w:t xml:space="preserve">Oxygen </w:t>
      </w:r>
      <w:r w:rsidRPr="007C0094">
        <w:rPr>
          <w:szCs w:val="22"/>
          <w:lang w:val="en-GB"/>
        </w:rPr>
        <w:t>therapy should be given if SpO2 &lt;</w:t>
      </w:r>
      <w:r w:rsidR="007C0094" w:rsidRPr="007C0094">
        <w:rPr>
          <w:szCs w:val="22"/>
          <w:lang w:val="en-GB"/>
        </w:rPr>
        <w:t xml:space="preserve"> </w:t>
      </w:r>
      <w:r w:rsidRPr="007C0094">
        <w:rPr>
          <w:szCs w:val="22"/>
          <w:lang w:val="en-GB"/>
        </w:rPr>
        <w:t>90%.</w:t>
      </w:r>
    </w:p>
    <w:p w14:paraId="22BAC05A" w14:textId="11E87B3F" w:rsidR="00984199" w:rsidRPr="007C0094" w:rsidRDefault="00984199" w:rsidP="00984199">
      <w:pPr>
        <w:pStyle w:val="ListParagraph"/>
        <w:numPr>
          <w:ilvl w:val="0"/>
          <w:numId w:val="24"/>
        </w:numPr>
        <w:rPr>
          <w:szCs w:val="22"/>
          <w:lang w:val="en-GB"/>
        </w:rPr>
      </w:pPr>
      <w:r w:rsidRPr="007C0094">
        <w:rPr>
          <w:szCs w:val="22"/>
          <w:lang w:val="en-GB"/>
        </w:rPr>
        <w:t>If signs of severe pneumonia, shock, coma or convulsion aim for SpO2 ≥</w:t>
      </w:r>
      <w:r w:rsidR="007C0094" w:rsidRPr="007C0094">
        <w:rPr>
          <w:szCs w:val="22"/>
          <w:lang w:val="en-GB"/>
        </w:rPr>
        <w:t xml:space="preserve"> </w:t>
      </w:r>
      <w:r w:rsidRPr="007C0094">
        <w:rPr>
          <w:szCs w:val="22"/>
          <w:lang w:val="en-GB"/>
        </w:rPr>
        <w:t>94%.</w:t>
      </w:r>
    </w:p>
    <w:p w14:paraId="72613714" w14:textId="77777777" w:rsidR="00984199" w:rsidRPr="007C0094" w:rsidRDefault="00984199" w:rsidP="00984199">
      <w:pPr>
        <w:pStyle w:val="ListParagraph"/>
        <w:numPr>
          <w:ilvl w:val="0"/>
          <w:numId w:val="24"/>
        </w:numPr>
        <w:rPr>
          <w:lang w:val="en-GB"/>
        </w:rPr>
      </w:pPr>
      <w:r w:rsidRPr="007C0094">
        <w:rPr>
          <w:szCs w:val="22"/>
          <w:lang w:val="en-GB"/>
        </w:rPr>
        <w:t>Infants and young children can use nasal prongs or cannula (maximum flow rate 2L/min). Older children and adolescents should receive oxygen via a face mask. Face masks with reservoir bags should be reserved for those with severe disease to deliver 10 – 15 L/min. Head boxes or other devices to maximise oxygen delivery should be</w:t>
      </w:r>
      <w:r w:rsidRPr="007C0094">
        <w:rPr>
          <w:lang w:val="en-GB"/>
        </w:rPr>
        <w:t xml:space="preserve"> used where possible.</w:t>
      </w:r>
    </w:p>
    <w:p w14:paraId="7368E1F4" w14:textId="45B16F6D" w:rsidR="00984199" w:rsidRPr="007C0094" w:rsidRDefault="00984199" w:rsidP="00984199">
      <w:pPr>
        <w:pStyle w:val="ListParagraph"/>
        <w:numPr>
          <w:ilvl w:val="0"/>
          <w:numId w:val="24"/>
        </w:numPr>
        <w:rPr>
          <w:szCs w:val="22"/>
          <w:lang w:val="en-GB"/>
        </w:rPr>
      </w:pPr>
      <w:r w:rsidRPr="007C0094">
        <w:rPr>
          <w:lang w:val="en-GB"/>
        </w:rPr>
        <w:t xml:space="preserve">CPAP </w:t>
      </w:r>
      <w:r w:rsidRPr="007C0094">
        <w:rPr>
          <w:szCs w:val="22"/>
          <w:lang w:val="en-GB"/>
        </w:rPr>
        <w:t>is not currently available for children with confirmed or suspected COVID-19</w:t>
      </w:r>
      <w:r w:rsidR="00BC1028">
        <w:rPr>
          <w:szCs w:val="22"/>
          <w:lang w:val="en-GB"/>
        </w:rPr>
        <w:t>.</w:t>
      </w:r>
    </w:p>
    <w:p w14:paraId="0A116AE4" w14:textId="38B1EC6B" w:rsidR="00984199" w:rsidRPr="007C0094" w:rsidRDefault="00984199" w:rsidP="00984199">
      <w:pPr>
        <w:pStyle w:val="ListParagraph"/>
        <w:numPr>
          <w:ilvl w:val="0"/>
          <w:numId w:val="24"/>
        </w:numPr>
        <w:rPr>
          <w:lang w:val="en-GB"/>
        </w:rPr>
      </w:pPr>
      <w:r w:rsidRPr="007C0094">
        <w:rPr>
          <w:lang w:val="en-GB"/>
        </w:rPr>
        <w:t xml:space="preserve">Children with asthma should be treated as usual but with salbutamol given via a spacer rather than nebulized to reduce the risk of </w:t>
      </w:r>
      <w:proofErr w:type="spellStart"/>
      <w:r w:rsidRPr="007C0094">
        <w:rPr>
          <w:lang w:val="en-GB"/>
        </w:rPr>
        <w:t>aero</w:t>
      </w:r>
      <w:r w:rsidR="0085E36D" w:rsidRPr="007C0094">
        <w:rPr>
          <w:lang w:val="en-GB"/>
        </w:rPr>
        <w:t>so</w:t>
      </w:r>
      <w:r w:rsidRPr="007C0094">
        <w:rPr>
          <w:lang w:val="en-GB"/>
        </w:rPr>
        <w:t>lisation</w:t>
      </w:r>
      <w:proofErr w:type="spellEnd"/>
      <w:r w:rsidRPr="007C0094">
        <w:rPr>
          <w:lang w:val="en-GB"/>
        </w:rPr>
        <w:t xml:space="preserve"> of COVID-19. Oral steroids should be used as normal for children with asthma.</w:t>
      </w:r>
    </w:p>
    <w:p w14:paraId="26B1187F" w14:textId="77777777" w:rsidR="00984199" w:rsidRPr="007C0094" w:rsidRDefault="00984199" w:rsidP="00984199">
      <w:pPr>
        <w:pStyle w:val="ListParagraph"/>
        <w:numPr>
          <w:ilvl w:val="0"/>
          <w:numId w:val="24"/>
        </w:numPr>
        <w:rPr>
          <w:lang w:val="en-GB"/>
        </w:rPr>
      </w:pPr>
      <w:r w:rsidRPr="007C0094">
        <w:rPr>
          <w:szCs w:val="22"/>
          <w:lang w:val="en-GB"/>
        </w:rPr>
        <w:t>Diagnosis of Acute Respiratory Distress Syndrome (ARDS) is based on ventilatory or oxygen</w:t>
      </w:r>
      <w:r w:rsidRPr="007C0094">
        <w:rPr>
          <w:lang w:val="en-GB"/>
        </w:rPr>
        <w:t xml:space="preserve"> requirements, which is not available in our setting.</w:t>
      </w:r>
    </w:p>
    <w:p w14:paraId="61D3548E" w14:textId="77777777" w:rsidR="00984199" w:rsidRPr="007C0094" w:rsidRDefault="00984199" w:rsidP="0051779E">
      <w:pPr>
        <w:pStyle w:val="Heading3"/>
        <w:rPr>
          <w:lang w:val="en-GB"/>
        </w:rPr>
      </w:pPr>
      <w:r w:rsidRPr="007C0094">
        <w:rPr>
          <w:lang w:val="en-GB"/>
        </w:rPr>
        <w:t>Supportive Care</w:t>
      </w:r>
    </w:p>
    <w:p w14:paraId="1D67F7F5" w14:textId="77777777" w:rsidR="00984199" w:rsidRPr="007C0094" w:rsidRDefault="00984199" w:rsidP="00984199">
      <w:pPr>
        <w:rPr>
          <w:lang w:val="en-GB"/>
        </w:rPr>
      </w:pPr>
      <w:r w:rsidRPr="007C0094">
        <w:rPr>
          <w:lang w:val="en-GB"/>
        </w:rPr>
        <w:t>Feeding and hydration are very important. If a child is not feeding well then nasogastric feeds or fluids should be considered before IV fluids.</w:t>
      </w:r>
    </w:p>
    <w:p w14:paraId="4CC817E4" w14:textId="6AEE91E2" w:rsidR="00984199" w:rsidRPr="007C0094" w:rsidRDefault="00984199" w:rsidP="00984199">
      <w:pPr>
        <w:rPr>
          <w:lang w:val="en-GB"/>
        </w:rPr>
      </w:pPr>
      <w:r w:rsidRPr="6F2926D3">
        <w:rPr>
          <w:lang w:val="en-GB"/>
        </w:rPr>
        <w:t>If IV fluids are required for fluid resuscitation of a child or infant with COVID</w:t>
      </w:r>
      <w:r w:rsidR="00BC1028" w:rsidRPr="6F2926D3">
        <w:rPr>
          <w:lang w:val="en-GB"/>
        </w:rPr>
        <w:t>-</w:t>
      </w:r>
      <w:r w:rsidRPr="6F2926D3">
        <w:rPr>
          <w:lang w:val="en-GB"/>
        </w:rPr>
        <w:t>19 and sepsis then Ringer’s Lactate given at maintenance volume would be first choice unless there is hypotension or poor perfusion. If hypotension or poor perfusion is present then Ringers Lactate should be given cautiously at 10-20</w:t>
      </w:r>
      <w:r w:rsidR="00F91B08" w:rsidRPr="6F2926D3">
        <w:rPr>
          <w:lang w:val="en-GB"/>
        </w:rPr>
        <w:t xml:space="preserve"> </w:t>
      </w:r>
      <w:r w:rsidRPr="6F2926D3">
        <w:rPr>
          <w:lang w:val="en-GB"/>
        </w:rPr>
        <w:t>ml/kg over 30-60 minutes to a maximum of 40</w:t>
      </w:r>
      <w:r w:rsidR="00F91B08" w:rsidRPr="6F2926D3">
        <w:rPr>
          <w:lang w:val="en-GB"/>
        </w:rPr>
        <w:t xml:space="preserve"> </w:t>
      </w:r>
      <w:r w:rsidRPr="6F2926D3">
        <w:rPr>
          <w:lang w:val="en-GB"/>
        </w:rPr>
        <w:t>ml/kg. If Ringers Lactate is unavailable then 0.9% normal saline, 0.9%/5% dextrose saline or 5% dextrose could be used depending on availability. There are concerns about liberal fluid use in severe COVID-19 being associated with poorer outcomes.</w:t>
      </w:r>
    </w:p>
    <w:p w14:paraId="51E7E3AE" w14:textId="77777777" w:rsidR="00984199" w:rsidRPr="007C0094" w:rsidRDefault="00984199" w:rsidP="00984199">
      <w:pPr>
        <w:spacing w:before="240"/>
        <w:rPr>
          <w:lang w:val="en-GB"/>
        </w:rPr>
      </w:pPr>
      <w:r w:rsidRPr="007C0094">
        <w:rPr>
          <w:lang w:val="en-GB"/>
        </w:rPr>
        <w:t>Maintenance Fluids for Infants and Children</w:t>
      </w:r>
    </w:p>
    <w:p w14:paraId="59AAF6FF" w14:textId="55E9E436" w:rsidR="00984199" w:rsidRPr="007C0094" w:rsidRDefault="00984199" w:rsidP="00984199">
      <w:pPr>
        <w:pStyle w:val="ListParagraph"/>
        <w:numPr>
          <w:ilvl w:val="0"/>
          <w:numId w:val="24"/>
        </w:numPr>
        <w:rPr>
          <w:szCs w:val="22"/>
          <w:lang w:val="en-GB"/>
        </w:rPr>
      </w:pPr>
      <w:r w:rsidRPr="007C0094">
        <w:rPr>
          <w:szCs w:val="22"/>
          <w:lang w:val="en-GB"/>
        </w:rPr>
        <w:t>100</w:t>
      </w:r>
      <w:r w:rsidR="00BC1028">
        <w:rPr>
          <w:szCs w:val="22"/>
          <w:lang w:val="en-GB"/>
        </w:rPr>
        <w:t xml:space="preserve"> </w:t>
      </w:r>
      <w:r w:rsidRPr="007C0094">
        <w:rPr>
          <w:szCs w:val="22"/>
          <w:lang w:val="en-GB"/>
        </w:rPr>
        <w:t>ml/kg/day for the first 10</w:t>
      </w:r>
      <w:r w:rsidR="00BC1028">
        <w:rPr>
          <w:szCs w:val="22"/>
          <w:lang w:val="en-GB"/>
        </w:rPr>
        <w:t xml:space="preserve"> </w:t>
      </w:r>
      <w:r w:rsidRPr="007C0094">
        <w:rPr>
          <w:szCs w:val="22"/>
          <w:lang w:val="en-GB"/>
        </w:rPr>
        <w:t>kg of weight</w:t>
      </w:r>
    </w:p>
    <w:p w14:paraId="199B3073" w14:textId="08E4D711" w:rsidR="00984199" w:rsidRPr="007C0094" w:rsidRDefault="00984199" w:rsidP="00984199">
      <w:pPr>
        <w:pStyle w:val="ListParagraph"/>
        <w:numPr>
          <w:ilvl w:val="0"/>
          <w:numId w:val="24"/>
        </w:numPr>
        <w:rPr>
          <w:szCs w:val="22"/>
          <w:lang w:val="en-GB"/>
        </w:rPr>
      </w:pPr>
      <w:r w:rsidRPr="007C0094">
        <w:rPr>
          <w:szCs w:val="22"/>
          <w:lang w:val="en-GB"/>
        </w:rPr>
        <w:t>50</w:t>
      </w:r>
      <w:r w:rsidR="00BC1028">
        <w:rPr>
          <w:szCs w:val="22"/>
          <w:lang w:val="en-GB"/>
        </w:rPr>
        <w:t xml:space="preserve"> </w:t>
      </w:r>
      <w:r w:rsidRPr="007C0094">
        <w:rPr>
          <w:szCs w:val="22"/>
          <w:lang w:val="en-GB"/>
        </w:rPr>
        <w:t>ml/kg/day for the second 10</w:t>
      </w:r>
      <w:r w:rsidR="00BC1028">
        <w:rPr>
          <w:szCs w:val="22"/>
          <w:lang w:val="en-GB"/>
        </w:rPr>
        <w:t xml:space="preserve"> </w:t>
      </w:r>
      <w:r w:rsidRPr="007C0094">
        <w:rPr>
          <w:szCs w:val="22"/>
          <w:lang w:val="en-GB"/>
        </w:rPr>
        <w:t>kg of weight</w:t>
      </w:r>
    </w:p>
    <w:p w14:paraId="3A385210" w14:textId="4E1B6CC9" w:rsidR="00984199" w:rsidRPr="007C0094" w:rsidRDefault="00984199" w:rsidP="00984199">
      <w:pPr>
        <w:pStyle w:val="ListParagraph"/>
        <w:numPr>
          <w:ilvl w:val="0"/>
          <w:numId w:val="24"/>
        </w:numPr>
        <w:rPr>
          <w:szCs w:val="22"/>
          <w:lang w:val="en-GB"/>
        </w:rPr>
      </w:pPr>
      <w:r w:rsidRPr="007C0094">
        <w:rPr>
          <w:szCs w:val="22"/>
          <w:lang w:val="en-GB"/>
        </w:rPr>
        <w:t>20</w:t>
      </w:r>
      <w:r w:rsidR="00BC1028">
        <w:rPr>
          <w:szCs w:val="22"/>
          <w:lang w:val="en-GB"/>
        </w:rPr>
        <w:t xml:space="preserve"> </w:t>
      </w:r>
      <w:r w:rsidRPr="007C0094">
        <w:rPr>
          <w:szCs w:val="22"/>
          <w:lang w:val="en-GB"/>
        </w:rPr>
        <w:t>ml/kg/day for the weight over 20</w:t>
      </w:r>
      <w:r w:rsidR="00BC1028">
        <w:rPr>
          <w:szCs w:val="22"/>
          <w:lang w:val="en-GB"/>
        </w:rPr>
        <w:t xml:space="preserve"> </w:t>
      </w:r>
      <w:r w:rsidRPr="007C0094">
        <w:rPr>
          <w:szCs w:val="22"/>
          <w:lang w:val="en-GB"/>
        </w:rPr>
        <w:t>kg</w:t>
      </w:r>
    </w:p>
    <w:p w14:paraId="0CDC6FEA" w14:textId="3B8B51A4" w:rsidR="00984199" w:rsidRPr="007C0094" w:rsidRDefault="00984199" w:rsidP="6F2926D3">
      <w:pPr>
        <w:pStyle w:val="ListParagraph"/>
        <w:numPr>
          <w:ilvl w:val="0"/>
          <w:numId w:val="24"/>
        </w:numPr>
        <w:rPr>
          <w:lang w:val="en-GB"/>
        </w:rPr>
      </w:pPr>
      <w:r w:rsidRPr="6F2926D3">
        <w:rPr>
          <w:lang w:val="en-GB"/>
        </w:rPr>
        <w:t xml:space="preserve">Over a </w:t>
      </w:r>
      <w:proofErr w:type="gramStart"/>
      <w:r w:rsidRPr="6F2926D3">
        <w:rPr>
          <w:lang w:val="en-GB"/>
        </w:rPr>
        <w:t>24 hour</w:t>
      </w:r>
      <w:proofErr w:type="gramEnd"/>
      <w:r w:rsidRPr="6F2926D3">
        <w:rPr>
          <w:lang w:val="en-GB"/>
        </w:rPr>
        <w:t xml:space="preserve"> period, females are unlikely to need more than 2000</w:t>
      </w:r>
      <w:r w:rsidR="00BC1028" w:rsidRPr="6F2926D3">
        <w:rPr>
          <w:lang w:val="en-GB"/>
        </w:rPr>
        <w:t xml:space="preserve"> </w:t>
      </w:r>
      <w:r w:rsidRPr="6F2926D3">
        <w:rPr>
          <w:lang w:val="en-GB"/>
        </w:rPr>
        <w:t>ml and males 2500</w:t>
      </w:r>
      <w:r w:rsidR="00BC1028" w:rsidRPr="6F2926D3">
        <w:rPr>
          <w:lang w:val="en-GB"/>
        </w:rPr>
        <w:t xml:space="preserve"> </w:t>
      </w:r>
      <w:r w:rsidRPr="6F2926D3">
        <w:rPr>
          <w:lang w:val="en-GB"/>
        </w:rPr>
        <w:t>ml</w:t>
      </w:r>
    </w:p>
    <w:p w14:paraId="1EEF3139" w14:textId="77777777" w:rsidR="00984199" w:rsidRPr="007C0094" w:rsidRDefault="00984199" w:rsidP="00984199">
      <w:pPr>
        <w:spacing w:before="240"/>
        <w:rPr>
          <w:lang w:val="en-GB"/>
        </w:rPr>
      </w:pPr>
      <w:r w:rsidRPr="007C0094">
        <w:rPr>
          <w:lang w:val="en-GB"/>
        </w:rPr>
        <w:t xml:space="preserve">Infants and children of mothers with COVID-19 should continue to breastfeed freely, if clinically able.  </w:t>
      </w:r>
    </w:p>
    <w:p w14:paraId="71AFECA8" w14:textId="77777777" w:rsidR="00984199" w:rsidRPr="007C0094" w:rsidRDefault="00984199" w:rsidP="00984199">
      <w:pPr>
        <w:spacing w:before="240"/>
        <w:rPr>
          <w:lang w:val="en-GB"/>
        </w:rPr>
      </w:pPr>
      <w:r w:rsidRPr="007C0094">
        <w:rPr>
          <w:lang w:val="en-GB"/>
        </w:rPr>
        <w:t xml:space="preserve">Children with significant respiratory compromise should be fluid restricted to 2/3rds maintenance to reduce the risk of ARDS. </w:t>
      </w:r>
    </w:p>
    <w:p w14:paraId="464FDBF6" w14:textId="77777777" w:rsidR="00984199" w:rsidRPr="007C0094" w:rsidRDefault="00984199" w:rsidP="0051779E">
      <w:pPr>
        <w:pStyle w:val="Heading3"/>
        <w:rPr>
          <w:lang w:val="en-GB"/>
        </w:rPr>
      </w:pPr>
      <w:r w:rsidRPr="007C0094">
        <w:rPr>
          <w:lang w:val="en-GB"/>
        </w:rPr>
        <w:t>Fevers</w:t>
      </w:r>
    </w:p>
    <w:p w14:paraId="2F533C79" w14:textId="77777777" w:rsidR="00984199" w:rsidRPr="007C0094" w:rsidRDefault="00984199" w:rsidP="00984199">
      <w:pPr>
        <w:rPr>
          <w:lang w:val="en-GB"/>
        </w:rPr>
      </w:pPr>
      <w:r w:rsidRPr="007C0094">
        <w:rPr>
          <w:lang w:val="en-GB"/>
        </w:rPr>
        <w:t xml:space="preserve">First line antipyretic for children with a fever should be paracetamol. There is currently no significant evidence that ibuprofen is associated with worse outcomes in COVID-19 infection. If ibuprofen is prescribed regularly for a pre-existing medical condition (e.g. for rheumatoid arthritis) then this should be continued. Tepid sponging is not recommended. </w:t>
      </w:r>
    </w:p>
    <w:p w14:paraId="2C3D4154" w14:textId="77777777" w:rsidR="006E1BAD" w:rsidRDefault="006E1BAD">
      <w:pPr>
        <w:spacing w:after="0"/>
        <w:outlineLvl w:val="9"/>
        <w:rPr>
          <w:rFonts w:eastAsia="Times New Roman" w:cs="Times New Roman"/>
          <w:b/>
          <w:bCs/>
          <w:szCs w:val="26"/>
          <w:u w:val="single"/>
          <w:lang w:val="en-GB"/>
        </w:rPr>
      </w:pPr>
      <w:r>
        <w:rPr>
          <w:lang w:val="en-GB"/>
        </w:rPr>
        <w:br w:type="page"/>
      </w:r>
    </w:p>
    <w:p w14:paraId="1A9BEC96" w14:textId="7EC37A71" w:rsidR="00984199" w:rsidRPr="007C0094" w:rsidRDefault="00984199" w:rsidP="0051779E">
      <w:pPr>
        <w:pStyle w:val="Heading3"/>
        <w:rPr>
          <w:lang w:val="en-GB"/>
        </w:rPr>
      </w:pPr>
      <w:r w:rsidRPr="007C0094">
        <w:rPr>
          <w:lang w:val="en-GB"/>
        </w:rPr>
        <w:lastRenderedPageBreak/>
        <w:t>Bacterial infection</w:t>
      </w:r>
    </w:p>
    <w:p w14:paraId="752568EB" w14:textId="77777777" w:rsidR="00984199" w:rsidRPr="007C0094" w:rsidRDefault="00984199" w:rsidP="00984199">
      <w:pPr>
        <w:rPr>
          <w:lang w:val="en-GB"/>
        </w:rPr>
      </w:pPr>
      <w:r w:rsidRPr="007C0094">
        <w:rPr>
          <w:lang w:val="en-GB"/>
        </w:rPr>
        <w:t xml:space="preserve">Children who have signs and symptoms of sepsis at any stage in their illness, or if they are not clinically improving by day 3, should be assessed for possible bacterial infection and started on IV ceftriaxone following blood cultures within an hour of assessment.  Duration of antibiotics should be guided by clinical course and blood culture results.  </w:t>
      </w:r>
    </w:p>
    <w:p w14:paraId="2723A7DC" w14:textId="77777777" w:rsidR="00984199" w:rsidRPr="007C0094" w:rsidRDefault="00984199" w:rsidP="0051779E">
      <w:pPr>
        <w:pStyle w:val="Heading3"/>
        <w:rPr>
          <w:lang w:val="en-GB"/>
        </w:rPr>
      </w:pPr>
      <w:r w:rsidRPr="007C0094">
        <w:rPr>
          <w:lang w:val="en-GB"/>
        </w:rPr>
        <w:t>Monitoring of children with COVID-19 infection</w:t>
      </w:r>
    </w:p>
    <w:p w14:paraId="45DF353E" w14:textId="77777777" w:rsidR="00984199" w:rsidRPr="007C0094" w:rsidRDefault="00984199" w:rsidP="00984199">
      <w:pPr>
        <w:rPr>
          <w:lang w:val="en-GB"/>
        </w:rPr>
      </w:pPr>
      <w:r w:rsidRPr="007C0094">
        <w:rPr>
          <w:lang w:val="en-GB"/>
        </w:rPr>
        <w:t>Hospitalised children need regular vital signs to identify deterioration.</w:t>
      </w:r>
    </w:p>
    <w:p w14:paraId="556D2EE3" w14:textId="77777777" w:rsidR="00984199" w:rsidRPr="007C0094" w:rsidRDefault="00984199" w:rsidP="0051779E">
      <w:pPr>
        <w:pStyle w:val="Heading3"/>
        <w:rPr>
          <w:lang w:val="en-GB"/>
        </w:rPr>
      </w:pPr>
      <w:r w:rsidRPr="007C0094">
        <w:rPr>
          <w:lang w:val="en-GB"/>
        </w:rPr>
        <w:t>Treatments to avoid</w:t>
      </w:r>
    </w:p>
    <w:p w14:paraId="7C750D42" w14:textId="77777777" w:rsidR="00984199" w:rsidRPr="007C0094" w:rsidRDefault="00984199" w:rsidP="00984199">
      <w:pPr>
        <w:pStyle w:val="ListParagraph"/>
        <w:numPr>
          <w:ilvl w:val="0"/>
          <w:numId w:val="24"/>
        </w:numPr>
        <w:rPr>
          <w:szCs w:val="22"/>
          <w:lang w:val="en-GB"/>
        </w:rPr>
      </w:pPr>
      <w:r w:rsidRPr="007C0094">
        <w:rPr>
          <w:lang w:val="en-GB"/>
        </w:rPr>
        <w:t>Although</w:t>
      </w:r>
      <w:r w:rsidRPr="007C0094">
        <w:rPr>
          <w:szCs w:val="22"/>
          <w:lang w:val="en-GB"/>
        </w:rPr>
        <w:t xml:space="preserve"> recommended in some papers for adults, the following medical treatments are not routinely recommended in children and may, in fact, have more side effects than potential beneficial effects: bronchodilators, steroids, antibiotics, antivirals and diuretics. </w:t>
      </w:r>
    </w:p>
    <w:p w14:paraId="78019EB6" w14:textId="77777777" w:rsidR="00984199" w:rsidRPr="007C0094" w:rsidRDefault="00984199" w:rsidP="00984199">
      <w:pPr>
        <w:pStyle w:val="ListParagraph"/>
        <w:numPr>
          <w:ilvl w:val="0"/>
          <w:numId w:val="24"/>
        </w:numPr>
        <w:rPr>
          <w:szCs w:val="22"/>
          <w:lang w:val="en-GB"/>
        </w:rPr>
      </w:pPr>
      <w:r w:rsidRPr="007C0094">
        <w:rPr>
          <w:szCs w:val="22"/>
          <w:lang w:val="en-GB"/>
        </w:rPr>
        <w:t>Angiotensin converting enzyme (ACE) inhibitors have not yet been shown to be harmful to children with COVID-19 infections. Patients taking ACE inhibitors for a pre-existing condition should continue them.</w:t>
      </w:r>
    </w:p>
    <w:p w14:paraId="27D4D568" w14:textId="77777777" w:rsidR="00984199" w:rsidRPr="007C0094" w:rsidRDefault="00984199" w:rsidP="00984199">
      <w:pPr>
        <w:pStyle w:val="ListParagraph"/>
        <w:numPr>
          <w:ilvl w:val="0"/>
          <w:numId w:val="24"/>
        </w:numPr>
        <w:rPr>
          <w:lang w:val="en-GB"/>
        </w:rPr>
      </w:pPr>
      <w:r w:rsidRPr="007C0094">
        <w:rPr>
          <w:szCs w:val="22"/>
          <w:lang w:val="en-GB"/>
        </w:rPr>
        <w:t>There is no evidence at the time of writing (March 2020) to support any specific treatment for</w:t>
      </w:r>
      <w:r w:rsidRPr="007C0094">
        <w:rPr>
          <w:lang w:val="en-GB"/>
        </w:rPr>
        <w:t xml:space="preserve"> COVID-19 in children. The use of anti-</w:t>
      </w:r>
      <w:proofErr w:type="spellStart"/>
      <w:r w:rsidRPr="007C0094">
        <w:rPr>
          <w:lang w:val="en-GB"/>
        </w:rPr>
        <w:t>virals</w:t>
      </w:r>
      <w:proofErr w:type="spellEnd"/>
      <w:r w:rsidRPr="007C0094">
        <w:rPr>
          <w:lang w:val="en-GB"/>
        </w:rPr>
        <w:t xml:space="preserve"> is not currently recommended in children</w:t>
      </w:r>
    </w:p>
    <w:p w14:paraId="7C3C1F36" w14:textId="77777777" w:rsidR="00984199" w:rsidRPr="007C0094" w:rsidRDefault="00984199" w:rsidP="0051779E">
      <w:pPr>
        <w:pStyle w:val="Heading3"/>
        <w:rPr>
          <w:lang w:val="en-GB"/>
        </w:rPr>
      </w:pPr>
      <w:r w:rsidRPr="007C0094">
        <w:rPr>
          <w:lang w:val="en-GB"/>
        </w:rPr>
        <w:t>Research</w:t>
      </w:r>
    </w:p>
    <w:p w14:paraId="3C7FCCED" w14:textId="77777777" w:rsidR="00984199" w:rsidRPr="007C0094" w:rsidRDefault="00984199" w:rsidP="00984199">
      <w:pPr>
        <w:rPr>
          <w:lang w:val="en-GB"/>
        </w:rPr>
      </w:pPr>
      <w:r w:rsidRPr="007C0094">
        <w:rPr>
          <w:lang w:val="en-GB"/>
        </w:rPr>
        <w:t xml:space="preserve">Clinical trials for COVID-19 are ongoing so please consider whether each patient might be eligible. </w:t>
      </w:r>
    </w:p>
    <w:p w14:paraId="29F0BD97" w14:textId="77777777" w:rsidR="00984199" w:rsidRPr="007C0094" w:rsidRDefault="00984199" w:rsidP="0051779E">
      <w:pPr>
        <w:pStyle w:val="Heading3"/>
        <w:rPr>
          <w:lang w:val="en-GB"/>
        </w:rPr>
      </w:pPr>
      <w:r w:rsidRPr="007C0094">
        <w:rPr>
          <w:lang w:val="en-GB"/>
        </w:rPr>
        <w:t>Palliative</w:t>
      </w:r>
    </w:p>
    <w:p w14:paraId="3781C38A" w14:textId="77777777" w:rsidR="00984199" w:rsidRPr="007C0094" w:rsidRDefault="00984199" w:rsidP="00984199">
      <w:pPr>
        <w:rPr>
          <w:lang w:val="en-GB"/>
        </w:rPr>
      </w:pPr>
      <w:r w:rsidRPr="007C0094">
        <w:rPr>
          <w:lang w:val="en-GB"/>
        </w:rPr>
        <w:t>Please see separate guideline for advice on symptom-control and other considerations for the dying patient.</w:t>
      </w:r>
    </w:p>
    <w:p w14:paraId="32C013B1" w14:textId="77777777" w:rsidR="00984199" w:rsidRPr="007C0094" w:rsidRDefault="00984199" w:rsidP="0051779E">
      <w:pPr>
        <w:pStyle w:val="Heading3"/>
        <w:rPr>
          <w:lang w:val="en-GB"/>
        </w:rPr>
      </w:pPr>
      <w:r w:rsidRPr="007C0094">
        <w:rPr>
          <w:lang w:val="en-GB"/>
        </w:rPr>
        <w:t>Discharge</w:t>
      </w:r>
    </w:p>
    <w:p w14:paraId="3E9304BE" w14:textId="77777777" w:rsidR="00984199" w:rsidRPr="007C0094" w:rsidRDefault="00984199" w:rsidP="00984199">
      <w:pPr>
        <w:rPr>
          <w:lang w:val="en-GB"/>
        </w:rPr>
      </w:pPr>
      <w:r w:rsidRPr="007C0094">
        <w:rPr>
          <w:lang w:val="en-GB"/>
        </w:rPr>
        <w:t>Self-isolation of a child will need to follow Ministry of Health guidance where possible but this may need to be adjusted on a case-by-case basis.</w:t>
      </w:r>
    </w:p>
    <w:p w14:paraId="69680CF8" w14:textId="77777777" w:rsidR="00984199" w:rsidRPr="007C0094" w:rsidRDefault="00984199" w:rsidP="00984199">
      <w:pPr>
        <w:pStyle w:val="Heading2"/>
        <w:rPr>
          <w:rFonts w:cs="Arial"/>
          <w:szCs w:val="22"/>
          <w:lang w:val="en-GB"/>
        </w:rPr>
      </w:pPr>
      <w:r w:rsidRPr="007C0094">
        <w:rPr>
          <w:rFonts w:cs="Arial"/>
          <w:szCs w:val="22"/>
          <w:lang w:val="en-GB"/>
        </w:rPr>
        <w:t>Additional Information</w:t>
      </w:r>
    </w:p>
    <w:p w14:paraId="5150E904" w14:textId="77777777" w:rsidR="000E7C40" w:rsidRPr="007C0094" w:rsidRDefault="00984199" w:rsidP="00984199">
      <w:pPr>
        <w:rPr>
          <w:szCs w:val="22"/>
          <w:lang w:val="en-GB"/>
        </w:rPr>
      </w:pPr>
      <w:r w:rsidRPr="007C0094">
        <w:rPr>
          <w:szCs w:val="22"/>
          <w:lang w:val="en-GB"/>
        </w:rPr>
        <w:t xml:space="preserve">For the most current case definition and details of countries with transmission, please see </w:t>
      </w:r>
      <w:hyperlink r:id="rId7" w:history="1">
        <w:r w:rsidRPr="007C0094">
          <w:rPr>
            <w:szCs w:val="22"/>
            <w:lang w:val="en-GB"/>
          </w:rPr>
          <w:t>https://www.who.int/emergencies/diseases/novel-coronavirus-2019/situation-reports</w:t>
        </w:r>
      </w:hyperlink>
    </w:p>
    <w:p w14:paraId="63DB0354" w14:textId="77777777" w:rsidR="00984199" w:rsidRPr="007C0094" w:rsidRDefault="00984199" w:rsidP="00984199">
      <w:pPr>
        <w:pStyle w:val="Heading3"/>
        <w:spacing w:before="0"/>
        <w:rPr>
          <w:rFonts w:eastAsia="MS Mincho" w:cs="Arial"/>
          <w:b w:val="0"/>
          <w:bCs w:val="0"/>
          <w:szCs w:val="22"/>
          <w:u w:val="none"/>
          <w:lang w:val="en-GB"/>
        </w:rPr>
      </w:pPr>
      <w:r w:rsidRPr="007C0094">
        <w:rPr>
          <w:rFonts w:eastAsia="MS Mincho" w:cs="Arial"/>
          <w:b w:val="0"/>
          <w:bCs w:val="0"/>
          <w:szCs w:val="22"/>
          <w:u w:val="none"/>
          <w:lang w:val="en-GB"/>
        </w:rPr>
        <w:t xml:space="preserve">For the WHO guidance for managing COVID-19 see: </w:t>
      </w:r>
      <w:hyperlink r:id="rId8" w:history="1">
        <w:r w:rsidRPr="007C0094">
          <w:rPr>
            <w:rStyle w:val="Hyperlink"/>
            <w:rFonts w:eastAsia="MS Mincho" w:cs="Arial"/>
            <w:b w:val="0"/>
            <w:bCs w:val="0"/>
            <w:szCs w:val="22"/>
            <w:lang w:val="en-GB"/>
          </w:rPr>
          <w:t>https://apps.who.int/iris/handle/10665/331446</w:t>
        </w:r>
      </w:hyperlink>
    </w:p>
    <w:p w14:paraId="574E190D" w14:textId="77777777" w:rsidR="000E7C40" w:rsidRPr="007C0094" w:rsidRDefault="000E7C40" w:rsidP="000E7C40">
      <w:pPr>
        <w:pStyle w:val="Heading2"/>
        <w:spacing w:after="0"/>
        <w:rPr>
          <w:rFonts w:cs="Arial"/>
          <w:b w:val="0"/>
          <w:sz w:val="22"/>
          <w:szCs w:val="22"/>
          <w:lang w:val="en-GB"/>
        </w:rPr>
      </w:pPr>
      <w:r w:rsidRPr="007C0094">
        <w:rPr>
          <w:rFonts w:cs="Arial"/>
          <w:b w:val="0"/>
          <w:sz w:val="22"/>
          <w:szCs w:val="22"/>
          <w:lang w:val="en-GB"/>
        </w:rPr>
        <w:t>Online Resources:</w:t>
      </w:r>
    </w:p>
    <w:p w14:paraId="5680AC33" w14:textId="77777777" w:rsidR="000E7C40" w:rsidRPr="007C0094" w:rsidRDefault="00E3580E" w:rsidP="000E7C40">
      <w:pPr>
        <w:spacing w:after="0"/>
        <w:rPr>
          <w:szCs w:val="22"/>
          <w:lang w:val="en-GB"/>
        </w:rPr>
      </w:pPr>
      <w:hyperlink r:id="rId9" w:history="1">
        <w:r w:rsidR="000E7C40" w:rsidRPr="007C0094">
          <w:rPr>
            <w:szCs w:val="22"/>
            <w:lang w:val="en-GB"/>
          </w:rPr>
          <w:t>https://www.ncbi.nlm.nih.gov/research/coronavirus/</w:t>
        </w:r>
      </w:hyperlink>
    </w:p>
    <w:p w14:paraId="4A52695E" w14:textId="77777777" w:rsidR="00984199" w:rsidRPr="007C0094" w:rsidRDefault="00E3580E" w:rsidP="000E7C40">
      <w:pPr>
        <w:spacing w:after="0"/>
        <w:rPr>
          <w:lang w:val="en-GB"/>
        </w:rPr>
      </w:pPr>
      <w:hyperlink r:id="rId10" w:history="1">
        <w:r w:rsidR="000E7C40" w:rsidRPr="007C0094">
          <w:rPr>
            <w:szCs w:val="22"/>
            <w:lang w:val="en-GB"/>
          </w:rPr>
          <w:t>https://foamid.com/2020/03/17/covid-19-ultimate-resource-list/</w:t>
        </w:r>
      </w:hyperlink>
    </w:p>
    <w:p w14:paraId="71915D16" w14:textId="77777777" w:rsidR="006E1BAD" w:rsidRDefault="006E1BAD">
      <w:pPr>
        <w:spacing w:after="0"/>
        <w:outlineLvl w:val="9"/>
        <w:rPr>
          <w:b/>
          <w:sz w:val="24"/>
          <w:szCs w:val="22"/>
          <w:lang w:val="en-GB"/>
        </w:rPr>
      </w:pPr>
      <w:r>
        <w:rPr>
          <w:szCs w:val="22"/>
          <w:lang w:val="en-GB"/>
        </w:rPr>
        <w:br w:type="page"/>
      </w:r>
    </w:p>
    <w:p w14:paraId="47C719F0" w14:textId="4AD89322" w:rsidR="00F03F25" w:rsidRPr="007C0094" w:rsidRDefault="00F03F25" w:rsidP="00F03F25">
      <w:pPr>
        <w:pStyle w:val="Heading2"/>
        <w:rPr>
          <w:rFonts w:cs="Arial"/>
          <w:szCs w:val="22"/>
          <w:lang w:val="en-GB"/>
        </w:rPr>
      </w:pPr>
      <w:r w:rsidRPr="007C0094">
        <w:rPr>
          <w:rFonts w:cs="Arial"/>
          <w:szCs w:val="22"/>
          <w:lang w:val="en-GB"/>
        </w:rPr>
        <w:lastRenderedPageBreak/>
        <w:t>Key Issues for Nursing care</w:t>
      </w:r>
    </w:p>
    <w:p w14:paraId="67BEB611" w14:textId="77777777" w:rsidR="00984199" w:rsidRPr="007C0094" w:rsidRDefault="00984199" w:rsidP="00984199">
      <w:pPr>
        <w:pStyle w:val="ListParagraph"/>
        <w:numPr>
          <w:ilvl w:val="0"/>
          <w:numId w:val="24"/>
        </w:numPr>
        <w:rPr>
          <w:szCs w:val="22"/>
          <w:lang w:val="en-GB"/>
        </w:rPr>
      </w:pPr>
      <w:r w:rsidRPr="007C0094">
        <w:rPr>
          <w:szCs w:val="22"/>
          <w:lang w:val="en-GB"/>
        </w:rPr>
        <w:t xml:space="preserve">All the routine precautions for caring for patients with COVID-19 apply, see relevant guidelines.  </w:t>
      </w:r>
    </w:p>
    <w:p w14:paraId="686853DC" w14:textId="77777777" w:rsidR="00984199" w:rsidRPr="007C0094" w:rsidRDefault="00984199" w:rsidP="00984199">
      <w:pPr>
        <w:pStyle w:val="ListParagraph"/>
        <w:numPr>
          <w:ilvl w:val="0"/>
          <w:numId w:val="24"/>
        </w:numPr>
        <w:rPr>
          <w:szCs w:val="22"/>
          <w:lang w:val="en-GB"/>
        </w:rPr>
      </w:pPr>
      <w:r w:rsidRPr="007C0094">
        <w:rPr>
          <w:szCs w:val="22"/>
          <w:lang w:val="en-GB"/>
        </w:rPr>
        <w:t>Given increased demand on staffing and for the comfort of the children, it will still be important for children 15 years and under to have an escort present even if their escort is confirmed negative or asymptomatic.</w:t>
      </w:r>
    </w:p>
    <w:p w14:paraId="6D85CBA1" w14:textId="70ACF7BF" w:rsidR="00D13825" w:rsidRPr="007C0094" w:rsidRDefault="00984199" w:rsidP="000E7C40">
      <w:pPr>
        <w:pStyle w:val="ListParagraph"/>
        <w:numPr>
          <w:ilvl w:val="0"/>
          <w:numId w:val="24"/>
        </w:numPr>
        <w:spacing w:after="0"/>
        <w:outlineLvl w:val="9"/>
        <w:rPr>
          <w:b/>
          <w:sz w:val="24"/>
          <w:szCs w:val="22"/>
          <w:lang w:val="en-GB"/>
        </w:rPr>
      </w:pPr>
      <w:r w:rsidRPr="007C0094">
        <w:rPr>
          <w:szCs w:val="22"/>
          <w:lang w:val="en-GB"/>
        </w:rPr>
        <w:t xml:space="preserve">Adults and children will be </w:t>
      </w:r>
      <w:proofErr w:type="spellStart"/>
      <w:r w:rsidRPr="007C0094">
        <w:rPr>
          <w:szCs w:val="22"/>
          <w:lang w:val="en-GB"/>
        </w:rPr>
        <w:t>cohorted</w:t>
      </w:r>
      <w:proofErr w:type="spellEnd"/>
      <w:r w:rsidRPr="007C0094">
        <w:rPr>
          <w:szCs w:val="22"/>
          <w:lang w:val="en-GB"/>
        </w:rPr>
        <w:t xml:space="preserve"> together on the same wards. Where possible, all children should be grouped together and be near to the </w:t>
      </w:r>
      <w:proofErr w:type="gramStart"/>
      <w:r w:rsidRPr="007C0094">
        <w:rPr>
          <w:szCs w:val="22"/>
          <w:lang w:val="en-GB"/>
        </w:rPr>
        <w:t>nurses</w:t>
      </w:r>
      <w:proofErr w:type="gramEnd"/>
      <w:r w:rsidRPr="007C0094">
        <w:rPr>
          <w:szCs w:val="22"/>
          <w:lang w:val="en-GB"/>
        </w:rPr>
        <w:t xml:space="preserve"> station to maintain their safety. </w:t>
      </w:r>
    </w:p>
    <w:p w14:paraId="071E4E01" w14:textId="77777777" w:rsidR="00F03F25" w:rsidRPr="007C0094" w:rsidRDefault="00F03F25" w:rsidP="00F03F25">
      <w:pPr>
        <w:pStyle w:val="Heading2"/>
        <w:rPr>
          <w:rFonts w:cs="Arial"/>
          <w:szCs w:val="22"/>
          <w:lang w:val="en-GB"/>
        </w:rPr>
      </w:pPr>
      <w:r w:rsidRPr="007C0094">
        <w:rPr>
          <w:rFonts w:cs="Arial"/>
          <w:szCs w:val="22"/>
          <w:lang w:val="en-GB"/>
        </w:rPr>
        <w:t>References</w:t>
      </w:r>
    </w:p>
    <w:p w14:paraId="2EB90E7A" w14:textId="59A2410A" w:rsidR="000E7C40" w:rsidRPr="007C0094" w:rsidRDefault="000E7C40" w:rsidP="000E7C40">
      <w:pPr>
        <w:rPr>
          <w:sz w:val="20"/>
          <w:szCs w:val="20"/>
          <w:lang w:val="en-GB"/>
        </w:rPr>
      </w:pPr>
      <w:r w:rsidRPr="007C0094">
        <w:rPr>
          <w:sz w:val="20"/>
          <w:szCs w:val="20"/>
          <w:lang w:val="en-GB"/>
        </w:rPr>
        <w:t xml:space="preserve">Bi Q, Wu Y, Mei S, et al. Epidemiology and transmission of COVID-19 in Shenzhen China: analysis of 391 cases and 1,286 of their close contacts. </w:t>
      </w:r>
      <w:proofErr w:type="spellStart"/>
      <w:r w:rsidRPr="007C0094">
        <w:rPr>
          <w:sz w:val="20"/>
          <w:szCs w:val="20"/>
          <w:lang w:val="en-GB"/>
        </w:rPr>
        <w:t>medRxiv</w:t>
      </w:r>
      <w:proofErr w:type="spellEnd"/>
      <w:r w:rsidRPr="007C0094">
        <w:rPr>
          <w:sz w:val="20"/>
          <w:szCs w:val="20"/>
          <w:lang w:val="en-GB"/>
        </w:rPr>
        <w:t xml:space="preserve"> 2020. Available at: https://doi.org/10.1101/2020.03.03.20028423. </w:t>
      </w:r>
    </w:p>
    <w:p w14:paraId="11692932" w14:textId="77E044E4" w:rsidR="000E7C40" w:rsidRPr="007C0094" w:rsidRDefault="000E7C40" w:rsidP="000E7C40">
      <w:pPr>
        <w:rPr>
          <w:sz w:val="20"/>
          <w:szCs w:val="20"/>
          <w:lang w:val="en-GB"/>
        </w:rPr>
      </w:pPr>
      <w:r w:rsidRPr="007C0094">
        <w:rPr>
          <w:sz w:val="20"/>
          <w:szCs w:val="20"/>
          <w:lang w:val="en-GB"/>
        </w:rPr>
        <w:t>Chen ZM, Fu JF, Shu Q, et al. Diagnosis and treatment recommendations for</w:t>
      </w:r>
      <w:r w:rsidR="000839C6">
        <w:rPr>
          <w:sz w:val="20"/>
          <w:szCs w:val="20"/>
          <w:lang w:val="en-GB"/>
        </w:rPr>
        <w:t xml:space="preserve"> </w:t>
      </w:r>
      <w:proofErr w:type="spellStart"/>
      <w:r w:rsidRPr="007C0094">
        <w:rPr>
          <w:sz w:val="20"/>
          <w:szCs w:val="20"/>
          <w:lang w:val="en-GB"/>
        </w:rPr>
        <w:t>pediatric</w:t>
      </w:r>
      <w:proofErr w:type="spellEnd"/>
      <w:r w:rsidRPr="007C0094">
        <w:rPr>
          <w:sz w:val="20"/>
          <w:szCs w:val="20"/>
          <w:lang w:val="en-GB"/>
        </w:rPr>
        <w:t xml:space="preserve"> respiratory infection caused by the 2019 novel coronavirus. World </w:t>
      </w:r>
      <w:proofErr w:type="spellStart"/>
      <w:r w:rsidRPr="007C0094">
        <w:rPr>
          <w:sz w:val="20"/>
          <w:szCs w:val="20"/>
          <w:lang w:val="en-GB"/>
        </w:rPr>
        <w:t>Pediatr</w:t>
      </w:r>
      <w:proofErr w:type="spellEnd"/>
      <w:r w:rsidRPr="007C0094">
        <w:rPr>
          <w:sz w:val="20"/>
          <w:szCs w:val="20"/>
          <w:lang w:val="en-GB"/>
        </w:rPr>
        <w:t>. 2020. [</w:t>
      </w:r>
      <w:proofErr w:type="spellStart"/>
      <w:r w:rsidRPr="007C0094">
        <w:rPr>
          <w:sz w:val="20"/>
          <w:szCs w:val="20"/>
          <w:lang w:val="en-GB"/>
        </w:rPr>
        <w:t>Epub</w:t>
      </w:r>
      <w:proofErr w:type="spellEnd"/>
      <w:r w:rsidRPr="007C0094">
        <w:rPr>
          <w:sz w:val="20"/>
          <w:szCs w:val="20"/>
          <w:lang w:val="en-GB"/>
        </w:rPr>
        <w:t xml:space="preserve"> ahead of print]</w:t>
      </w:r>
    </w:p>
    <w:p w14:paraId="116175C8" w14:textId="6F9FCF2A" w:rsidR="000E7C40" w:rsidRPr="007C0094" w:rsidRDefault="000E7C40" w:rsidP="000E7C40">
      <w:pPr>
        <w:rPr>
          <w:sz w:val="20"/>
          <w:szCs w:val="20"/>
          <w:lang w:val="en-GB"/>
        </w:rPr>
      </w:pPr>
      <w:r w:rsidRPr="007C0094">
        <w:rPr>
          <w:sz w:val="20"/>
          <w:szCs w:val="20"/>
          <w:lang w:val="en-GB"/>
        </w:rPr>
        <w:t>Zimmermann P and Curtis N. Coronavirus Infections in Children Including COVID-19</w:t>
      </w:r>
    </w:p>
    <w:p w14:paraId="3AF87BE3" w14:textId="77777777" w:rsidR="000E7C40" w:rsidRPr="007C0094" w:rsidRDefault="000E7C40" w:rsidP="000E7C40">
      <w:pPr>
        <w:rPr>
          <w:sz w:val="20"/>
          <w:szCs w:val="20"/>
          <w:lang w:val="en-GB"/>
        </w:rPr>
      </w:pPr>
      <w:r w:rsidRPr="007C0094">
        <w:rPr>
          <w:sz w:val="20"/>
          <w:szCs w:val="20"/>
          <w:lang w:val="en-GB"/>
        </w:rPr>
        <w:t xml:space="preserve">An Overview of the Epidemiology, Clinical Features, Diagnosis, Treatment and Prevention Options in Children. The </w:t>
      </w:r>
      <w:proofErr w:type="spellStart"/>
      <w:r w:rsidRPr="007C0094">
        <w:rPr>
          <w:sz w:val="20"/>
          <w:szCs w:val="20"/>
          <w:lang w:val="en-GB"/>
        </w:rPr>
        <w:t>Pediatric</w:t>
      </w:r>
      <w:proofErr w:type="spellEnd"/>
      <w:r w:rsidRPr="007C0094">
        <w:rPr>
          <w:sz w:val="20"/>
          <w:szCs w:val="20"/>
          <w:lang w:val="en-GB"/>
        </w:rPr>
        <w:t xml:space="preserve"> Infectious Disease Journal. 2020. [</w:t>
      </w:r>
      <w:proofErr w:type="spellStart"/>
      <w:r w:rsidRPr="007C0094">
        <w:rPr>
          <w:sz w:val="20"/>
          <w:szCs w:val="20"/>
          <w:lang w:val="en-GB"/>
        </w:rPr>
        <w:t>Epub</w:t>
      </w:r>
      <w:proofErr w:type="spellEnd"/>
      <w:r w:rsidRPr="007C0094">
        <w:rPr>
          <w:sz w:val="20"/>
          <w:szCs w:val="20"/>
          <w:lang w:val="en-GB"/>
        </w:rPr>
        <w:t xml:space="preserve"> ahead of print]</w:t>
      </w:r>
    </w:p>
    <w:p w14:paraId="2E32CD91" w14:textId="051C595F" w:rsidR="000E7C40" w:rsidRPr="007C0094" w:rsidRDefault="000E7C40" w:rsidP="000E7C40">
      <w:pPr>
        <w:rPr>
          <w:sz w:val="20"/>
          <w:szCs w:val="20"/>
          <w:lang w:val="en-GB"/>
        </w:rPr>
      </w:pPr>
      <w:r w:rsidRPr="007C0094">
        <w:rPr>
          <w:sz w:val="20"/>
          <w:szCs w:val="20"/>
          <w:lang w:val="en-GB"/>
        </w:rPr>
        <w:t>Lu D, Wang H, Yu R et al. Integrated infection control strategy to minimize nosocomial infection of corona virus disease 2019 among ENT healthcare workers. J Hosp Infect 2020 https://www.rcpch.ac.uk/sites/default/files/2020-03/bprs_management_of_children_admitted_to_hospital_with_covid19_-_20200319.pdf</w:t>
      </w:r>
    </w:p>
    <w:p w14:paraId="2834FB09" w14:textId="355CA80E" w:rsidR="000E7C40" w:rsidRPr="007C0094" w:rsidRDefault="000E7C40" w:rsidP="000E7C40">
      <w:pPr>
        <w:rPr>
          <w:sz w:val="20"/>
          <w:szCs w:val="20"/>
          <w:lang w:val="en-GB"/>
        </w:rPr>
      </w:pPr>
      <w:r w:rsidRPr="007C0094">
        <w:rPr>
          <w:sz w:val="20"/>
          <w:szCs w:val="20"/>
          <w:lang w:val="en-GB"/>
        </w:rPr>
        <w:t>Sinha I (2020) British Paediatric Respiratory Society. https://www.rcpch.ac.uk/sites/default/files/2020-03/bprs_management_of_children_admitted_to_hospital_with_covid19_-_20200319.pdf</w:t>
      </w:r>
    </w:p>
    <w:p w14:paraId="729541A2" w14:textId="1B1E6A90" w:rsidR="00F03F25" w:rsidRPr="007C0094" w:rsidRDefault="000E7C40" w:rsidP="000E7C40">
      <w:pPr>
        <w:rPr>
          <w:sz w:val="20"/>
          <w:szCs w:val="20"/>
          <w:lang w:val="en-GB"/>
        </w:rPr>
      </w:pPr>
      <w:r w:rsidRPr="007C0094">
        <w:rPr>
          <w:sz w:val="20"/>
          <w:szCs w:val="20"/>
          <w:lang w:val="en-GB"/>
        </w:rPr>
        <w:t xml:space="preserve">Weiss SL, Peters MJ, </w:t>
      </w:r>
      <w:proofErr w:type="spellStart"/>
      <w:r w:rsidRPr="007C0094">
        <w:rPr>
          <w:sz w:val="20"/>
          <w:szCs w:val="20"/>
          <w:lang w:val="en-GB"/>
        </w:rPr>
        <w:t>Alhazzani</w:t>
      </w:r>
      <w:proofErr w:type="spellEnd"/>
      <w:r w:rsidRPr="007C0094">
        <w:rPr>
          <w:sz w:val="20"/>
          <w:szCs w:val="20"/>
          <w:lang w:val="en-GB"/>
        </w:rPr>
        <w:t xml:space="preserve"> W, et al. Management of Paediatric Septic Shock Surviving sepsis campaign international guidelines for the management of septic shock and sepsis-associated organ dysfunction in children. Intensive Care Med. 2020 Feb;46(</w:t>
      </w:r>
      <w:proofErr w:type="spellStart"/>
      <w:r w:rsidRPr="007C0094">
        <w:rPr>
          <w:sz w:val="20"/>
          <w:szCs w:val="20"/>
          <w:lang w:val="en-GB"/>
        </w:rPr>
        <w:t>Suppl</w:t>
      </w:r>
      <w:proofErr w:type="spellEnd"/>
      <w:r w:rsidRPr="007C0094">
        <w:rPr>
          <w:sz w:val="20"/>
          <w:szCs w:val="20"/>
          <w:lang w:val="en-GB"/>
        </w:rPr>
        <w:t xml:space="preserve"> 1):10-67. </w:t>
      </w:r>
      <w:proofErr w:type="spellStart"/>
      <w:r w:rsidRPr="007C0094">
        <w:rPr>
          <w:sz w:val="20"/>
          <w:szCs w:val="20"/>
          <w:lang w:val="en-GB"/>
        </w:rPr>
        <w:t>doi</w:t>
      </w:r>
      <w:proofErr w:type="spellEnd"/>
      <w:r w:rsidRPr="007C0094">
        <w:rPr>
          <w:sz w:val="20"/>
          <w:szCs w:val="20"/>
          <w:lang w:val="en-GB"/>
        </w:rPr>
        <w:t>: 10.1007/s00134-019-05878-6.</w:t>
      </w:r>
    </w:p>
    <w:p w14:paraId="6A05A809" w14:textId="77777777" w:rsidR="00F03F25" w:rsidRPr="007C0094" w:rsidRDefault="00F03F25" w:rsidP="005638D0">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7C0094" w14:paraId="5763B9CE" w14:textId="77777777" w:rsidTr="00515546">
        <w:trPr>
          <w:trHeight w:val="20"/>
        </w:trPr>
        <w:tc>
          <w:tcPr>
            <w:tcW w:w="2139" w:type="dxa"/>
            <w:shd w:val="clear" w:color="auto" w:fill="auto"/>
            <w:vAlign w:val="bottom"/>
          </w:tcPr>
          <w:p w14:paraId="37A19323" w14:textId="77777777" w:rsidR="004C4442" w:rsidRPr="007C0094" w:rsidRDefault="004C4442" w:rsidP="00B4144F">
            <w:pPr>
              <w:spacing w:after="0"/>
              <w:rPr>
                <w:b/>
                <w:szCs w:val="22"/>
                <w:lang w:val="en-GB"/>
              </w:rPr>
            </w:pPr>
            <w:r w:rsidRPr="007C0094">
              <w:rPr>
                <w:b/>
                <w:szCs w:val="22"/>
                <w:lang w:val="en-GB"/>
              </w:rPr>
              <w:t>Written by:</w:t>
            </w:r>
          </w:p>
        </w:tc>
        <w:tc>
          <w:tcPr>
            <w:tcW w:w="3622" w:type="dxa"/>
            <w:shd w:val="clear" w:color="auto" w:fill="auto"/>
            <w:vAlign w:val="bottom"/>
          </w:tcPr>
          <w:p w14:paraId="26B2A090" w14:textId="77777777" w:rsidR="004C4442" w:rsidRPr="007C0094" w:rsidRDefault="004C4442" w:rsidP="00B4144F">
            <w:pPr>
              <w:spacing w:after="0"/>
              <w:rPr>
                <w:szCs w:val="22"/>
                <w:lang w:val="en-GB"/>
              </w:rPr>
            </w:pPr>
            <w:r w:rsidRPr="007C0094">
              <w:rPr>
                <w:szCs w:val="22"/>
                <w:lang w:val="en-GB"/>
              </w:rPr>
              <w:t>Name</w:t>
            </w:r>
            <w:r w:rsidR="005638D0" w:rsidRPr="007C0094">
              <w:rPr>
                <w:szCs w:val="22"/>
                <w:lang w:val="en-GB"/>
              </w:rPr>
              <w:t>:</w:t>
            </w:r>
            <w:r w:rsidR="00984199" w:rsidRPr="007C0094">
              <w:rPr>
                <w:lang w:val="en-GB"/>
              </w:rPr>
              <w:t xml:space="preserve"> </w:t>
            </w:r>
            <w:r w:rsidR="00984199" w:rsidRPr="007C0094">
              <w:rPr>
                <w:szCs w:val="22"/>
                <w:lang w:val="en-GB"/>
              </w:rPr>
              <w:t>Daisy Taylor</w:t>
            </w:r>
            <w:r w:rsidR="005638D0" w:rsidRPr="007C0094">
              <w:rPr>
                <w:szCs w:val="22"/>
                <w:lang w:val="en-GB"/>
              </w:rPr>
              <w:t xml:space="preserve"> </w:t>
            </w:r>
          </w:p>
        </w:tc>
        <w:tc>
          <w:tcPr>
            <w:tcW w:w="2869" w:type="dxa"/>
            <w:shd w:val="clear" w:color="auto" w:fill="auto"/>
            <w:vAlign w:val="bottom"/>
          </w:tcPr>
          <w:p w14:paraId="21CD79A4" w14:textId="77777777" w:rsidR="004C4442" w:rsidRPr="007C0094" w:rsidRDefault="004C4442" w:rsidP="00B4144F">
            <w:pPr>
              <w:spacing w:after="0"/>
              <w:rPr>
                <w:szCs w:val="22"/>
                <w:lang w:val="en-GB"/>
              </w:rPr>
            </w:pPr>
            <w:r w:rsidRPr="007C0094">
              <w:rPr>
                <w:szCs w:val="22"/>
                <w:lang w:val="en-GB"/>
              </w:rPr>
              <w:t xml:space="preserve">Date: </w:t>
            </w:r>
            <w:r w:rsidR="00984199" w:rsidRPr="007C0094">
              <w:rPr>
                <w:szCs w:val="22"/>
                <w:lang w:val="en-GB"/>
              </w:rPr>
              <w:t>25 March 2020</w:t>
            </w:r>
          </w:p>
        </w:tc>
      </w:tr>
      <w:tr w:rsidR="004C4442" w:rsidRPr="007C0094" w14:paraId="234ACAF5" w14:textId="77777777" w:rsidTr="00515546">
        <w:trPr>
          <w:trHeight w:val="20"/>
        </w:trPr>
        <w:tc>
          <w:tcPr>
            <w:tcW w:w="2139" w:type="dxa"/>
            <w:shd w:val="clear" w:color="auto" w:fill="auto"/>
            <w:vAlign w:val="bottom"/>
          </w:tcPr>
          <w:p w14:paraId="5ACB6051" w14:textId="77777777" w:rsidR="004C4442" w:rsidRPr="007C0094" w:rsidRDefault="004C4442" w:rsidP="00B4144F">
            <w:pPr>
              <w:spacing w:after="0"/>
              <w:rPr>
                <w:b/>
                <w:szCs w:val="22"/>
                <w:lang w:val="en-GB"/>
              </w:rPr>
            </w:pPr>
            <w:r w:rsidRPr="007C0094">
              <w:rPr>
                <w:b/>
                <w:szCs w:val="22"/>
                <w:lang w:val="en-GB"/>
              </w:rPr>
              <w:t>Reviewed by:</w:t>
            </w:r>
          </w:p>
        </w:tc>
        <w:tc>
          <w:tcPr>
            <w:tcW w:w="3622" w:type="dxa"/>
            <w:shd w:val="clear" w:color="auto" w:fill="auto"/>
            <w:vAlign w:val="bottom"/>
          </w:tcPr>
          <w:p w14:paraId="554A75CE" w14:textId="77777777" w:rsidR="004C4442" w:rsidRPr="007C0094" w:rsidRDefault="004C4442" w:rsidP="00984199">
            <w:pPr>
              <w:spacing w:after="0"/>
              <w:rPr>
                <w:szCs w:val="22"/>
                <w:lang w:val="en-GB"/>
              </w:rPr>
            </w:pPr>
            <w:r w:rsidRPr="007C0094">
              <w:rPr>
                <w:szCs w:val="22"/>
                <w:lang w:val="en-GB"/>
              </w:rPr>
              <w:t>Name:</w:t>
            </w:r>
            <w:r w:rsidR="00984199" w:rsidRPr="007C0094">
              <w:rPr>
                <w:szCs w:val="22"/>
                <w:lang w:val="en-GB"/>
              </w:rPr>
              <w:t xml:space="preserve"> Baderinwa Abatan</w:t>
            </w:r>
          </w:p>
        </w:tc>
        <w:tc>
          <w:tcPr>
            <w:tcW w:w="2869" w:type="dxa"/>
            <w:shd w:val="clear" w:color="auto" w:fill="auto"/>
            <w:vAlign w:val="bottom"/>
          </w:tcPr>
          <w:p w14:paraId="085528C0" w14:textId="77777777" w:rsidR="004C4442" w:rsidRPr="007C0094" w:rsidRDefault="004C4442" w:rsidP="00B4144F">
            <w:pPr>
              <w:spacing w:after="0"/>
              <w:rPr>
                <w:szCs w:val="22"/>
                <w:lang w:val="en-GB"/>
              </w:rPr>
            </w:pPr>
            <w:r w:rsidRPr="007C0094">
              <w:rPr>
                <w:szCs w:val="22"/>
                <w:lang w:val="en-GB"/>
              </w:rPr>
              <w:t xml:space="preserve">Date: </w:t>
            </w:r>
            <w:r w:rsidR="00984199" w:rsidRPr="007C0094">
              <w:rPr>
                <w:szCs w:val="22"/>
                <w:lang w:val="en-GB"/>
              </w:rPr>
              <w:t>01 April 2020</w:t>
            </w:r>
          </w:p>
        </w:tc>
      </w:tr>
      <w:tr w:rsidR="00984199" w:rsidRPr="007C0094" w14:paraId="21E21502" w14:textId="77777777" w:rsidTr="00515546">
        <w:trPr>
          <w:trHeight w:val="20"/>
        </w:trPr>
        <w:tc>
          <w:tcPr>
            <w:tcW w:w="2139" w:type="dxa"/>
            <w:shd w:val="clear" w:color="auto" w:fill="auto"/>
            <w:vAlign w:val="bottom"/>
          </w:tcPr>
          <w:p w14:paraId="1B47E3E7" w14:textId="77777777" w:rsidR="00984199" w:rsidRPr="007C0094" w:rsidRDefault="00984199" w:rsidP="00B4144F">
            <w:pPr>
              <w:spacing w:after="0"/>
              <w:rPr>
                <w:b/>
                <w:szCs w:val="22"/>
                <w:lang w:val="en-GB"/>
              </w:rPr>
            </w:pPr>
            <w:r w:rsidRPr="007C0094">
              <w:rPr>
                <w:b/>
                <w:szCs w:val="22"/>
                <w:lang w:val="en-GB"/>
              </w:rPr>
              <w:t>Reviewed by:</w:t>
            </w:r>
          </w:p>
        </w:tc>
        <w:tc>
          <w:tcPr>
            <w:tcW w:w="3622" w:type="dxa"/>
            <w:shd w:val="clear" w:color="auto" w:fill="auto"/>
            <w:vAlign w:val="bottom"/>
          </w:tcPr>
          <w:p w14:paraId="75ABD00D" w14:textId="77777777" w:rsidR="00984199" w:rsidRPr="007C0094" w:rsidRDefault="00984199" w:rsidP="00984199">
            <w:pPr>
              <w:spacing w:after="0"/>
              <w:rPr>
                <w:szCs w:val="22"/>
                <w:lang w:val="en-GB"/>
              </w:rPr>
            </w:pPr>
            <w:r w:rsidRPr="007C0094">
              <w:rPr>
                <w:szCs w:val="22"/>
                <w:lang w:val="en-GB"/>
              </w:rPr>
              <w:t>Name:</w:t>
            </w:r>
            <w:r w:rsidRPr="007C0094">
              <w:rPr>
                <w:lang w:val="en-GB"/>
              </w:rPr>
              <w:t xml:space="preserve"> </w:t>
            </w:r>
            <w:r w:rsidRPr="007C0094">
              <w:rPr>
                <w:szCs w:val="22"/>
                <w:lang w:val="en-GB"/>
              </w:rPr>
              <w:t>Helen Brotherton</w:t>
            </w:r>
          </w:p>
        </w:tc>
        <w:tc>
          <w:tcPr>
            <w:tcW w:w="2869" w:type="dxa"/>
            <w:shd w:val="clear" w:color="auto" w:fill="auto"/>
            <w:vAlign w:val="bottom"/>
          </w:tcPr>
          <w:p w14:paraId="7D88BEEA" w14:textId="785E24CC" w:rsidR="00984199" w:rsidRPr="007C0094" w:rsidRDefault="00984199" w:rsidP="00B4144F">
            <w:pPr>
              <w:spacing w:after="0"/>
              <w:rPr>
                <w:szCs w:val="22"/>
                <w:lang w:val="en-GB"/>
              </w:rPr>
            </w:pPr>
            <w:r w:rsidRPr="007C0094">
              <w:rPr>
                <w:szCs w:val="22"/>
                <w:lang w:val="en-GB"/>
              </w:rPr>
              <w:t xml:space="preserve">Date: </w:t>
            </w:r>
            <w:r w:rsidR="006E1BAD">
              <w:rPr>
                <w:szCs w:val="22"/>
                <w:lang w:val="en-GB"/>
              </w:rPr>
              <w:t>10</w:t>
            </w:r>
            <w:r w:rsidRPr="007C0094">
              <w:rPr>
                <w:szCs w:val="22"/>
                <w:lang w:val="en-GB"/>
              </w:rPr>
              <w:t xml:space="preserve"> April 2020</w:t>
            </w:r>
          </w:p>
        </w:tc>
      </w:tr>
      <w:tr w:rsidR="004C4442" w:rsidRPr="007C0094" w14:paraId="3F98BFA0" w14:textId="77777777" w:rsidTr="00515546">
        <w:trPr>
          <w:trHeight w:val="20"/>
        </w:trPr>
        <w:tc>
          <w:tcPr>
            <w:tcW w:w="2139" w:type="dxa"/>
            <w:shd w:val="clear" w:color="auto" w:fill="auto"/>
            <w:vAlign w:val="bottom"/>
          </w:tcPr>
          <w:p w14:paraId="16808EAA" w14:textId="77777777" w:rsidR="004C4442" w:rsidRPr="007C0094" w:rsidRDefault="004C4442" w:rsidP="00B4144F">
            <w:pPr>
              <w:spacing w:after="0"/>
              <w:rPr>
                <w:szCs w:val="22"/>
                <w:lang w:val="en-GB"/>
              </w:rPr>
            </w:pPr>
            <w:r w:rsidRPr="007C0094">
              <w:rPr>
                <w:b/>
                <w:szCs w:val="22"/>
                <w:lang w:val="en-GB"/>
              </w:rPr>
              <w:t>Version:</w:t>
            </w:r>
          </w:p>
        </w:tc>
        <w:tc>
          <w:tcPr>
            <w:tcW w:w="3622" w:type="dxa"/>
            <w:shd w:val="clear" w:color="auto" w:fill="auto"/>
            <w:vAlign w:val="bottom"/>
          </w:tcPr>
          <w:p w14:paraId="5A59E6DA" w14:textId="77777777" w:rsidR="004C4442" w:rsidRPr="007C0094" w:rsidRDefault="004C4442" w:rsidP="00B4144F">
            <w:pPr>
              <w:spacing w:after="0"/>
              <w:rPr>
                <w:szCs w:val="22"/>
                <w:lang w:val="en-GB"/>
              </w:rPr>
            </w:pPr>
            <w:r w:rsidRPr="007C0094">
              <w:rPr>
                <w:b/>
                <w:szCs w:val="22"/>
                <w:lang w:val="en-GB"/>
              </w:rPr>
              <w:t>Change history:</w:t>
            </w:r>
          </w:p>
        </w:tc>
        <w:tc>
          <w:tcPr>
            <w:tcW w:w="2869" w:type="dxa"/>
            <w:shd w:val="clear" w:color="auto" w:fill="auto"/>
            <w:vAlign w:val="bottom"/>
          </w:tcPr>
          <w:p w14:paraId="4BF513B8" w14:textId="77777777" w:rsidR="004C4442" w:rsidRPr="007C0094" w:rsidRDefault="004C4442" w:rsidP="00B4144F">
            <w:pPr>
              <w:spacing w:after="0"/>
              <w:rPr>
                <w:b/>
                <w:szCs w:val="22"/>
                <w:lang w:val="en-GB"/>
              </w:rPr>
            </w:pPr>
            <w:r w:rsidRPr="007C0094">
              <w:rPr>
                <w:b/>
                <w:szCs w:val="22"/>
                <w:lang w:val="en-GB"/>
              </w:rPr>
              <w:t>Review due date:</w:t>
            </w:r>
          </w:p>
        </w:tc>
      </w:tr>
      <w:tr w:rsidR="004C4442" w:rsidRPr="007C0094" w14:paraId="60BCCC7B" w14:textId="77777777" w:rsidTr="00515546">
        <w:trPr>
          <w:trHeight w:val="20"/>
        </w:trPr>
        <w:tc>
          <w:tcPr>
            <w:tcW w:w="2139" w:type="dxa"/>
            <w:shd w:val="clear" w:color="auto" w:fill="auto"/>
            <w:vAlign w:val="bottom"/>
          </w:tcPr>
          <w:p w14:paraId="4B3AA50C" w14:textId="77777777" w:rsidR="004C4442" w:rsidRPr="007C0094" w:rsidRDefault="004C4442" w:rsidP="00B4144F">
            <w:pPr>
              <w:spacing w:after="0"/>
              <w:rPr>
                <w:szCs w:val="22"/>
                <w:lang w:val="en-GB"/>
              </w:rPr>
            </w:pPr>
            <w:r w:rsidRPr="007C0094">
              <w:rPr>
                <w:szCs w:val="22"/>
                <w:lang w:val="en-GB"/>
              </w:rPr>
              <w:t>1.0</w:t>
            </w:r>
          </w:p>
        </w:tc>
        <w:tc>
          <w:tcPr>
            <w:tcW w:w="3622" w:type="dxa"/>
            <w:shd w:val="clear" w:color="auto" w:fill="auto"/>
            <w:vAlign w:val="bottom"/>
          </w:tcPr>
          <w:p w14:paraId="18D8584D" w14:textId="77777777" w:rsidR="004C4442" w:rsidRPr="007C0094" w:rsidRDefault="004C4442" w:rsidP="00B4144F">
            <w:pPr>
              <w:spacing w:after="0"/>
              <w:rPr>
                <w:szCs w:val="22"/>
                <w:lang w:val="en-GB"/>
              </w:rPr>
            </w:pPr>
            <w:r w:rsidRPr="007C0094">
              <w:rPr>
                <w:szCs w:val="22"/>
                <w:lang w:val="en-GB"/>
              </w:rPr>
              <w:t>New document</w:t>
            </w:r>
          </w:p>
        </w:tc>
        <w:tc>
          <w:tcPr>
            <w:tcW w:w="2869" w:type="dxa"/>
            <w:shd w:val="clear" w:color="auto" w:fill="auto"/>
            <w:vAlign w:val="bottom"/>
          </w:tcPr>
          <w:p w14:paraId="656202D3" w14:textId="6BC09C52" w:rsidR="004C4442" w:rsidRPr="007C0094" w:rsidRDefault="006E1BAD" w:rsidP="00B4144F">
            <w:pPr>
              <w:spacing w:after="0"/>
              <w:rPr>
                <w:szCs w:val="22"/>
                <w:lang w:val="en-GB"/>
              </w:rPr>
            </w:pPr>
            <w:r>
              <w:rPr>
                <w:szCs w:val="22"/>
                <w:lang w:val="en-GB"/>
              </w:rPr>
              <w:t>10</w:t>
            </w:r>
            <w:r w:rsidR="00984199" w:rsidRPr="007C0094">
              <w:rPr>
                <w:szCs w:val="22"/>
                <w:lang w:val="en-GB"/>
              </w:rPr>
              <w:t xml:space="preserve"> April 2022</w:t>
            </w:r>
          </w:p>
        </w:tc>
      </w:tr>
      <w:tr w:rsidR="005638D0" w:rsidRPr="007C0094" w14:paraId="14268DCF" w14:textId="77777777" w:rsidTr="00515546">
        <w:trPr>
          <w:trHeight w:val="20"/>
        </w:trPr>
        <w:tc>
          <w:tcPr>
            <w:tcW w:w="2139" w:type="dxa"/>
            <w:shd w:val="clear" w:color="auto" w:fill="auto"/>
            <w:vAlign w:val="bottom"/>
          </w:tcPr>
          <w:p w14:paraId="0FDAE623" w14:textId="77777777" w:rsidR="005638D0" w:rsidRPr="007C0094" w:rsidRDefault="005638D0" w:rsidP="005638D0">
            <w:pPr>
              <w:spacing w:after="0"/>
              <w:rPr>
                <w:szCs w:val="22"/>
                <w:lang w:val="en-GB"/>
              </w:rPr>
            </w:pPr>
            <w:r w:rsidRPr="007C0094">
              <w:rPr>
                <w:szCs w:val="22"/>
                <w:lang w:val="en-GB"/>
              </w:rPr>
              <w:t>Review Comments (</w:t>
            </w:r>
            <w:r w:rsidRPr="007C0094">
              <w:rPr>
                <w:i/>
                <w:szCs w:val="22"/>
                <w:lang w:val="en-GB"/>
              </w:rPr>
              <w:t>if applicable)</w:t>
            </w:r>
          </w:p>
        </w:tc>
        <w:tc>
          <w:tcPr>
            <w:tcW w:w="3622" w:type="dxa"/>
            <w:shd w:val="clear" w:color="auto" w:fill="auto"/>
            <w:vAlign w:val="bottom"/>
          </w:tcPr>
          <w:p w14:paraId="5A39BBE3" w14:textId="77777777" w:rsidR="005638D0" w:rsidRPr="007C0094" w:rsidRDefault="005638D0" w:rsidP="005638D0">
            <w:pPr>
              <w:spacing w:after="0"/>
              <w:rPr>
                <w:szCs w:val="22"/>
                <w:lang w:val="en-GB"/>
              </w:rPr>
            </w:pPr>
          </w:p>
        </w:tc>
        <w:tc>
          <w:tcPr>
            <w:tcW w:w="2869" w:type="dxa"/>
            <w:shd w:val="clear" w:color="auto" w:fill="auto"/>
            <w:vAlign w:val="bottom"/>
          </w:tcPr>
          <w:p w14:paraId="41C8F396" w14:textId="77777777" w:rsidR="005638D0" w:rsidRPr="007C0094" w:rsidRDefault="005638D0" w:rsidP="005638D0">
            <w:pPr>
              <w:spacing w:after="0"/>
              <w:rPr>
                <w:b/>
                <w:szCs w:val="22"/>
                <w:lang w:val="en-GB"/>
              </w:rPr>
            </w:pPr>
          </w:p>
        </w:tc>
      </w:tr>
    </w:tbl>
    <w:p w14:paraId="72A3D3EC" w14:textId="77777777" w:rsidR="00975A60" w:rsidRPr="007C0094" w:rsidRDefault="00975A60" w:rsidP="00975A60">
      <w:pPr>
        <w:rPr>
          <w:szCs w:val="22"/>
          <w:lang w:val="en-GB"/>
        </w:rPr>
      </w:pPr>
    </w:p>
    <w:sectPr w:rsidR="00975A60" w:rsidRPr="007C0094" w:rsidSect="00D13825">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2E75C" w14:textId="77777777" w:rsidR="00E3580E" w:rsidRDefault="00E3580E" w:rsidP="00975A60">
      <w:pPr>
        <w:spacing w:after="0"/>
      </w:pPr>
      <w:r>
        <w:separator/>
      </w:r>
    </w:p>
  </w:endnote>
  <w:endnote w:type="continuationSeparator" w:id="0">
    <w:p w14:paraId="7918D555" w14:textId="77777777" w:rsidR="00E3580E" w:rsidRDefault="00E3580E" w:rsidP="00975A60">
      <w:pPr>
        <w:spacing w:after="0"/>
      </w:pPr>
      <w:r>
        <w:continuationSeparator/>
      </w:r>
    </w:p>
  </w:endnote>
  <w:endnote w:type="continuationNotice" w:id="1">
    <w:p w14:paraId="1AB8DB9F" w14:textId="77777777" w:rsidR="00E3580E" w:rsidRDefault="00E3580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00000287" w:usb1="08070000" w:usb2="00000010"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0B940D"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C6D16"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5E0133">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5E0133">
      <w:rPr>
        <w:rStyle w:val="PageNumber"/>
        <w:noProof/>
      </w:rPr>
      <w:t>6</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7F1EE"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5E0133">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5E0133">
      <w:rPr>
        <w:rStyle w:val="PageNumber"/>
        <w:noProof/>
      </w:rPr>
      <w:t>6</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636D7" w14:textId="77777777" w:rsidR="00E3580E" w:rsidRDefault="00E3580E" w:rsidP="00975A60">
      <w:pPr>
        <w:spacing w:after="0"/>
      </w:pPr>
      <w:r>
        <w:separator/>
      </w:r>
    </w:p>
  </w:footnote>
  <w:footnote w:type="continuationSeparator" w:id="0">
    <w:p w14:paraId="507C6A65" w14:textId="77777777" w:rsidR="00E3580E" w:rsidRDefault="00E3580E" w:rsidP="00975A60">
      <w:pPr>
        <w:spacing w:after="0"/>
      </w:pPr>
      <w:r>
        <w:continuationSeparator/>
      </w:r>
    </w:p>
  </w:footnote>
  <w:footnote w:type="continuationNotice" w:id="1">
    <w:p w14:paraId="4079587D" w14:textId="77777777" w:rsidR="00E3580E" w:rsidRDefault="00E3580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BEF0E" w14:textId="42DF160B" w:rsidR="00D13825" w:rsidRPr="00F87812" w:rsidRDefault="00D13825" w:rsidP="00D13825">
    <w:pPr>
      <w:pStyle w:val="Header"/>
    </w:pPr>
    <w:r w:rsidRPr="00F87812">
      <w:t>Identification code: MeG-CLS-</w:t>
    </w:r>
    <w:r w:rsidR="008C6FA6">
      <w:t>08</w:t>
    </w:r>
    <w:r w:rsidR="005E0133">
      <w:t>2</w:t>
    </w:r>
    <w:r w:rsidRPr="00F87812">
      <w:tab/>
    </w:r>
  </w:p>
  <w:p w14:paraId="44ABBAD3" w14:textId="691978BB" w:rsidR="005D1877" w:rsidRPr="00D13825" w:rsidRDefault="00D13825" w:rsidP="00D13825">
    <w:pPr>
      <w:pStyle w:val="Header"/>
    </w:pPr>
    <w:r w:rsidRPr="00F87812">
      <w:t xml:space="preserve">Version: </w:t>
    </w:r>
    <w:r w:rsidR="008C6FA6" w:rsidRPr="005D031E">
      <w:rPr>
        <w:iCs/>
      </w:rPr>
      <w:t xml:space="preserve">1.0 – </w:t>
    </w:r>
    <w:r w:rsidR="006E1BAD">
      <w:rPr>
        <w:iCs/>
      </w:rPr>
      <w:t>10</w:t>
    </w:r>
    <w:r w:rsidRPr="005D031E">
      <w:rPr>
        <w:iCs/>
      </w:rPr>
      <w:t xml:space="preserve"> </w:t>
    </w:r>
    <w:r w:rsidR="008C6FA6" w:rsidRPr="005D031E">
      <w:rPr>
        <w:iCs/>
      </w:rPr>
      <w:t>April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4E708"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58240" behindDoc="1" locked="0" layoutInCell="1" allowOverlap="1" wp14:anchorId="5C166650" wp14:editId="625FFE13">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2CD2D35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3DEEC669" w14:textId="77777777" w:rsidR="00D13825" w:rsidRPr="003C0800" w:rsidRDefault="00D13825" w:rsidP="00D13825">
    <w:pPr>
      <w:pStyle w:val="Header"/>
      <w:ind w:firstLine="2880"/>
      <w:rPr>
        <w:rFonts w:cs="Arial"/>
        <w:b/>
      </w:rPr>
    </w:pPr>
  </w:p>
  <w:p w14:paraId="074FA71E" w14:textId="3B931912" w:rsidR="00D13825" w:rsidRPr="00F87812" w:rsidRDefault="00D13825" w:rsidP="00D13825">
    <w:pPr>
      <w:pStyle w:val="Header"/>
    </w:pPr>
    <w:r w:rsidRPr="00F87812">
      <w:t>Identification code: MeG-CLS-</w:t>
    </w:r>
    <w:r w:rsidR="008C6FA6">
      <w:t>08</w:t>
    </w:r>
    <w:r w:rsidR="005E0133">
      <w:t>2</w:t>
    </w:r>
    <w:r w:rsidRPr="00F87812">
      <w:tab/>
    </w:r>
  </w:p>
  <w:p w14:paraId="01058743" w14:textId="3B85ACA0" w:rsidR="00D13825" w:rsidRPr="00F87812" w:rsidRDefault="00D13825" w:rsidP="00D13825">
    <w:pPr>
      <w:pStyle w:val="Header"/>
    </w:pPr>
    <w:r w:rsidRPr="00F87812">
      <w:t xml:space="preserve">Version: </w:t>
    </w:r>
    <w:r w:rsidR="008C6FA6" w:rsidRPr="005D031E">
      <w:rPr>
        <w:iCs/>
      </w:rPr>
      <w:t xml:space="preserve">1.0 – </w:t>
    </w:r>
    <w:r w:rsidR="006E1BAD">
      <w:rPr>
        <w:iCs/>
      </w:rPr>
      <w:t>10</w:t>
    </w:r>
    <w:r w:rsidRPr="005D031E">
      <w:rPr>
        <w:iCs/>
      </w:rPr>
      <w:t xml:space="preserve"> </w:t>
    </w:r>
    <w:r w:rsidR="008C6FA6" w:rsidRPr="005D031E">
      <w:rPr>
        <w:iCs/>
      </w:rPr>
      <w:t>April</w:t>
    </w:r>
    <w:r w:rsidRPr="005D031E">
      <w:rPr>
        <w:iCs/>
      </w:rPr>
      <w:t xml:space="preserve"> </w:t>
    </w:r>
    <w:r w:rsidR="008C6FA6" w:rsidRPr="005D031E">
      <w:rPr>
        <w:iCs/>
      </w:rPr>
      <w:t>2020</w:t>
    </w:r>
  </w:p>
  <w:p w14:paraId="3656B9AB"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AF690C"/>
    <w:multiLevelType w:val="multilevel"/>
    <w:tmpl w:val="A3E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F5533"/>
    <w:multiLevelType w:val="hybridMultilevel"/>
    <w:tmpl w:val="B052E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3527694"/>
    <w:multiLevelType w:val="hybridMultilevel"/>
    <w:tmpl w:val="62A02C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ABC0461"/>
    <w:multiLevelType w:val="hybridMultilevel"/>
    <w:tmpl w:val="6E8ED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1C7CD5"/>
    <w:multiLevelType w:val="hybridMultilevel"/>
    <w:tmpl w:val="7B1A3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59638C"/>
    <w:multiLevelType w:val="multilevel"/>
    <w:tmpl w:val="929A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E24C21"/>
    <w:multiLevelType w:val="hybridMultilevel"/>
    <w:tmpl w:val="AC6AF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3D28F7"/>
    <w:multiLevelType w:val="hybridMultilevel"/>
    <w:tmpl w:val="726AD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1"/>
  </w:num>
  <w:num w:numId="4">
    <w:abstractNumId w:val="1"/>
  </w:num>
  <w:num w:numId="5">
    <w:abstractNumId w:val="0"/>
  </w:num>
  <w:num w:numId="6">
    <w:abstractNumId w:val="6"/>
  </w:num>
  <w:num w:numId="7">
    <w:abstractNumId w:val="17"/>
  </w:num>
  <w:num w:numId="8">
    <w:abstractNumId w:val="2"/>
  </w:num>
  <w:num w:numId="9">
    <w:abstractNumId w:val="31"/>
  </w:num>
  <w:num w:numId="10">
    <w:abstractNumId w:val="3"/>
  </w:num>
  <w:num w:numId="11">
    <w:abstractNumId w:val="12"/>
  </w:num>
  <w:num w:numId="12">
    <w:abstractNumId w:val="20"/>
  </w:num>
  <w:num w:numId="13">
    <w:abstractNumId w:val="26"/>
  </w:num>
  <w:num w:numId="14">
    <w:abstractNumId w:val="24"/>
  </w:num>
  <w:num w:numId="15">
    <w:abstractNumId w:val="30"/>
  </w:num>
  <w:num w:numId="16">
    <w:abstractNumId w:val="13"/>
  </w:num>
  <w:num w:numId="17">
    <w:abstractNumId w:val="8"/>
  </w:num>
  <w:num w:numId="18">
    <w:abstractNumId w:val="25"/>
  </w:num>
  <w:num w:numId="19">
    <w:abstractNumId w:val="14"/>
  </w:num>
  <w:num w:numId="20">
    <w:abstractNumId w:val="28"/>
  </w:num>
  <w:num w:numId="21">
    <w:abstractNumId w:val="16"/>
  </w:num>
  <w:num w:numId="22">
    <w:abstractNumId w:val="9"/>
  </w:num>
  <w:num w:numId="23">
    <w:abstractNumId w:val="19"/>
  </w:num>
  <w:num w:numId="24">
    <w:abstractNumId w:val="23"/>
  </w:num>
  <w:num w:numId="25">
    <w:abstractNumId w:val="4"/>
  </w:num>
  <w:num w:numId="26">
    <w:abstractNumId w:val="22"/>
  </w:num>
  <w:num w:numId="27">
    <w:abstractNumId w:val="5"/>
  </w:num>
  <w:num w:numId="28">
    <w:abstractNumId w:val="29"/>
  </w:num>
  <w:num w:numId="29">
    <w:abstractNumId w:val="7"/>
  </w:num>
  <w:num w:numId="30">
    <w:abstractNumId w:val="10"/>
  </w:num>
  <w:num w:numId="31">
    <w:abstractNumId w:val="2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1MDMzMTA1NjE1NTBV0lEKTi0uzszPAykwqQUAzsrG7ywAAAA="/>
  </w:docVars>
  <w:rsids>
    <w:rsidRoot w:val="008C6FA6"/>
    <w:rsid w:val="000039D9"/>
    <w:rsid w:val="0006548B"/>
    <w:rsid w:val="0007147C"/>
    <w:rsid w:val="00081642"/>
    <w:rsid w:val="000839C6"/>
    <w:rsid w:val="000E7C40"/>
    <w:rsid w:val="00114AAF"/>
    <w:rsid w:val="001203AE"/>
    <w:rsid w:val="00175153"/>
    <w:rsid w:val="001C1450"/>
    <w:rsid w:val="00223920"/>
    <w:rsid w:val="00252A11"/>
    <w:rsid w:val="0029357D"/>
    <w:rsid w:val="002A2856"/>
    <w:rsid w:val="003020A2"/>
    <w:rsid w:val="003038D3"/>
    <w:rsid w:val="003225CD"/>
    <w:rsid w:val="00345A8E"/>
    <w:rsid w:val="003C0800"/>
    <w:rsid w:val="003F70CA"/>
    <w:rsid w:val="004A25F0"/>
    <w:rsid w:val="004A4C93"/>
    <w:rsid w:val="004C4442"/>
    <w:rsid w:val="005151D8"/>
    <w:rsid w:val="00515546"/>
    <w:rsid w:val="0051779E"/>
    <w:rsid w:val="005638D0"/>
    <w:rsid w:val="005D031E"/>
    <w:rsid w:val="005D1877"/>
    <w:rsid w:val="005E0133"/>
    <w:rsid w:val="00633320"/>
    <w:rsid w:val="006E0C2F"/>
    <w:rsid w:val="006E1BAD"/>
    <w:rsid w:val="007067BE"/>
    <w:rsid w:val="007B26B1"/>
    <w:rsid w:val="007C0094"/>
    <w:rsid w:val="00857027"/>
    <w:rsid w:val="0085E36D"/>
    <w:rsid w:val="008C6FA6"/>
    <w:rsid w:val="009165E9"/>
    <w:rsid w:val="009325A7"/>
    <w:rsid w:val="00975A60"/>
    <w:rsid w:val="00984199"/>
    <w:rsid w:val="009956F9"/>
    <w:rsid w:val="009B44BE"/>
    <w:rsid w:val="009F5B1B"/>
    <w:rsid w:val="00A312D8"/>
    <w:rsid w:val="00A41080"/>
    <w:rsid w:val="00A84D47"/>
    <w:rsid w:val="00AA71A7"/>
    <w:rsid w:val="00B31AC4"/>
    <w:rsid w:val="00B4144F"/>
    <w:rsid w:val="00B844E8"/>
    <w:rsid w:val="00BC1028"/>
    <w:rsid w:val="00BD08AB"/>
    <w:rsid w:val="00C67021"/>
    <w:rsid w:val="00CC3CF5"/>
    <w:rsid w:val="00CD4A1D"/>
    <w:rsid w:val="00D03AB2"/>
    <w:rsid w:val="00D13825"/>
    <w:rsid w:val="00D747D6"/>
    <w:rsid w:val="00DA20ED"/>
    <w:rsid w:val="00DC1CC5"/>
    <w:rsid w:val="00DC590C"/>
    <w:rsid w:val="00DE3D6D"/>
    <w:rsid w:val="00DF345F"/>
    <w:rsid w:val="00E162DA"/>
    <w:rsid w:val="00E34BCB"/>
    <w:rsid w:val="00E3580E"/>
    <w:rsid w:val="00EB6CB5"/>
    <w:rsid w:val="00F03F25"/>
    <w:rsid w:val="00F04778"/>
    <w:rsid w:val="00F30510"/>
    <w:rsid w:val="00F53968"/>
    <w:rsid w:val="00F71F11"/>
    <w:rsid w:val="00F91B08"/>
    <w:rsid w:val="3C7A5200"/>
    <w:rsid w:val="6025AD8A"/>
    <w:rsid w:val="6F2926D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BF036"/>
  <w15:docId w15:val="{1181BFA5-E3D9-46F6-89D5-3CAFBC54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customStyle="1" w:styleId="paragraph">
    <w:name w:val="paragraph"/>
    <w:basedOn w:val="Normal"/>
    <w:rsid w:val="00A84D47"/>
    <w:pPr>
      <w:spacing w:before="100" w:beforeAutospacing="1" w:after="100" w:afterAutospacing="1"/>
      <w:outlineLvl w:val="9"/>
    </w:pPr>
    <w:rPr>
      <w:rFonts w:ascii="Times New Roman" w:eastAsia="Times New Roman" w:hAnsi="Times New Roman" w:cs="Times New Roman"/>
      <w:sz w:val="24"/>
      <w:lang w:val="en-GB" w:eastAsia="en-GB"/>
    </w:rPr>
  </w:style>
  <w:style w:type="character" w:customStyle="1" w:styleId="normaltextrun">
    <w:name w:val="normaltextrun"/>
    <w:basedOn w:val="DefaultParagraphFont"/>
    <w:rsid w:val="00A84D47"/>
  </w:style>
  <w:style w:type="character" w:customStyle="1" w:styleId="eop">
    <w:name w:val="eop"/>
    <w:basedOn w:val="DefaultParagraphFont"/>
    <w:rsid w:val="00A84D47"/>
  </w:style>
  <w:style w:type="character" w:styleId="CommentReference">
    <w:name w:val="annotation reference"/>
    <w:basedOn w:val="DefaultParagraphFont"/>
    <w:semiHidden/>
    <w:unhideWhenUsed/>
    <w:rsid w:val="008C6FA6"/>
    <w:rPr>
      <w:sz w:val="16"/>
      <w:szCs w:val="16"/>
    </w:rPr>
  </w:style>
  <w:style w:type="paragraph" w:styleId="CommentText">
    <w:name w:val="annotation text"/>
    <w:basedOn w:val="Normal"/>
    <w:link w:val="CommentTextChar"/>
    <w:semiHidden/>
    <w:unhideWhenUsed/>
    <w:rsid w:val="008C6FA6"/>
    <w:rPr>
      <w:sz w:val="20"/>
      <w:szCs w:val="20"/>
    </w:rPr>
  </w:style>
  <w:style w:type="character" w:customStyle="1" w:styleId="CommentTextChar">
    <w:name w:val="Comment Text Char"/>
    <w:basedOn w:val="DefaultParagraphFont"/>
    <w:link w:val="CommentText"/>
    <w:semiHidden/>
    <w:rsid w:val="008C6FA6"/>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274416">
      <w:bodyDiv w:val="1"/>
      <w:marLeft w:val="0"/>
      <w:marRight w:val="0"/>
      <w:marTop w:val="0"/>
      <w:marBottom w:val="0"/>
      <w:divBdr>
        <w:top w:val="none" w:sz="0" w:space="0" w:color="auto"/>
        <w:left w:val="none" w:sz="0" w:space="0" w:color="auto"/>
        <w:bottom w:val="none" w:sz="0" w:space="0" w:color="auto"/>
        <w:right w:val="none" w:sz="0" w:space="0" w:color="auto"/>
      </w:divBdr>
      <w:divsChild>
        <w:div w:id="911475682">
          <w:marLeft w:val="0"/>
          <w:marRight w:val="0"/>
          <w:marTop w:val="0"/>
          <w:marBottom w:val="0"/>
          <w:divBdr>
            <w:top w:val="none" w:sz="0" w:space="0" w:color="auto"/>
            <w:left w:val="none" w:sz="0" w:space="0" w:color="auto"/>
            <w:bottom w:val="none" w:sz="0" w:space="0" w:color="auto"/>
            <w:right w:val="none" w:sz="0" w:space="0" w:color="auto"/>
          </w:divBdr>
        </w:div>
        <w:div w:id="918907921">
          <w:marLeft w:val="0"/>
          <w:marRight w:val="0"/>
          <w:marTop w:val="0"/>
          <w:marBottom w:val="0"/>
          <w:divBdr>
            <w:top w:val="none" w:sz="0" w:space="0" w:color="auto"/>
            <w:left w:val="none" w:sz="0" w:space="0" w:color="auto"/>
            <w:bottom w:val="none" w:sz="0" w:space="0" w:color="auto"/>
            <w:right w:val="none" w:sz="0" w:space="0" w:color="auto"/>
          </w:divBdr>
        </w:div>
        <w:div w:id="928927261">
          <w:marLeft w:val="0"/>
          <w:marRight w:val="0"/>
          <w:marTop w:val="0"/>
          <w:marBottom w:val="0"/>
          <w:divBdr>
            <w:top w:val="none" w:sz="0" w:space="0" w:color="auto"/>
            <w:left w:val="none" w:sz="0" w:space="0" w:color="auto"/>
            <w:bottom w:val="none" w:sz="0" w:space="0" w:color="auto"/>
            <w:right w:val="none" w:sz="0" w:space="0" w:color="auto"/>
          </w:divBdr>
        </w:div>
        <w:div w:id="1114053448">
          <w:marLeft w:val="0"/>
          <w:marRight w:val="0"/>
          <w:marTop w:val="0"/>
          <w:marBottom w:val="0"/>
          <w:divBdr>
            <w:top w:val="none" w:sz="0" w:space="0" w:color="auto"/>
            <w:left w:val="none" w:sz="0" w:space="0" w:color="auto"/>
            <w:bottom w:val="none" w:sz="0" w:space="0" w:color="auto"/>
            <w:right w:val="none" w:sz="0" w:space="0" w:color="auto"/>
          </w:divBdr>
        </w:div>
        <w:div w:id="1146971665">
          <w:marLeft w:val="0"/>
          <w:marRight w:val="0"/>
          <w:marTop w:val="0"/>
          <w:marBottom w:val="0"/>
          <w:divBdr>
            <w:top w:val="none" w:sz="0" w:space="0" w:color="auto"/>
            <w:left w:val="none" w:sz="0" w:space="0" w:color="auto"/>
            <w:bottom w:val="none" w:sz="0" w:space="0" w:color="auto"/>
            <w:right w:val="none" w:sz="0" w:space="0" w:color="auto"/>
          </w:divBdr>
        </w:div>
        <w:div w:id="1166550268">
          <w:marLeft w:val="0"/>
          <w:marRight w:val="0"/>
          <w:marTop w:val="0"/>
          <w:marBottom w:val="0"/>
          <w:divBdr>
            <w:top w:val="none" w:sz="0" w:space="0" w:color="auto"/>
            <w:left w:val="none" w:sz="0" w:space="0" w:color="auto"/>
            <w:bottom w:val="none" w:sz="0" w:space="0" w:color="auto"/>
            <w:right w:val="none" w:sz="0" w:space="0" w:color="auto"/>
          </w:divBdr>
        </w:div>
        <w:div w:id="1321738257">
          <w:marLeft w:val="0"/>
          <w:marRight w:val="0"/>
          <w:marTop w:val="0"/>
          <w:marBottom w:val="0"/>
          <w:divBdr>
            <w:top w:val="none" w:sz="0" w:space="0" w:color="auto"/>
            <w:left w:val="none" w:sz="0" w:space="0" w:color="auto"/>
            <w:bottom w:val="none" w:sz="0" w:space="0" w:color="auto"/>
            <w:right w:val="none" w:sz="0" w:space="0" w:color="auto"/>
          </w:divBdr>
        </w:div>
        <w:div w:id="1537154178">
          <w:marLeft w:val="0"/>
          <w:marRight w:val="0"/>
          <w:marTop w:val="0"/>
          <w:marBottom w:val="0"/>
          <w:divBdr>
            <w:top w:val="none" w:sz="0" w:space="0" w:color="auto"/>
            <w:left w:val="none" w:sz="0" w:space="0" w:color="auto"/>
            <w:bottom w:val="none" w:sz="0" w:space="0" w:color="auto"/>
            <w:right w:val="none" w:sz="0" w:space="0" w:color="auto"/>
          </w:divBdr>
          <w:divsChild>
            <w:div w:id="523515590">
              <w:marLeft w:val="0"/>
              <w:marRight w:val="0"/>
              <w:marTop w:val="0"/>
              <w:marBottom w:val="0"/>
              <w:divBdr>
                <w:top w:val="none" w:sz="0" w:space="0" w:color="auto"/>
                <w:left w:val="none" w:sz="0" w:space="0" w:color="auto"/>
                <w:bottom w:val="none" w:sz="0" w:space="0" w:color="auto"/>
                <w:right w:val="none" w:sz="0" w:space="0" w:color="auto"/>
              </w:divBdr>
            </w:div>
            <w:div w:id="844631377">
              <w:marLeft w:val="0"/>
              <w:marRight w:val="0"/>
              <w:marTop w:val="0"/>
              <w:marBottom w:val="0"/>
              <w:divBdr>
                <w:top w:val="none" w:sz="0" w:space="0" w:color="auto"/>
                <w:left w:val="none" w:sz="0" w:space="0" w:color="auto"/>
                <w:bottom w:val="none" w:sz="0" w:space="0" w:color="auto"/>
                <w:right w:val="none" w:sz="0" w:space="0" w:color="auto"/>
              </w:divBdr>
            </w:div>
            <w:div w:id="1937249718">
              <w:marLeft w:val="0"/>
              <w:marRight w:val="0"/>
              <w:marTop w:val="0"/>
              <w:marBottom w:val="0"/>
              <w:divBdr>
                <w:top w:val="none" w:sz="0" w:space="0" w:color="auto"/>
                <w:left w:val="none" w:sz="0" w:space="0" w:color="auto"/>
                <w:bottom w:val="none" w:sz="0" w:space="0" w:color="auto"/>
                <w:right w:val="none" w:sz="0" w:space="0" w:color="auto"/>
              </w:divBdr>
            </w:div>
          </w:divsChild>
        </w:div>
        <w:div w:id="1688557276">
          <w:marLeft w:val="0"/>
          <w:marRight w:val="0"/>
          <w:marTop w:val="0"/>
          <w:marBottom w:val="0"/>
          <w:divBdr>
            <w:top w:val="none" w:sz="0" w:space="0" w:color="auto"/>
            <w:left w:val="none" w:sz="0" w:space="0" w:color="auto"/>
            <w:bottom w:val="none" w:sz="0" w:space="0" w:color="auto"/>
            <w:right w:val="none" w:sz="0" w:space="0" w:color="auto"/>
          </w:divBdr>
        </w:div>
        <w:div w:id="1947956964">
          <w:marLeft w:val="0"/>
          <w:marRight w:val="0"/>
          <w:marTop w:val="0"/>
          <w:marBottom w:val="0"/>
          <w:divBdr>
            <w:top w:val="none" w:sz="0" w:space="0" w:color="auto"/>
            <w:left w:val="none" w:sz="0" w:space="0" w:color="auto"/>
            <w:bottom w:val="none" w:sz="0" w:space="0" w:color="auto"/>
            <w:right w:val="none" w:sz="0" w:space="0" w:color="auto"/>
          </w:divBdr>
        </w:div>
      </w:divsChild>
    </w:div>
    <w:div w:id="2041204708">
      <w:bodyDiv w:val="1"/>
      <w:marLeft w:val="0"/>
      <w:marRight w:val="0"/>
      <w:marTop w:val="0"/>
      <w:marBottom w:val="0"/>
      <w:divBdr>
        <w:top w:val="none" w:sz="0" w:space="0" w:color="auto"/>
        <w:left w:val="none" w:sz="0" w:space="0" w:color="auto"/>
        <w:bottom w:val="none" w:sz="0" w:space="0" w:color="auto"/>
        <w:right w:val="none" w:sz="0" w:space="0" w:color="auto"/>
      </w:divBdr>
      <w:divsChild>
        <w:div w:id="8325268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ho.int/iris/handle/10665/33144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who.int/emergencies/diseases/novel-coronavirus-2019/situation-report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foamid.com/2020/03/17/covid-19-ultimate-resource-list/" TargetMode="External"/><Relationship Id="rId4" Type="http://schemas.openxmlformats.org/officeDocument/2006/relationships/webSettings" Target="webSettings.xml"/><Relationship Id="rId9" Type="http://schemas.openxmlformats.org/officeDocument/2006/relationships/hyperlink" Target="https://www.ncbi.nlm.nih.gov/research/coronavirus/"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kemokwe\AppData\Local\Microsoft\Windows\Temporary%20Internet%20Files\Content.Outlook\VENEUYGC\Clinical%20guideline%20template%20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2019</Template>
  <TotalTime>6</TotalTime>
  <Pages>6</Pages>
  <Words>1691</Words>
  <Characters>10336</Characters>
  <Application>Microsoft Office Word</Application>
  <DocSecurity>0</DocSecurity>
  <Lines>206</Lines>
  <Paragraphs>108</Paragraphs>
  <ScaleCrop>false</ScaleCrop>
  <Company>MRC</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Akemokwe Fatai</dc:creator>
  <cp:keywords/>
  <cp:lastModifiedBy>Karen Forrest</cp:lastModifiedBy>
  <cp:revision>15</cp:revision>
  <dcterms:created xsi:type="dcterms:W3CDTF">2020-04-01T22:59:00Z</dcterms:created>
  <dcterms:modified xsi:type="dcterms:W3CDTF">2020-04-10T11:16:00Z</dcterms:modified>
</cp:coreProperties>
</file>