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28E9" w14:textId="77777777" w:rsidR="008F3EB7" w:rsidRPr="00EF2FB1" w:rsidRDefault="008F3EB7" w:rsidP="008F3EB7">
      <w:pPr>
        <w:pStyle w:val="Heading1"/>
      </w:pPr>
      <w:r>
        <w:rPr>
          <w:lang w:val="en-GB"/>
        </w:rPr>
        <w:t>Diabetes Mellitus</w:t>
      </w:r>
    </w:p>
    <w:p w14:paraId="6E59E1AA" w14:textId="29990E04" w:rsidR="00753C85" w:rsidRPr="00A83DCB" w:rsidRDefault="00753C85" w:rsidP="008F3EB7">
      <w:pPr>
        <w:pStyle w:val="Heading2"/>
        <w:rPr>
          <w:i/>
        </w:rPr>
      </w:pPr>
      <w:r w:rsidRPr="00A83DCB">
        <w:rPr>
          <w:i/>
        </w:rPr>
        <w:t>Execu</w:t>
      </w:r>
      <w:r w:rsidR="00A83DCB" w:rsidRPr="00A83DCB">
        <w:rPr>
          <w:i/>
        </w:rPr>
        <w:t>tive summary</w:t>
      </w:r>
    </w:p>
    <w:p w14:paraId="0B4B425F" w14:textId="2E4D80FB" w:rsidR="008F3EB7" w:rsidRDefault="008F3EB7" w:rsidP="008F3EB7">
      <w:pPr>
        <w:pStyle w:val="Heading2"/>
      </w:pPr>
      <w:r w:rsidRPr="00EF2FB1">
        <w:t>Introduction</w:t>
      </w:r>
    </w:p>
    <w:p w14:paraId="5ACFFC5D" w14:textId="77777777" w:rsidR="007658D8" w:rsidRPr="00233107" w:rsidRDefault="007658D8" w:rsidP="007658D8">
      <w:pPr>
        <w:pStyle w:val="Heading3"/>
        <w:rPr>
          <w:rFonts w:eastAsia="MS Mincho"/>
        </w:rPr>
      </w:pPr>
      <w:r w:rsidRPr="00197853">
        <w:rPr>
          <w:rFonts w:eastAsia="MS Mincho" w:cs="Arial"/>
          <w:b w:val="0"/>
          <w:bCs w:val="0"/>
          <w:szCs w:val="22"/>
          <w:u w:val="none"/>
        </w:rPr>
        <w:t>Diabetes mellitus (DM) is a metabolic disorder characterized by chronic hyperglycemia.</w:t>
      </w:r>
      <w:r>
        <w:rPr>
          <w:rFonts w:eastAsia="MS Mincho" w:cs="Arial"/>
          <w:b w:val="0"/>
          <w:bCs w:val="0"/>
          <w:szCs w:val="22"/>
          <w:u w:val="none"/>
        </w:rPr>
        <w:t xml:space="preserve"> It predisposes to blindness, limb amputation and is a major risk factor for cardiovascular disease and death. Type 2 DM is the most common type with many patients having</w:t>
      </w:r>
      <w:r w:rsidRPr="00233107">
        <w:rPr>
          <w:rFonts w:eastAsia="MS Mincho" w:cs="Arial"/>
          <w:b w:val="0"/>
          <w:bCs w:val="0"/>
          <w:szCs w:val="22"/>
          <w:u w:val="none"/>
        </w:rPr>
        <w:t xml:space="preserve"> no symptoms and </w:t>
      </w:r>
      <w:r>
        <w:rPr>
          <w:rFonts w:eastAsia="MS Mincho" w:cs="Arial"/>
          <w:b w:val="0"/>
          <w:bCs w:val="0"/>
          <w:szCs w:val="22"/>
          <w:u w:val="none"/>
        </w:rPr>
        <w:t>diagnosed incidentally.</w:t>
      </w:r>
    </w:p>
    <w:p w14:paraId="118C251E" w14:textId="77777777" w:rsidR="004B02D3" w:rsidRPr="0030588F" w:rsidRDefault="004B02D3" w:rsidP="004B02D3">
      <w:r>
        <w:t>This guideline covers the diagnoses and treatment of diabetes mellitus.</w:t>
      </w:r>
    </w:p>
    <w:p w14:paraId="4878A7B8" w14:textId="77777777" w:rsidR="004B02D3" w:rsidRDefault="004B02D3" w:rsidP="004B02D3">
      <w:pPr>
        <w:pStyle w:val="Heading3"/>
        <w:rPr>
          <w:rFonts w:eastAsia="MS Mincho" w:cs="Arial"/>
          <w:bCs w:val="0"/>
          <w:sz w:val="24"/>
          <w:szCs w:val="22"/>
          <w:u w:val="none"/>
        </w:rPr>
      </w:pPr>
      <w:r w:rsidRPr="00612AEE">
        <w:rPr>
          <w:rFonts w:eastAsia="MS Mincho" w:cs="Arial"/>
          <w:bCs w:val="0"/>
          <w:sz w:val="24"/>
          <w:szCs w:val="22"/>
          <w:u w:val="none"/>
        </w:rPr>
        <w:t>Target User</w:t>
      </w:r>
    </w:p>
    <w:p w14:paraId="57C7240B" w14:textId="77777777" w:rsidR="004B02D3" w:rsidRDefault="004B02D3" w:rsidP="004B02D3">
      <w:pPr>
        <w:pStyle w:val="ListParagraph"/>
        <w:numPr>
          <w:ilvl w:val="0"/>
          <w:numId w:val="45"/>
        </w:numPr>
      </w:pPr>
      <w:r>
        <w:t>Nurses</w:t>
      </w:r>
    </w:p>
    <w:p w14:paraId="0DBEB0E9" w14:textId="77777777" w:rsidR="004B02D3" w:rsidRPr="00612AEE" w:rsidRDefault="004B02D3" w:rsidP="004B02D3">
      <w:pPr>
        <w:pStyle w:val="ListParagraph"/>
        <w:numPr>
          <w:ilvl w:val="0"/>
          <w:numId w:val="45"/>
        </w:numPr>
      </w:pPr>
      <w:r>
        <w:t>Doctors</w:t>
      </w:r>
    </w:p>
    <w:p w14:paraId="6795983C" w14:textId="77777777" w:rsidR="004B02D3" w:rsidRDefault="004B02D3" w:rsidP="004B02D3">
      <w:pPr>
        <w:pStyle w:val="Heading3"/>
        <w:rPr>
          <w:rFonts w:eastAsia="MS Mincho" w:cs="Arial"/>
          <w:bCs w:val="0"/>
          <w:sz w:val="24"/>
          <w:szCs w:val="22"/>
          <w:u w:val="none"/>
        </w:rPr>
      </w:pPr>
      <w:r w:rsidRPr="00612AEE">
        <w:rPr>
          <w:rFonts w:eastAsia="MS Mincho" w:cs="Arial"/>
          <w:bCs w:val="0"/>
          <w:sz w:val="24"/>
          <w:szCs w:val="22"/>
          <w:u w:val="none"/>
        </w:rPr>
        <w:t xml:space="preserve">Target area of use </w:t>
      </w:r>
    </w:p>
    <w:p w14:paraId="70FE1B79" w14:textId="77777777" w:rsidR="004B02D3" w:rsidRDefault="004B02D3" w:rsidP="004B02D3">
      <w:pPr>
        <w:pStyle w:val="ListParagraph"/>
        <w:numPr>
          <w:ilvl w:val="0"/>
          <w:numId w:val="45"/>
        </w:numPr>
      </w:pPr>
      <w:r>
        <w:t>Gate Clinic</w:t>
      </w:r>
    </w:p>
    <w:p w14:paraId="5F70DD74" w14:textId="77777777" w:rsidR="004B02D3" w:rsidRDefault="004B02D3" w:rsidP="004B02D3">
      <w:pPr>
        <w:pStyle w:val="ListParagraph"/>
        <w:numPr>
          <w:ilvl w:val="0"/>
          <w:numId w:val="45"/>
        </w:numPr>
      </w:pPr>
      <w:r>
        <w:t>Outpatient Department</w:t>
      </w:r>
    </w:p>
    <w:p w14:paraId="07EC8595" w14:textId="77777777" w:rsidR="004B02D3" w:rsidRPr="00612AEE" w:rsidRDefault="004B02D3" w:rsidP="004B02D3">
      <w:pPr>
        <w:pStyle w:val="ListParagraph"/>
        <w:numPr>
          <w:ilvl w:val="0"/>
          <w:numId w:val="45"/>
        </w:numPr>
      </w:pPr>
      <w:r>
        <w:t>Ward</w:t>
      </w:r>
    </w:p>
    <w:p w14:paraId="17CD61D3" w14:textId="77777777" w:rsidR="004B02D3" w:rsidRDefault="004B02D3" w:rsidP="004B02D3">
      <w:pPr>
        <w:pStyle w:val="Heading3"/>
        <w:rPr>
          <w:rFonts w:eastAsia="MS Mincho" w:cs="Arial"/>
          <w:bCs w:val="0"/>
          <w:sz w:val="24"/>
          <w:szCs w:val="22"/>
          <w:u w:val="none"/>
        </w:rPr>
      </w:pPr>
      <w:r>
        <w:rPr>
          <w:rFonts w:eastAsia="MS Mincho" w:cs="Arial"/>
          <w:bCs w:val="0"/>
          <w:sz w:val="24"/>
          <w:szCs w:val="22"/>
          <w:u w:val="none"/>
        </w:rPr>
        <w:t xml:space="preserve">Key areas of focus / </w:t>
      </w:r>
      <w:r w:rsidRPr="00612AEE">
        <w:rPr>
          <w:rFonts w:eastAsia="MS Mincho" w:cs="Arial"/>
          <w:bCs w:val="0"/>
          <w:sz w:val="24"/>
          <w:szCs w:val="22"/>
          <w:u w:val="none"/>
        </w:rPr>
        <w:t xml:space="preserve">New additions / </w:t>
      </w:r>
      <w:r>
        <w:rPr>
          <w:rFonts w:eastAsia="MS Mincho" w:cs="Arial"/>
          <w:bCs w:val="0"/>
          <w:sz w:val="24"/>
          <w:szCs w:val="22"/>
          <w:u w:val="none"/>
        </w:rPr>
        <w:t>C</w:t>
      </w:r>
      <w:r w:rsidRPr="00612AEE">
        <w:rPr>
          <w:rFonts w:eastAsia="MS Mincho" w:cs="Arial"/>
          <w:bCs w:val="0"/>
          <w:sz w:val="24"/>
          <w:szCs w:val="22"/>
          <w:u w:val="none"/>
        </w:rPr>
        <w:t xml:space="preserve">hanges </w:t>
      </w:r>
    </w:p>
    <w:p w14:paraId="3D2E9413" w14:textId="77777777" w:rsidR="004B02D3" w:rsidRDefault="004B02D3" w:rsidP="004B02D3">
      <w:r>
        <w:t>DM is diagnosed if fasting blood glucose is ≥ 7.0 mmol/</w:t>
      </w:r>
      <w:proofErr w:type="gramStart"/>
      <w:r>
        <w:t>L  or</w:t>
      </w:r>
      <w:proofErr w:type="gramEnd"/>
      <w:r>
        <w:t xml:space="preserve"> random blood glucose ≥ 11.1 mmol/L with typical symptoms. Patients with newly diagnosed DM or features suggestive of complications should be referred from the Gate Clinic to the OPD. Management of DM is aimed at blood glucose control and prevention of</w:t>
      </w:r>
      <w:r w:rsidRPr="00156BB1">
        <w:t xml:space="preserve"> complications</w:t>
      </w:r>
      <w:r>
        <w:t xml:space="preserve"> using pharmacologic and non-pharmacologic measures</w:t>
      </w:r>
      <w:r w:rsidRPr="00156BB1">
        <w:t>.</w:t>
      </w:r>
    </w:p>
    <w:p w14:paraId="3EF36E20" w14:textId="77777777" w:rsidR="004B02D3" w:rsidRDefault="004B02D3" w:rsidP="004B02D3">
      <w:r>
        <w:t>Patients with type 1 DM will require lifelong insulin therapy and should be referred to EFSTH. Patients with type 2 DM will typically receive metformin alone or in combination with other drugs.</w:t>
      </w:r>
    </w:p>
    <w:p w14:paraId="45C77CA1" w14:textId="6200F98C" w:rsidR="004B02D3" w:rsidRPr="00B27CBD" w:rsidRDefault="004B02D3" w:rsidP="004B02D3">
      <w:r>
        <w:t xml:space="preserve">Insulin therapy should be considered in the in-patient management of DM </w:t>
      </w:r>
      <w:proofErr w:type="gramStart"/>
      <w:r>
        <w:t>if  blood</w:t>
      </w:r>
      <w:proofErr w:type="gramEnd"/>
      <w:r>
        <w:t xml:space="preserve"> glucose is persistently &gt; 10 mmol/l. This can be achieved by giving scheduled basal, premeal and correctional doses of insulin.  </w:t>
      </w:r>
    </w:p>
    <w:p w14:paraId="1104F5FF" w14:textId="77777777" w:rsidR="004B02D3" w:rsidRDefault="004B02D3" w:rsidP="004B02D3">
      <w:pPr>
        <w:pStyle w:val="Heading3"/>
        <w:rPr>
          <w:rFonts w:eastAsia="MS Mincho" w:cs="Arial"/>
          <w:bCs w:val="0"/>
          <w:sz w:val="24"/>
          <w:szCs w:val="22"/>
          <w:u w:val="none"/>
        </w:rPr>
      </w:pPr>
      <w:r w:rsidRPr="00612AEE">
        <w:rPr>
          <w:rFonts w:eastAsia="MS Mincho" w:cs="Arial"/>
          <w:bCs w:val="0"/>
          <w:sz w:val="24"/>
          <w:szCs w:val="22"/>
          <w:u w:val="none"/>
        </w:rPr>
        <w:t xml:space="preserve">Limitations </w:t>
      </w:r>
    </w:p>
    <w:p w14:paraId="065DF262" w14:textId="7FEA641D" w:rsidR="004B02D3" w:rsidRDefault="004B02D3" w:rsidP="004B02D3">
      <w:pPr>
        <w:pStyle w:val="Heading2"/>
        <w:rPr>
          <w:b w:val="0"/>
          <w:szCs w:val="22"/>
        </w:rPr>
      </w:pPr>
      <w:r>
        <w:rPr>
          <w:rFonts w:cs="Arial"/>
          <w:b w:val="0"/>
          <w:sz w:val="22"/>
          <w:szCs w:val="22"/>
        </w:rPr>
        <w:t xml:space="preserve">This guideline does not address the management of </w:t>
      </w:r>
      <w:proofErr w:type="spellStart"/>
      <w:r>
        <w:rPr>
          <w:rFonts w:cs="Arial"/>
          <w:b w:val="0"/>
          <w:sz w:val="22"/>
          <w:szCs w:val="22"/>
        </w:rPr>
        <w:t>hyperglycaemic</w:t>
      </w:r>
      <w:proofErr w:type="spellEnd"/>
      <w:r>
        <w:rPr>
          <w:rFonts w:cs="Arial"/>
          <w:b w:val="0"/>
          <w:sz w:val="22"/>
          <w:szCs w:val="22"/>
        </w:rPr>
        <w:t xml:space="preserve"> emergencie</w:t>
      </w:r>
      <w:r w:rsidR="007658D8">
        <w:rPr>
          <w:rFonts w:cs="Arial"/>
          <w:b w:val="0"/>
          <w:sz w:val="22"/>
          <w:szCs w:val="22"/>
        </w:rPr>
        <w:t>s. These are addressed in MeG-CLS-</w:t>
      </w:r>
      <w:r w:rsidR="00666EE5">
        <w:rPr>
          <w:rFonts w:cs="Arial"/>
          <w:b w:val="0"/>
          <w:sz w:val="22"/>
          <w:szCs w:val="22"/>
        </w:rPr>
        <w:t>021</w:t>
      </w:r>
      <w:r w:rsidR="001126F0">
        <w:rPr>
          <w:rFonts w:cs="Arial"/>
          <w:b w:val="0"/>
          <w:sz w:val="22"/>
          <w:szCs w:val="22"/>
        </w:rPr>
        <w:t xml:space="preserve"> Diabetic ketoacidosis and MeG-CLS-</w:t>
      </w:r>
      <w:r w:rsidR="00680CB6">
        <w:rPr>
          <w:rFonts w:cs="Arial"/>
          <w:b w:val="0"/>
          <w:sz w:val="22"/>
          <w:szCs w:val="22"/>
        </w:rPr>
        <w:t xml:space="preserve">046 </w:t>
      </w:r>
      <w:proofErr w:type="spellStart"/>
      <w:r w:rsidR="001126F0">
        <w:rPr>
          <w:rFonts w:cs="Arial"/>
          <w:b w:val="0"/>
          <w:sz w:val="22"/>
          <w:szCs w:val="22"/>
        </w:rPr>
        <w:t>H</w:t>
      </w:r>
      <w:r w:rsidR="00680CB6">
        <w:rPr>
          <w:rFonts w:cs="Arial"/>
          <w:b w:val="0"/>
          <w:sz w:val="22"/>
          <w:szCs w:val="22"/>
        </w:rPr>
        <w:t>yperglycaemic</w:t>
      </w:r>
      <w:proofErr w:type="spellEnd"/>
      <w:r w:rsidR="00680CB6">
        <w:rPr>
          <w:rFonts w:cs="Arial"/>
          <w:b w:val="0"/>
          <w:sz w:val="22"/>
          <w:szCs w:val="22"/>
        </w:rPr>
        <w:t xml:space="preserve"> h</w:t>
      </w:r>
      <w:r w:rsidR="001126F0">
        <w:rPr>
          <w:rFonts w:cs="Arial"/>
          <w:b w:val="0"/>
          <w:sz w:val="22"/>
          <w:szCs w:val="22"/>
        </w:rPr>
        <w:t>yperosmolar</w:t>
      </w:r>
      <w:r w:rsidR="00680CB6">
        <w:rPr>
          <w:rFonts w:cs="Arial"/>
          <w:b w:val="0"/>
          <w:sz w:val="22"/>
          <w:szCs w:val="22"/>
        </w:rPr>
        <w:t xml:space="preserve"> state</w:t>
      </w:r>
      <w:r w:rsidR="00666EE5">
        <w:rPr>
          <w:rFonts w:cs="Arial"/>
          <w:b w:val="0"/>
          <w:sz w:val="22"/>
          <w:szCs w:val="22"/>
        </w:rPr>
        <w:t>.</w:t>
      </w:r>
    </w:p>
    <w:p w14:paraId="16B0A3E4" w14:textId="77777777" w:rsidR="004B02D3" w:rsidRPr="00AF54B3" w:rsidRDefault="004B02D3" w:rsidP="008F3EB7">
      <w:pPr>
        <w:rPr>
          <w:rFonts w:cs="Tahoma"/>
        </w:rPr>
      </w:pPr>
    </w:p>
    <w:p w14:paraId="6E739ED5" w14:textId="77777777" w:rsidR="004B02D3" w:rsidRDefault="004B02D3">
      <w:pPr>
        <w:spacing w:after="0"/>
        <w:outlineLvl w:val="9"/>
        <w:rPr>
          <w:rFonts w:cs="Times New Roman"/>
          <w:b/>
          <w:sz w:val="24"/>
          <w:szCs w:val="28"/>
        </w:rPr>
      </w:pPr>
      <w:r>
        <w:br w:type="page"/>
      </w:r>
    </w:p>
    <w:p w14:paraId="7F5C4EA5" w14:textId="5A724FFE" w:rsidR="008F3EB7" w:rsidRDefault="008F3EB7" w:rsidP="008F3EB7">
      <w:pPr>
        <w:pStyle w:val="Heading2"/>
      </w:pPr>
      <w:r w:rsidRPr="00EF2FB1">
        <w:lastRenderedPageBreak/>
        <w:t>Presenting symptoms and signs</w:t>
      </w:r>
    </w:p>
    <w:p w14:paraId="1342111F" w14:textId="77777777" w:rsidR="008F3EB7" w:rsidRPr="005531AC" w:rsidRDefault="008F3EB7" w:rsidP="008F3EB7">
      <w:pPr>
        <w:pStyle w:val="Default"/>
        <w:spacing w:after="120"/>
        <w:rPr>
          <w:rFonts w:ascii="Arial" w:hAnsi="Arial" w:cs="Arial"/>
          <w:sz w:val="22"/>
          <w:szCs w:val="22"/>
        </w:rPr>
      </w:pPr>
      <w:r w:rsidRPr="005531AC">
        <w:rPr>
          <w:rFonts w:ascii="Arial" w:hAnsi="Arial" w:cs="Arial"/>
          <w:sz w:val="22"/>
          <w:szCs w:val="22"/>
        </w:rPr>
        <w:t>Many patients have no symptoms and are diagnosed incidentally while being investigated or treated for some other medical condition.</w:t>
      </w:r>
    </w:p>
    <w:p w14:paraId="68978B6E" w14:textId="77777777" w:rsidR="008F3EB7" w:rsidRPr="006B5E2C" w:rsidRDefault="008F3EB7" w:rsidP="008F3EB7">
      <w:pPr>
        <w:pStyle w:val="Default"/>
        <w:rPr>
          <w:rFonts w:ascii="Arial" w:hAnsi="Arial" w:cs="Arial"/>
          <w:sz w:val="22"/>
          <w:szCs w:val="22"/>
        </w:rPr>
      </w:pPr>
      <w:r w:rsidRPr="006B5E2C">
        <w:rPr>
          <w:rFonts w:ascii="Arial" w:hAnsi="Arial" w:cs="Arial"/>
          <w:sz w:val="22"/>
          <w:szCs w:val="22"/>
        </w:rPr>
        <w:t xml:space="preserve">Symptoms of diabetes mellitus at presentation may include: </w:t>
      </w:r>
    </w:p>
    <w:p w14:paraId="18CCEB82" w14:textId="77777777" w:rsidR="008F3EB7" w:rsidRPr="006B5E2C" w:rsidRDefault="008F3EB7" w:rsidP="008F3EB7">
      <w:pPr>
        <w:pStyle w:val="Default"/>
        <w:numPr>
          <w:ilvl w:val="0"/>
          <w:numId w:val="25"/>
        </w:numPr>
        <w:rPr>
          <w:rFonts w:ascii="Arial" w:hAnsi="Arial" w:cs="Arial"/>
          <w:sz w:val="22"/>
          <w:szCs w:val="22"/>
        </w:rPr>
      </w:pPr>
      <w:r w:rsidRPr="006B5E2C">
        <w:rPr>
          <w:rFonts w:ascii="Arial" w:hAnsi="Arial" w:cs="Arial"/>
          <w:sz w:val="22"/>
          <w:szCs w:val="22"/>
        </w:rPr>
        <w:t>Classic symptoms</w:t>
      </w:r>
    </w:p>
    <w:p w14:paraId="087386F6" w14:textId="77777777" w:rsidR="008F3EB7" w:rsidRPr="006B5E2C" w:rsidRDefault="008F3EB7" w:rsidP="008F3EB7">
      <w:pPr>
        <w:pStyle w:val="Default"/>
        <w:numPr>
          <w:ilvl w:val="1"/>
          <w:numId w:val="25"/>
        </w:numPr>
        <w:rPr>
          <w:rFonts w:ascii="Arial" w:hAnsi="Arial" w:cs="Arial"/>
          <w:sz w:val="22"/>
          <w:szCs w:val="22"/>
        </w:rPr>
      </w:pPr>
      <w:r w:rsidRPr="006B5E2C">
        <w:rPr>
          <w:rFonts w:ascii="Arial" w:hAnsi="Arial" w:cs="Arial"/>
          <w:sz w:val="22"/>
          <w:szCs w:val="22"/>
        </w:rPr>
        <w:t>increased thirst</w:t>
      </w:r>
    </w:p>
    <w:p w14:paraId="530D4FB3" w14:textId="77777777" w:rsidR="008F3EB7" w:rsidRPr="006B5E2C" w:rsidRDefault="008F3EB7" w:rsidP="008F3EB7">
      <w:pPr>
        <w:pStyle w:val="Default"/>
        <w:numPr>
          <w:ilvl w:val="1"/>
          <w:numId w:val="25"/>
        </w:numPr>
        <w:rPr>
          <w:rFonts w:ascii="Arial" w:hAnsi="Arial" w:cs="Arial"/>
          <w:sz w:val="22"/>
          <w:szCs w:val="22"/>
        </w:rPr>
      </w:pPr>
      <w:r w:rsidRPr="006B5E2C">
        <w:rPr>
          <w:rFonts w:ascii="Arial" w:hAnsi="Arial" w:cs="Arial"/>
          <w:sz w:val="22"/>
          <w:szCs w:val="22"/>
        </w:rPr>
        <w:t>increased volume and frequency of urination</w:t>
      </w:r>
    </w:p>
    <w:p w14:paraId="40B7790B" w14:textId="77777777" w:rsidR="008F3EB7" w:rsidRPr="006B5E2C" w:rsidRDefault="008F3EB7" w:rsidP="008F3EB7">
      <w:pPr>
        <w:pStyle w:val="Default"/>
        <w:numPr>
          <w:ilvl w:val="1"/>
          <w:numId w:val="25"/>
        </w:numPr>
        <w:rPr>
          <w:rFonts w:ascii="Arial" w:hAnsi="Arial" w:cs="Arial"/>
          <w:sz w:val="22"/>
          <w:szCs w:val="22"/>
        </w:rPr>
      </w:pPr>
      <w:r w:rsidRPr="006B5E2C">
        <w:rPr>
          <w:rFonts w:ascii="Arial" w:hAnsi="Arial" w:cs="Arial"/>
          <w:sz w:val="22"/>
          <w:szCs w:val="22"/>
        </w:rPr>
        <w:t xml:space="preserve">polyphagia </w:t>
      </w:r>
    </w:p>
    <w:p w14:paraId="59AB6DDE" w14:textId="77777777" w:rsidR="008F3EB7" w:rsidRPr="006B5E2C" w:rsidRDefault="008F3EB7" w:rsidP="008F3EB7">
      <w:pPr>
        <w:pStyle w:val="Default"/>
        <w:numPr>
          <w:ilvl w:val="0"/>
          <w:numId w:val="25"/>
        </w:numPr>
        <w:rPr>
          <w:rFonts w:ascii="Arial" w:hAnsi="Arial" w:cs="Arial"/>
          <w:sz w:val="22"/>
          <w:szCs w:val="22"/>
        </w:rPr>
      </w:pPr>
      <w:r w:rsidRPr="006B5E2C">
        <w:rPr>
          <w:rFonts w:ascii="Arial" w:hAnsi="Arial" w:cs="Arial"/>
          <w:sz w:val="22"/>
          <w:szCs w:val="22"/>
        </w:rPr>
        <w:t>Recurrent Infections</w:t>
      </w:r>
    </w:p>
    <w:p w14:paraId="20A2B372" w14:textId="77777777" w:rsidR="008F3EB7" w:rsidRPr="006B5E2C" w:rsidRDefault="008F3EB7" w:rsidP="008F3EB7">
      <w:pPr>
        <w:pStyle w:val="Default"/>
        <w:numPr>
          <w:ilvl w:val="1"/>
          <w:numId w:val="25"/>
        </w:numPr>
        <w:rPr>
          <w:rFonts w:ascii="Arial" w:hAnsi="Arial" w:cs="Arial"/>
          <w:sz w:val="22"/>
          <w:szCs w:val="22"/>
        </w:rPr>
      </w:pPr>
      <w:r w:rsidRPr="006B5E2C">
        <w:rPr>
          <w:rFonts w:ascii="Arial" w:hAnsi="Arial" w:cs="Arial"/>
          <w:sz w:val="22"/>
          <w:szCs w:val="22"/>
        </w:rPr>
        <w:t xml:space="preserve">recurrent boils and other skin infections </w:t>
      </w:r>
    </w:p>
    <w:p w14:paraId="1CCACF11" w14:textId="77777777" w:rsidR="008F3EB7" w:rsidRPr="006B5E2C" w:rsidRDefault="008F3EB7" w:rsidP="008F3EB7">
      <w:pPr>
        <w:pStyle w:val="Default"/>
        <w:numPr>
          <w:ilvl w:val="1"/>
          <w:numId w:val="25"/>
        </w:numPr>
        <w:rPr>
          <w:rFonts w:ascii="Arial" w:hAnsi="Arial" w:cs="Arial"/>
          <w:sz w:val="22"/>
          <w:szCs w:val="22"/>
        </w:rPr>
      </w:pPr>
      <w:r w:rsidRPr="006B5E2C">
        <w:rPr>
          <w:rFonts w:ascii="Arial" w:hAnsi="Arial" w:cs="Arial"/>
          <w:sz w:val="22"/>
          <w:szCs w:val="22"/>
        </w:rPr>
        <w:t>recurrent genital infections (persistent whitish discharge with itch in women, inflammation of glans penis in men)</w:t>
      </w:r>
    </w:p>
    <w:p w14:paraId="2B7690ED" w14:textId="77777777" w:rsidR="008F3EB7" w:rsidRPr="006B5E2C" w:rsidRDefault="008F3EB7" w:rsidP="008F3EB7">
      <w:pPr>
        <w:pStyle w:val="Default"/>
        <w:numPr>
          <w:ilvl w:val="0"/>
          <w:numId w:val="25"/>
        </w:numPr>
        <w:rPr>
          <w:rFonts w:ascii="Arial" w:hAnsi="Arial" w:cs="Arial"/>
          <w:sz w:val="22"/>
          <w:szCs w:val="22"/>
        </w:rPr>
      </w:pPr>
      <w:r w:rsidRPr="006B5E2C">
        <w:rPr>
          <w:rFonts w:ascii="Arial" w:hAnsi="Arial" w:cs="Arial"/>
          <w:sz w:val="22"/>
          <w:szCs w:val="22"/>
        </w:rPr>
        <w:t>unexplained abdominal pain (mimicking a surgical/acute abdomen),</w:t>
      </w:r>
    </w:p>
    <w:p w14:paraId="7EA28E17" w14:textId="77777777" w:rsidR="008F3EB7" w:rsidRPr="006B5E2C" w:rsidRDefault="008F3EB7" w:rsidP="008F3EB7">
      <w:pPr>
        <w:pStyle w:val="Default"/>
        <w:numPr>
          <w:ilvl w:val="0"/>
          <w:numId w:val="25"/>
        </w:numPr>
        <w:rPr>
          <w:rFonts w:ascii="Arial" w:hAnsi="Arial" w:cs="Arial"/>
          <w:sz w:val="22"/>
          <w:szCs w:val="22"/>
        </w:rPr>
      </w:pPr>
      <w:r w:rsidRPr="006B5E2C">
        <w:rPr>
          <w:rFonts w:ascii="Arial" w:hAnsi="Arial" w:cs="Arial"/>
          <w:sz w:val="22"/>
          <w:szCs w:val="22"/>
        </w:rPr>
        <w:t>weight loss (more common in Type 1 DM)</w:t>
      </w:r>
    </w:p>
    <w:p w14:paraId="3D31F8D3" w14:textId="77777777" w:rsidR="008F3EB7" w:rsidRPr="006B5E2C" w:rsidRDefault="008F3EB7" w:rsidP="008F3EB7">
      <w:pPr>
        <w:pStyle w:val="Default"/>
        <w:numPr>
          <w:ilvl w:val="0"/>
          <w:numId w:val="25"/>
        </w:numPr>
        <w:rPr>
          <w:rFonts w:ascii="Arial" w:hAnsi="Arial" w:cs="Arial"/>
          <w:sz w:val="22"/>
          <w:szCs w:val="22"/>
        </w:rPr>
      </w:pPr>
      <w:r w:rsidRPr="006B5E2C">
        <w:rPr>
          <w:rFonts w:ascii="Arial" w:hAnsi="Arial" w:cs="Arial"/>
          <w:sz w:val="22"/>
          <w:szCs w:val="22"/>
        </w:rPr>
        <w:t>marked weakness</w:t>
      </w:r>
    </w:p>
    <w:p w14:paraId="412382DB" w14:textId="77777777" w:rsidR="008F3EB7" w:rsidRPr="006B5E2C" w:rsidRDefault="008F3EB7" w:rsidP="008F3EB7">
      <w:pPr>
        <w:pStyle w:val="Default"/>
        <w:numPr>
          <w:ilvl w:val="0"/>
          <w:numId w:val="25"/>
        </w:numPr>
        <w:rPr>
          <w:rFonts w:ascii="Arial" w:hAnsi="Arial" w:cs="Arial"/>
          <w:sz w:val="22"/>
          <w:szCs w:val="22"/>
        </w:rPr>
      </w:pPr>
      <w:r w:rsidRPr="006B5E2C">
        <w:rPr>
          <w:rFonts w:ascii="Arial" w:hAnsi="Arial" w:cs="Arial"/>
          <w:sz w:val="22"/>
          <w:szCs w:val="22"/>
        </w:rPr>
        <w:t>blurred vision</w:t>
      </w:r>
    </w:p>
    <w:p w14:paraId="0A5FDAFC" w14:textId="77777777" w:rsidR="008F3EB7" w:rsidRPr="006B5E2C" w:rsidRDefault="008F3EB7" w:rsidP="008F3EB7">
      <w:pPr>
        <w:pStyle w:val="Default"/>
        <w:numPr>
          <w:ilvl w:val="0"/>
          <w:numId w:val="25"/>
        </w:numPr>
        <w:rPr>
          <w:rFonts w:ascii="Arial" w:hAnsi="Arial" w:cs="Arial"/>
          <w:sz w:val="22"/>
          <w:szCs w:val="22"/>
        </w:rPr>
      </w:pPr>
      <w:r w:rsidRPr="006B5E2C">
        <w:rPr>
          <w:rFonts w:ascii="Arial" w:hAnsi="Arial" w:cs="Arial"/>
          <w:sz w:val="22"/>
          <w:szCs w:val="22"/>
        </w:rPr>
        <w:t>abnormal sensation in the legs and feet: pain, burning, numbness (“feels like walking on mud when barefoot”)</w:t>
      </w:r>
    </w:p>
    <w:p w14:paraId="1A60BDB5" w14:textId="77777777" w:rsidR="008F3EB7" w:rsidRPr="006B5E2C" w:rsidRDefault="008F3EB7" w:rsidP="008F3EB7">
      <w:pPr>
        <w:pStyle w:val="Default"/>
        <w:numPr>
          <w:ilvl w:val="0"/>
          <w:numId w:val="25"/>
        </w:numPr>
        <w:rPr>
          <w:rFonts w:ascii="Arial" w:hAnsi="Arial" w:cs="Arial"/>
          <w:sz w:val="22"/>
          <w:szCs w:val="22"/>
        </w:rPr>
      </w:pPr>
      <w:r w:rsidRPr="006B5E2C">
        <w:rPr>
          <w:rFonts w:ascii="Arial" w:hAnsi="Arial" w:cs="Arial"/>
          <w:sz w:val="22"/>
          <w:szCs w:val="22"/>
        </w:rPr>
        <w:t>foetal macrosomia</w:t>
      </w:r>
    </w:p>
    <w:p w14:paraId="0C5A7929" w14:textId="77777777" w:rsidR="008F3EB7" w:rsidRPr="006B5E2C" w:rsidRDefault="008F3EB7" w:rsidP="008F3EB7">
      <w:pPr>
        <w:pStyle w:val="Default"/>
        <w:numPr>
          <w:ilvl w:val="0"/>
          <w:numId w:val="25"/>
        </w:numPr>
        <w:spacing w:after="120"/>
        <w:rPr>
          <w:rFonts w:ascii="Arial" w:hAnsi="Arial" w:cs="Arial"/>
          <w:sz w:val="22"/>
          <w:szCs w:val="22"/>
        </w:rPr>
      </w:pPr>
      <w:r w:rsidRPr="006B5E2C">
        <w:rPr>
          <w:rFonts w:ascii="Arial" w:hAnsi="Arial" w:cs="Arial"/>
          <w:sz w:val="22"/>
          <w:szCs w:val="22"/>
        </w:rPr>
        <w:t>foetal deaths</w:t>
      </w:r>
    </w:p>
    <w:p w14:paraId="05E6DA69" w14:textId="0365C08E" w:rsidR="008F3EB7" w:rsidRPr="005531AC" w:rsidRDefault="008F3EB7" w:rsidP="008F3EB7">
      <w:pPr>
        <w:pStyle w:val="Default"/>
        <w:spacing w:after="120"/>
        <w:rPr>
          <w:rFonts w:ascii="Arial" w:hAnsi="Arial" w:cs="Arial"/>
          <w:sz w:val="22"/>
          <w:szCs w:val="22"/>
        </w:rPr>
      </w:pPr>
      <w:r w:rsidRPr="005531AC">
        <w:rPr>
          <w:rFonts w:ascii="Arial" w:hAnsi="Arial" w:cs="Arial"/>
          <w:sz w:val="22"/>
          <w:szCs w:val="22"/>
        </w:rPr>
        <w:t>Consider the possibility of diabetes in all adults of any age with a BMI</w:t>
      </w:r>
      <w:r w:rsidR="00306A94">
        <w:rPr>
          <w:rFonts w:ascii="Arial" w:hAnsi="Arial" w:cs="Arial"/>
          <w:sz w:val="22"/>
          <w:szCs w:val="22"/>
        </w:rPr>
        <w:t xml:space="preserve"> </w:t>
      </w:r>
      <w:r w:rsidRPr="005531AC">
        <w:rPr>
          <w:rFonts w:ascii="Arial" w:hAnsi="Arial" w:cs="Arial"/>
          <w:sz w:val="22"/>
          <w:szCs w:val="22"/>
        </w:rPr>
        <w:t>&gt;</w:t>
      </w:r>
      <w:r w:rsidR="00306A94">
        <w:rPr>
          <w:rFonts w:ascii="Arial" w:hAnsi="Arial" w:cs="Arial"/>
          <w:sz w:val="22"/>
          <w:szCs w:val="22"/>
        </w:rPr>
        <w:t xml:space="preserve"> </w:t>
      </w:r>
      <w:r w:rsidRPr="005531AC">
        <w:rPr>
          <w:rFonts w:ascii="Arial" w:hAnsi="Arial" w:cs="Arial"/>
          <w:sz w:val="22"/>
          <w:szCs w:val="22"/>
        </w:rPr>
        <w:t>25 kg/m</w:t>
      </w:r>
      <w:r w:rsidRPr="005531AC">
        <w:rPr>
          <w:rFonts w:ascii="Arial" w:hAnsi="Arial" w:cs="Arial"/>
          <w:sz w:val="22"/>
          <w:szCs w:val="22"/>
          <w:vertAlign w:val="superscript"/>
        </w:rPr>
        <w:t>2</w:t>
      </w:r>
      <w:r w:rsidRPr="005531AC">
        <w:rPr>
          <w:rFonts w:ascii="Arial" w:hAnsi="Arial" w:cs="Arial"/>
          <w:sz w:val="22"/>
          <w:szCs w:val="22"/>
        </w:rPr>
        <w:t xml:space="preserve"> plus one or more of the following:</w:t>
      </w:r>
    </w:p>
    <w:p w14:paraId="0455B0AF" w14:textId="6B574742" w:rsidR="008F3EB7" w:rsidRPr="006B5E2C" w:rsidRDefault="008F3EB7" w:rsidP="008F3EB7">
      <w:pPr>
        <w:pStyle w:val="ListParagraph"/>
        <w:numPr>
          <w:ilvl w:val="0"/>
          <w:numId w:val="26"/>
        </w:numPr>
        <w:rPr>
          <w:szCs w:val="22"/>
        </w:rPr>
      </w:pPr>
      <w:r w:rsidRPr="006B5E2C">
        <w:rPr>
          <w:szCs w:val="22"/>
        </w:rPr>
        <w:t>Hypertension &gt;</w:t>
      </w:r>
      <w:r w:rsidR="00306A94">
        <w:rPr>
          <w:szCs w:val="22"/>
        </w:rPr>
        <w:t xml:space="preserve"> </w:t>
      </w:r>
      <w:r w:rsidRPr="006B5E2C">
        <w:rPr>
          <w:szCs w:val="22"/>
        </w:rPr>
        <w:t>140/90</w:t>
      </w:r>
      <w:r w:rsidR="00306A94">
        <w:rPr>
          <w:szCs w:val="22"/>
        </w:rPr>
        <w:t xml:space="preserve"> </w:t>
      </w:r>
      <w:r w:rsidRPr="006B5E2C">
        <w:rPr>
          <w:szCs w:val="22"/>
        </w:rPr>
        <w:t>mm</w:t>
      </w:r>
      <w:r>
        <w:rPr>
          <w:szCs w:val="22"/>
        </w:rPr>
        <w:t>H</w:t>
      </w:r>
      <w:r w:rsidRPr="006B5E2C">
        <w:rPr>
          <w:szCs w:val="22"/>
        </w:rPr>
        <w:t xml:space="preserve">g  </w:t>
      </w:r>
    </w:p>
    <w:p w14:paraId="6667E870" w14:textId="77777777" w:rsidR="008F3EB7" w:rsidRPr="006B5E2C" w:rsidRDefault="008F3EB7" w:rsidP="008F3EB7">
      <w:pPr>
        <w:pStyle w:val="ListParagraph"/>
        <w:numPr>
          <w:ilvl w:val="0"/>
          <w:numId w:val="26"/>
        </w:numPr>
        <w:rPr>
          <w:szCs w:val="22"/>
        </w:rPr>
      </w:pPr>
      <w:r w:rsidRPr="006B5E2C">
        <w:rPr>
          <w:szCs w:val="22"/>
        </w:rPr>
        <w:t>First degree relative with Type 2 DM</w:t>
      </w:r>
    </w:p>
    <w:p w14:paraId="3B4CF9BD" w14:textId="77777777" w:rsidR="008F3EB7" w:rsidRPr="006B5E2C" w:rsidRDefault="008F3EB7" w:rsidP="008F3EB7">
      <w:pPr>
        <w:pStyle w:val="ListParagraph"/>
        <w:numPr>
          <w:ilvl w:val="0"/>
          <w:numId w:val="26"/>
        </w:numPr>
        <w:rPr>
          <w:szCs w:val="22"/>
        </w:rPr>
      </w:pPr>
      <w:r w:rsidRPr="006B5E2C">
        <w:rPr>
          <w:szCs w:val="22"/>
        </w:rPr>
        <w:t>Polycystic ovarian syndrome</w:t>
      </w:r>
    </w:p>
    <w:p w14:paraId="13159477" w14:textId="77777777" w:rsidR="008F3EB7" w:rsidRPr="006B5E2C" w:rsidRDefault="008F3EB7" w:rsidP="008F3EB7">
      <w:pPr>
        <w:pStyle w:val="ListParagraph"/>
        <w:numPr>
          <w:ilvl w:val="0"/>
          <w:numId w:val="26"/>
        </w:numPr>
        <w:rPr>
          <w:szCs w:val="22"/>
        </w:rPr>
      </w:pPr>
      <w:r w:rsidRPr="006B5E2C">
        <w:rPr>
          <w:szCs w:val="22"/>
        </w:rPr>
        <w:t xml:space="preserve">Previous history of </w:t>
      </w:r>
      <w:proofErr w:type="spellStart"/>
      <w:r w:rsidRPr="006B5E2C">
        <w:rPr>
          <w:szCs w:val="22"/>
        </w:rPr>
        <w:t>foetal</w:t>
      </w:r>
      <w:proofErr w:type="spellEnd"/>
      <w:r w:rsidRPr="006B5E2C">
        <w:rPr>
          <w:szCs w:val="22"/>
        </w:rPr>
        <w:t xml:space="preserve"> macrosomia</w:t>
      </w:r>
    </w:p>
    <w:p w14:paraId="3DED53AD" w14:textId="77777777" w:rsidR="008F3EB7" w:rsidRPr="006B5E2C" w:rsidRDefault="008F3EB7" w:rsidP="008F3EB7">
      <w:pPr>
        <w:pStyle w:val="ListParagraph"/>
        <w:numPr>
          <w:ilvl w:val="0"/>
          <w:numId w:val="26"/>
        </w:numPr>
        <w:rPr>
          <w:szCs w:val="22"/>
        </w:rPr>
      </w:pPr>
      <w:r w:rsidRPr="006B5E2C">
        <w:rPr>
          <w:szCs w:val="22"/>
        </w:rPr>
        <w:t xml:space="preserve">Cardiovascular disease </w:t>
      </w:r>
    </w:p>
    <w:p w14:paraId="54AFE166" w14:textId="77777777" w:rsidR="008F3EB7" w:rsidRPr="006B5E2C" w:rsidRDefault="008F3EB7" w:rsidP="008F3EB7">
      <w:pPr>
        <w:pStyle w:val="ListParagraph"/>
        <w:numPr>
          <w:ilvl w:val="0"/>
          <w:numId w:val="26"/>
        </w:numPr>
        <w:rPr>
          <w:szCs w:val="22"/>
        </w:rPr>
      </w:pPr>
      <w:r w:rsidRPr="006B5E2C">
        <w:rPr>
          <w:szCs w:val="22"/>
        </w:rPr>
        <w:t>Previous history of impaired glucose tolerance</w:t>
      </w:r>
    </w:p>
    <w:p w14:paraId="51B0330A" w14:textId="77777777" w:rsidR="008F3EB7" w:rsidRDefault="008F3EB7" w:rsidP="008F3EB7">
      <w:pPr>
        <w:pStyle w:val="ListParagraph"/>
        <w:numPr>
          <w:ilvl w:val="0"/>
          <w:numId w:val="26"/>
        </w:numPr>
        <w:rPr>
          <w:szCs w:val="22"/>
        </w:rPr>
      </w:pPr>
      <w:r w:rsidRPr="006B5E2C">
        <w:rPr>
          <w:szCs w:val="22"/>
        </w:rPr>
        <w:t>Physical inactivity</w:t>
      </w:r>
    </w:p>
    <w:p w14:paraId="7936A981" w14:textId="574A2710" w:rsidR="008F3EB7" w:rsidRPr="004B02D3" w:rsidRDefault="008F3EB7" w:rsidP="004B02D3">
      <w:pPr>
        <w:pStyle w:val="ListParagraph"/>
        <w:numPr>
          <w:ilvl w:val="0"/>
          <w:numId w:val="26"/>
        </w:numPr>
        <w:rPr>
          <w:szCs w:val="22"/>
        </w:rPr>
      </w:pPr>
      <w:r w:rsidRPr="006B5E2C">
        <w:t xml:space="preserve">Previous diagnosis of </w:t>
      </w:r>
      <w:proofErr w:type="spellStart"/>
      <w:r w:rsidRPr="006B5E2C">
        <w:t>dyslipidaemia</w:t>
      </w:r>
      <w:proofErr w:type="spellEnd"/>
    </w:p>
    <w:p w14:paraId="13EACCEE" w14:textId="052BB7CB" w:rsidR="008F3EB7" w:rsidRPr="006B5E2C" w:rsidRDefault="008F3EB7" w:rsidP="008F3EB7">
      <w:pPr>
        <w:rPr>
          <w:szCs w:val="22"/>
        </w:rPr>
      </w:pPr>
      <w:r w:rsidRPr="006B5E2C">
        <w:rPr>
          <w:szCs w:val="22"/>
        </w:rPr>
        <w:t>Consider a diagnosis of Type 1 DM if:</w:t>
      </w:r>
    </w:p>
    <w:p w14:paraId="31C4713F" w14:textId="77777777" w:rsidR="008F3EB7" w:rsidRPr="006B5E2C" w:rsidRDefault="008F3EB7" w:rsidP="008F3EB7">
      <w:pPr>
        <w:pStyle w:val="ListParagraph"/>
        <w:numPr>
          <w:ilvl w:val="0"/>
          <w:numId w:val="27"/>
        </w:numPr>
        <w:rPr>
          <w:szCs w:val="22"/>
        </w:rPr>
      </w:pPr>
      <w:r w:rsidRPr="006B5E2C">
        <w:rPr>
          <w:szCs w:val="22"/>
        </w:rPr>
        <w:t>Younger than 35 years</w:t>
      </w:r>
    </w:p>
    <w:p w14:paraId="58394CDC" w14:textId="77777777" w:rsidR="008F3EB7" w:rsidRPr="006B5E2C" w:rsidRDefault="008F3EB7" w:rsidP="008F3EB7">
      <w:pPr>
        <w:pStyle w:val="ListParagraph"/>
        <w:numPr>
          <w:ilvl w:val="0"/>
          <w:numId w:val="27"/>
        </w:numPr>
        <w:rPr>
          <w:szCs w:val="22"/>
        </w:rPr>
      </w:pPr>
      <w:r w:rsidRPr="006B5E2C">
        <w:rPr>
          <w:szCs w:val="22"/>
        </w:rPr>
        <w:t>Slim physique</w:t>
      </w:r>
    </w:p>
    <w:p w14:paraId="29467EFF" w14:textId="77777777" w:rsidR="008F3EB7" w:rsidRPr="006B5E2C" w:rsidRDefault="008F3EB7" w:rsidP="008F3EB7">
      <w:pPr>
        <w:pStyle w:val="ListParagraph"/>
        <w:numPr>
          <w:ilvl w:val="0"/>
          <w:numId w:val="27"/>
        </w:numPr>
        <w:rPr>
          <w:szCs w:val="22"/>
        </w:rPr>
      </w:pPr>
      <w:r w:rsidRPr="006B5E2C">
        <w:rPr>
          <w:szCs w:val="22"/>
        </w:rPr>
        <w:t>Rapid onset of symptoms</w:t>
      </w:r>
    </w:p>
    <w:p w14:paraId="1082C5C5" w14:textId="77777777" w:rsidR="008F3EB7" w:rsidRPr="006B5E2C" w:rsidRDefault="008F3EB7" w:rsidP="008F3EB7">
      <w:pPr>
        <w:pStyle w:val="ListParagraph"/>
        <w:numPr>
          <w:ilvl w:val="0"/>
          <w:numId w:val="27"/>
        </w:numPr>
        <w:rPr>
          <w:szCs w:val="22"/>
        </w:rPr>
      </w:pPr>
      <w:r w:rsidRPr="006B5E2C">
        <w:rPr>
          <w:szCs w:val="22"/>
        </w:rPr>
        <w:t>Severe symptoms at first presentation (including DKA)</w:t>
      </w:r>
    </w:p>
    <w:p w14:paraId="03E9D4D6" w14:textId="77777777" w:rsidR="008F3EB7" w:rsidRPr="006B5E2C" w:rsidRDefault="008F3EB7" w:rsidP="008F3EB7">
      <w:pPr>
        <w:rPr>
          <w:szCs w:val="22"/>
        </w:rPr>
      </w:pPr>
      <w:r w:rsidRPr="006B5E2C">
        <w:rPr>
          <w:szCs w:val="22"/>
        </w:rPr>
        <w:t>Apart from the symptoms listed earlier, complications include:</w:t>
      </w:r>
    </w:p>
    <w:p w14:paraId="3C96C70C" w14:textId="77777777" w:rsidR="008F3EB7" w:rsidRPr="006B5E2C" w:rsidRDefault="008F3EB7" w:rsidP="008F3EB7">
      <w:pPr>
        <w:pStyle w:val="ListParagraph"/>
        <w:numPr>
          <w:ilvl w:val="0"/>
          <w:numId w:val="28"/>
        </w:numPr>
        <w:rPr>
          <w:szCs w:val="22"/>
        </w:rPr>
      </w:pPr>
      <w:r w:rsidRPr="006B5E2C">
        <w:rPr>
          <w:szCs w:val="22"/>
        </w:rPr>
        <w:t>Autonomic neuropathy: Abnormal sweating, resting tachycardia, erectile dysfunction, postural hypotension, gastrointestinal symptoms such as early satiety, nocturnal diarrhea, constipation</w:t>
      </w:r>
    </w:p>
    <w:p w14:paraId="7F5EDEC3" w14:textId="77777777" w:rsidR="008F3EB7" w:rsidRPr="006B5E2C" w:rsidRDefault="008F3EB7" w:rsidP="008F3EB7">
      <w:pPr>
        <w:pStyle w:val="ListParagraph"/>
        <w:numPr>
          <w:ilvl w:val="0"/>
          <w:numId w:val="28"/>
        </w:numPr>
        <w:rPr>
          <w:szCs w:val="22"/>
        </w:rPr>
      </w:pPr>
      <w:r w:rsidRPr="006B5E2C">
        <w:rPr>
          <w:szCs w:val="22"/>
        </w:rPr>
        <w:t>Motor: Painful proximal weakness (difficulty getting up from sitting position)</w:t>
      </w:r>
    </w:p>
    <w:p w14:paraId="7594E303" w14:textId="77777777" w:rsidR="008F3EB7" w:rsidRPr="006B5E2C" w:rsidRDefault="008F3EB7" w:rsidP="008F3EB7">
      <w:pPr>
        <w:pStyle w:val="ListParagraph"/>
        <w:numPr>
          <w:ilvl w:val="0"/>
          <w:numId w:val="28"/>
        </w:numPr>
        <w:rPr>
          <w:szCs w:val="22"/>
        </w:rPr>
      </w:pPr>
      <w:r w:rsidRPr="006B5E2C">
        <w:rPr>
          <w:szCs w:val="22"/>
        </w:rPr>
        <w:t xml:space="preserve">Sensory neuropathy: Bilateral distal lower limb pain, </w:t>
      </w:r>
    </w:p>
    <w:p w14:paraId="6BD5D3D0" w14:textId="77777777" w:rsidR="008F3EB7" w:rsidRPr="006B5E2C" w:rsidRDefault="008F3EB7" w:rsidP="008F3EB7">
      <w:pPr>
        <w:pStyle w:val="ListParagraph"/>
        <w:numPr>
          <w:ilvl w:val="0"/>
          <w:numId w:val="28"/>
        </w:numPr>
        <w:rPr>
          <w:szCs w:val="22"/>
        </w:rPr>
      </w:pPr>
      <w:r w:rsidRPr="006B5E2C">
        <w:rPr>
          <w:szCs w:val="22"/>
        </w:rPr>
        <w:t>Vascular: leg fatigue, claudication</w:t>
      </w:r>
      <w:r>
        <w:rPr>
          <w:szCs w:val="22"/>
        </w:rPr>
        <w:t xml:space="preserve">, stroke, </w:t>
      </w:r>
      <w:proofErr w:type="spellStart"/>
      <w:r>
        <w:rPr>
          <w:szCs w:val="22"/>
        </w:rPr>
        <w:t>ischaemic</w:t>
      </w:r>
      <w:proofErr w:type="spellEnd"/>
      <w:r>
        <w:rPr>
          <w:szCs w:val="22"/>
        </w:rPr>
        <w:t xml:space="preserve"> heart disease</w:t>
      </w:r>
      <w:r w:rsidRPr="006B5E2C">
        <w:rPr>
          <w:szCs w:val="22"/>
        </w:rPr>
        <w:t>.</w:t>
      </w:r>
    </w:p>
    <w:p w14:paraId="140A7A79" w14:textId="77777777" w:rsidR="004B02D3" w:rsidRDefault="004B02D3">
      <w:pPr>
        <w:spacing w:after="0"/>
        <w:outlineLvl w:val="9"/>
        <w:rPr>
          <w:b/>
          <w:sz w:val="24"/>
          <w:szCs w:val="22"/>
        </w:rPr>
      </w:pPr>
      <w:r>
        <w:rPr>
          <w:szCs w:val="22"/>
        </w:rPr>
        <w:br w:type="page"/>
      </w:r>
    </w:p>
    <w:p w14:paraId="7E3D5736" w14:textId="52C96A93" w:rsidR="008F3EB7" w:rsidRPr="00806F46" w:rsidRDefault="008F3EB7" w:rsidP="008F3EB7">
      <w:pPr>
        <w:pStyle w:val="Heading2"/>
        <w:spacing w:before="0" w:after="120"/>
        <w:rPr>
          <w:rFonts w:ascii="Tahoma" w:hAnsi="Tahoma" w:cs="Tahoma"/>
          <w:b w:val="0"/>
          <w:bCs/>
          <w:sz w:val="28"/>
        </w:rPr>
      </w:pPr>
      <w:r w:rsidRPr="005531AC">
        <w:rPr>
          <w:rFonts w:cs="Arial"/>
          <w:szCs w:val="22"/>
        </w:rPr>
        <w:lastRenderedPageBreak/>
        <w:t>Management</w:t>
      </w:r>
      <w:r>
        <w:rPr>
          <w:rFonts w:ascii="Tahoma" w:hAnsi="Tahoma" w:cs="Tahoma"/>
          <w:b w:val="0"/>
          <w:bCs/>
          <w:sz w:val="28"/>
        </w:rPr>
        <w:t xml:space="preserve"> </w:t>
      </w:r>
      <w:r w:rsidRPr="005531AC">
        <w:rPr>
          <w:rFonts w:cs="Arial"/>
          <w:szCs w:val="22"/>
        </w:rPr>
        <w:t>in Gate</w:t>
      </w:r>
      <w:r w:rsidRPr="00904F99">
        <w:rPr>
          <w:rFonts w:cs="Arial"/>
          <w:szCs w:val="22"/>
        </w:rPr>
        <w:t xml:space="preserve"> Clinic</w:t>
      </w:r>
    </w:p>
    <w:p w14:paraId="1247B3F2" w14:textId="77777777" w:rsidR="008F3EB7" w:rsidRPr="006F396F" w:rsidRDefault="008F3EB7" w:rsidP="008F3EB7">
      <w:pPr>
        <w:pStyle w:val="Heading3"/>
      </w:pPr>
      <w:r>
        <w:t>Investigations</w:t>
      </w:r>
    </w:p>
    <w:p w14:paraId="63CF122B" w14:textId="77777777" w:rsidR="008F3EB7" w:rsidRPr="00904F99" w:rsidRDefault="008F3EB7" w:rsidP="008F3EB7">
      <w:pPr>
        <w:pStyle w:val="Default"/>
        <w:spacing w:after="120"/>
        <w:rPr>
          <w:rFonts w:ascii="Arial" w:hAnsi="Arial" w:cs="Arial"/>
          <w:sz w:val="22"/>
          <w:szCs w:val="22"/>
        </w:rPr>
      </w:pPr>
      <w:r w:rsidRPr="00904F99">
        <w:rPr>
          <w:rFonts w:ascii="Arial" w:hAnsi="Arial" w:cs="Arial"/>
          <w:sz w:val="22"/>
          <w:szCs w:val="22"/>
        </w:rPr>
        <w:t xml:space="preserve">Diagnose diabetes mellitus if you find: </w:t>
      </w:r>
    </w:p>
    <w:p w14:paraId="19F8F1DC" w14:textId="77777777" w:rsidR="008F3EB7" w:rsidRPr="00904F99" w:rsidRDefault="008F3EB7" w:rsidP="008F3EB7">
      <w:pPr>
        <w:pStyle w:val="Default"/>
        <w:numPr>
          <w:ilvl w:val="0"/>
          <w:numId w:val="30"/>
        </w:numPr>
        <w:rPr>
          <w:rFonts w:ascii="Arial" w:hAnsi="Arial" w:cs="Arial"/>
          <w:sz w:val="22"/>
          <w:szCs w:val="22"/>
        </w:rPr>
      </w:pPr>
      <w:r w:rsidRPr="00904F99">
        <w:rPr>
          <w:rFonts w:ascii="Arial" w:hAnsi="Arial" w:cs="Arial"/>
          <w:b/>
          <w:i/>
          <w:sz w:val="22"/>
          <w:szCs w:val="22"/>
        </w:rPr>
        <w:t>Fasting Blood Glucose</w:t>
      </w:r>
      <w:r w:rsidRPr="00904F99">
        <w:rPr>
          <w:rFonts w:ascii="Arial" w:hAnsi="Arial" w:cs="Arial"/>
          <w:sz w:val="22"/>
          <w:szCs w:val="22"/>
        </w:rPr>
        <w:t xml:space="preserve"> of 7.0 mmol/L or higher </w:t>
      </w:r>
    </w:p>
    <w:p w14:paraId="7E635085" w14:textId="77777777" w:rsidR="008F3EB7" w:rsidRPr="00904F99" w:rsidRDefault="008F3EB7" w:rsidP="008F3EB7">
      <w:pPr>
        <w:pStyle w:val="Default"/>
        <w:rPr>
          <w:rFonts w:ascii="Arial" w:hAnsi="Arial" w:cs="Arial"/>
          <w:sz w:val="22"/>
          <w:szCs w:val="22"/>
        </w:rPr>
      </w:pPr>
      <w:r w:rsidRPr="00904F99">
        <w:rPr>
          <w:rFonts w:ascii="Arial" w:hAnsi="Arial" w:cs="Arial"/>
          <w:b/>
          <w:bCs/>
          <w:sz w:val="22"/>
          <w:szCs w:val="22"/>
        </w:rPr>
        <w:t xml:space="preserve">OR </w:t>
      </w:r>
    </w:p>
    <w:p w14:paraId="43150915" w14:textId="77777777" w:rsidR="008F3EB7" w:rsidRPr="00904F99" w:rsidRDefault="008F3EB7" w:rsidP="008F3EB7">
      <w:pPr>
        <w:pStyle w:val="Default"/>
        <w:numPr>
          <w:ilvl w:val="0"/>
          <w:numId w:val="30"/>
        </w:numPr>
        <w:spacing w:after="120"/>
        <w:rPr>
          <w:rFonts w:ascii="Arial" w:hAnsi="Arial" w:cs="Arial"/>
          <w:sz w:val="22"/>
          <w:szCs w:val="22"/>
        </w:rPr>
      </w:pPr>
      <w:r w:rsidRPr="00904F99">
        <w:rPr>
          <w:rFonts w:ascii="Arial" w:hAnsi="Arial" w:cs="Arial"/>
          <w:sz w:val="22"/>
          <w:szCs w:val="22"/>
        </w:rPr>
        <w:t xml:space="preserve">A </w:t>
      </w:r>
      <w:r w:rsidRPr="00904F99">
        <w:rPr>
          <w:rFonts w:ascii="Arial" w:hAnsi="Arial" w:cs="Arial"/>
          <w:b/>
          <w:i/>
          <w:sz w:val="22"/>
          <w:szCs w:val="22"/>
        </w:rPr>
        <w:t>random blood glucose</w:t>
      </w:r>
      <w:r w:rsidRPr="00904F99">
        <w:rPr>
          <w:rFonts w:ascii="Arial" w:hAnsi="Arial" w:cs="Arial"/>
          <w:sz w:val="22"/>
          <w:szCs w:val="22"/>
        </w:rPr>
        <w:t xml:space="preserve"> of 11.1 mmol/L or higher </w:t>
      </w:r>
      <w:r w:rsidRPr="00904F99">
        <w:rPr>
          <w:rFonts w:ascii="Arial" w:hAnsi="Arial" w:cs="Arial"/>
          <w:b/>
          <w:sz w:val="22"/>
          <w:szCs w:val="22"/>
        </w:rPr>
        <w:t>plus</w:t>
      </w:r>
      <w:r w:rsidRPr="00904F99">
        <w:rPr>
          <w:rFonts w:ascii="Arial" w:hAnsi="Arial" w:cs="Arial"/>
          <w:sz w:val="22"/>
          <w:szCs w:val="22"/>
        </w:rPr>
        <w:t xml:space="preserve"> the classic symptoms of diabetes mellitus.</w:t>
      </w:r>
    </w:p>
    <w:p w14:paraId="190A53C2" w14:textId="106EAE39" w:rsidR="008F3EB7" w:rsidRDefault="008F3EB7" w:rsidP="008F3EB7">
      <w:pPr>
        <w:pStyle w:val="Default"/>
        <w:spacing w:after="120"/>
        <w:rPr>
          <w:rFonts w:ascii="Arial" w:hAnsi="Arial" w:cs="Arial"/>
          <w:sz w:val="22"/>
          <w:szCs w:val="22"/>
        </w:rPr>
      </w:pPr>
      <w:r w:rsidRPr="00904F99">
        <w:rPr>
          <w:rFonts w:ascii="Arial" w:hAnsi="Arial" w:cs="Arial"/>
          <w:sz w:val="22"/>
          <w:szCs w:val="22"/>
        </w:rPr>
        <w:t xml:space="preserve">If patient is asymptomatic </w:t>
      </w:r>
      <w:r>
        <w:rPr>
          <w:rFonts w:ascii="Arial" w:hAnsi="Arial" w:cs="Arial"/>
          <w:sz w:val="22"/>
          <w:szCs w:val="22"/>
        </w:rPr>
        <w:t>with abnormal fasting glucose</w:t>
      </w:r>
      <w:r w:rsidRPr="00904F99">
        <w:rPr>
          <w:rFonts w:ascii="Arial" w:hAnsi="Arial" w:cs="Arial"/>
          <w:sz w:val="22"/>
          <w:szCs w:val="22"/>
        </w:rPr>
        <w:t>, repeat the test for confirmation.</w:t>
      </w:r>
    </w:p>
    <w:p w14:paraId="3C3BE6E2" w14:textId="46DC4491" w:rsidR="008F3EB7" w:rsidRPr="00904F99" w:rsidRDefault="008F3EB7" w:rsidP="008F3EB7">
      <w:pPr>
        <w:pStyle w:val="Default"/>
        <w:spacing w:after="120"/>
        <w:rPr>
          <w:rFonts w:ascii="Arial" w:hAnsi="Arial" w:cs="Arial"/>
          <w:sz w:val="22"/>
          <w:szCs w:val="22"/>
        </w:rPr>
      </w:pPr>
      <w:r w:rsidRPr="00904F99">
        <w:rPr>
          <w:rFonts w:ascii="Arial" w:hAnsi="Arial" w:cs="Arial"/>
          <w:b/>
          <w:i/>
          <w:sz w:val="22"/>
          <w:szCs w:val="22"/>
        </w:rPr>
        <w:t>Dipstick urinalysis</w:t>
      </w:r>
      <w:r>
        <w:rPr>
          <w:rFonts w:ascii="Arial" w:hAnsi="Arial" w:cs="Arial"/>
          <w:b/>
          <w:i/>
          <w:sz w:val="22"/>
          <w:szCs w:val="22"/>
        </w:rPr>
        <w:t xml:space="preserve">: </w:t>
      </w:r>
      <w:r>
        <w:rPr>
          <w:rFonts w:ascii="Arial" w:hAnsi="Arial" w:cs="Arial"/>
          <w:sz w:val="22"/>
          <w:szCs w:val="22"/>
        </w:rPr>
        <w:t xml:space="preserve"> This may show glycosuria. Proteinuria or ketonuria may also be present.</w:t>
      </w:r>
    </w:p>
    <w:p w14:paraId="611548C9" w14:textId="77777777" w:rsidR="008F3EB7" w:rsidRPr="00806F46" w:rsidRDefault="008F3EB7" w:rsidP="008F3EB7">
      <w:pPr>
        <w:pStyle w:val="Heading3"/>
      </w:pPr>
      <w:r w:rsidRPr="00806F46">
        <w:t>Alarm features</w:t>
      </w:r>
    </w:p>
    <w:p w14:paraId="08963B50" w14:textId="77777777" w:rsidR="008F3EB7" w:rsidRDefault="008F3EB7" w:rsidP="008F3EB7">
      <w:r>
        <w:t>If a patient with high blood glucose has one or more of the following signs or symptoms, the doctor should be called to see them immediately.</w:t>
      </w:r>
    </w:p>
    <w:p w14:paraId="066E1BF2" w14:textId="77777777" w:rsidR="008F3EB7" w:rsidRDefault="008F3EB7" w:rsidP="008F3EB7">
      <w:pPr>
        <w:pStyle w:val="ListParagraph"/>
        <w:numPr>
          <w:ilvl w:val="0"/>
          <w:numId w:val="29"/>
        </w:numPr>
      </w:pPr>
      <w:r>
        <w:t xml:space="preserve">Drowsiness </w:t>
      </w:r>
    </w:p>
    <w:p w14:paraId="4932C903" w14:textId="4571E1A6" w:rsidR="008F3EB7" w:rsidRDefault="008F3EB7" w:rsidP="008F3EB7">
      <w:pPr>
        <w:pStyle w:val="ListParagraph"/>
        <w:numPr>
          <w:ilvl w:val="0"/>
          <w:numId w:val="29"/>
        </w:numPr>
      </w:pPr>
      <w:r>
        <w:t>Fever &gt;</w:t>
      </w:r>
      <w:r w:rsidR="00306A94">
        <w:t xml:space="preserve"> </w:t>
      </w:r>
      <w:r>
        <w:t>38</w:t>
      </w:r>
      <w:r w:rsidR="00306A94">
        <w:t>ºC</w:t>
      </w:r>
    </w:p>
    <w:p w14:paraId="3C565779" w14:textId="77777777" w:rsidR="008F3EB7" w:rsidRDefault="008F3EB7" w:rsidP="008F3EB7">
      <w:pPr>
        <w:pStyle w:val="ListParagraph"/>
        <w:numPr>
          <w:ilvl w:val="0"/>
          <w:numId w:val="29"/>
        </w:numPr>
      </w:pPr>
      <w:r>
        <w:t>Severe Weakness</w:t>
      </w:r>
    </w:p>
    <w:p w14:paraId="57669F90" w14:textId="77777777" w:rsidR="008F3EB7" w:rsidRDefault="008F3EB7" w:rsidP="008F3EB7">
      <w:pPr>
        <w:pStyle w:val="ListParagraph"/>
        <w:numPr>
          <w:ilvl w:val="0"/>
          <w:numId w:val="29"/>
        </w:numPr>
      </w:pPr>
      <w:r>
        <w:t xml:space="preserve">Confusion </w:t>
      </w:r>
    </w:p>
    <w:p w14:paraId="170432A7" w14:textId="77777777" w:rsidR="008F3EB7" w:rsidRDefault="008F3EB7" w:rsidP="008F3EB7">
      <w:pPr>
        <w:pStyle w:val="ListParagraph"/>
        <w:numPr>
          <w:ilvl w:val="0"/>
          <w:numId w:val="29"/>
        </w:numPr>
      </w:pPr>
      <w:r>
        <w:t>Signs of dehydration</w:t>
      </w:r>
    </w:p>
    <w:p w14:paraId="1717F442" w14:textId="77777777" w:rsidR="008F3EB7" w:rsidRDefault="008F3EB7" w:rsidP="008F3EB7">
      <w:pPr>
        <w:pStyle w:val="ListParagraph"/>
        <w:numPr>
          <w:ilvl w:val="0"/>
          <w:numId w:val="29"/>
        </w:numPr>
      </w:pPr>
      <w:r>
        <w:t xml:space="preserve">Deep sighing breathing </w:t>
      </w:r>
    </w:p>
    <w:p w14:paraId="0D023550" w14:textId="05AF2058" w:rsidR="008F3EB7" w:rsidRDefault="008F3EB7" w:rsidP="008F3EB7">
      <w:pPr>
        <w:pStyle w:val="ListParagraph"/>
        <w:numPr>
          <w:ilvl w:val="0"/>
          <w:numId w:val="29"/>
        </w:numPr>
      </w:pPr>
      <w:r>
        <w:t xml:space="preserve">Abdominal pain </w:t>
      </w:r>
    </w:p>
    <w:p w14:paraId="22E8489D" w14:textId="0CC46B2C" w:rsidR="008F3EB7" w:rsidRDefault="008F3EB7" w:rsidP="008F3EB7">
      <w:pPr>
        <w:pStyle w:val="Heading3"/>
      </w:pPr>
      <w:r>
        <w:t>When to refer to the doctor in OPD</w:t>
      </w:r>
    </w:p>
    <w:p w14:paraId="2A7884D5" w14:textId="7E8A4A58" w:rsidR="008F3EB7" w:rsidRDefault="008F3EB7" w:rsidP="008F3EB7">
      <w:r>
        <w:t>Also refer patients to the doctor who have:</w:t>
      </w:r>
    </w:p>
    <w:p w14:paraId="01DB5D7E" w14:textId="77777777" w:rsidR="008F3EB7" w:rsidRDefault="008F3EB7" w:rsidP="008F3EB7">
      <w:pPr>
        <w:pStyle w:val="ListParagraph"/>
        <w:numPr>
          <w:ilvl w:val="0"/>
          <w:numId w:val="31"/>
        </w:numPr>
      </w:pPr>
      <w:r>
        <w:t>Newly diagnosed diabetes mellitus</w:t>
      </w:r>
    </w:p>
    <w:p w14:paraId="579E527C" w14:textId="77777777" w:rsidR="008F3EB7" w:rsidRDefault="008F3EB7" w:rsidP="008F3EB7">
      <w:pPr>
        <w:pStyle w:val="ListParagraph"/>
        <w:numPr>
          <w:ilvl w:val="0"/>
          <w:numId w:val="31"/>
        </w:numPr>
      </w:pPr>
      <w:r>
        <w:t>You are unsure of the diagnosis</w:t>
      </w:r>
    </w:p>
    <w:p w14:paraId="6FCF433A" w14:textId="77777777" w:rsidR="008F3EB7" w:rsidRDefault="008F3EB7" w:rsidP="008F3EB7">
      <w:pPr>
        <w:pStyle w:val="ListParagraph"/>
        <w:numPr>
          <w:ilvl w:val="0"/>
          <w:numId w:val="31"/>
        </w:numPr>
      </w:pPr>
      <w:r>
        <w:t>Proteinuria or ketonuria is discovered alongside high blood glucose</w:t>
      </w:r>
    </w:p>
    <w:p w14:paraId="7D52F34A" w14:textId="77777777" w:rsidR="008F3EB7" w:rsidRDefault="008F3EB7" w:rsidP="008F3EB7">
      <w:pPr>
        <w:pStyle w:val="ListParagraph"/>
        <w:numPr>
          <w:ilvl w:val="0"/>
          <w:numId w:val="31"/>
        </w:numPr>
      </w:pPr>
      <w:r>
        <w:t>Glycosuria of ++ or more</w:t>
      </w:r>
    </w:p>
    <w:p w14:paraId="28B0C5A8" w14:textId="45EBC376" w:rsidR="00B76A07" w:rsidRPr="004B02D3" w:rsidRDefault="008F3EB7" w:rsidP="004B02D3">
      <w:pPr>
        <w:pStyle w:val="ListParagraph"/>
        <w:numPr>
          <w:ilvl w:val="0"/>
          <w:numId w:val="31"/>
        </w:numPr>
      </w:pPr>
      <w:r>
        <w:t>Patient looks very ill and weak alongside a high blood glucose</w:t>
      </w:r>
    </w:p>
    <w:p w14:paraId="28C3ED6B" w14:textId="2CA74938" w:rsidR="008F3EB7" w:rsidRPr="00904F99" w:rsidRDefault="008F3EB7" w:rsidP="008F3EB7">
      <w:pPr>
        <w:pStyle w:val="Heading3"/>
        <w:rPr>
          <w:i/>
          <w:iCs/>
        </w:rPr>
      </w:pPr>
      <w:r w:rsidRPr="00904F99">
        <w:t>Management of patients with a high blood glucose</w:t>
      </w:r>
      <w:r>
        <w:t xml:space="preserve"> </w:t>
      </w:r>
    </w:p>
    <w:p w14:paraId="18243869" w14:textId="77777777" w:rsidR="008F3EB7" w:rsidRDefault="008F3EB7" w:rsidP="008F3EB7">
      <w:pPr>
        <w:pStyle w:val="Default"/>
        <w:spacing w:after="120"/>
        <w:jc w:val="both"/>
        <w:rPr>
          <w:rFonts w:ascii="Arial" w:hAnsi="Arial" w:cs="Arial"/>
          <w:bCs/>
          <w:i/>
          <w:iCs/>
          <w:sz w:val="22"/>
          <w:szCs w:val="22"/>
        </w:rPr>
      </w:pPr>
      <w:r w:rsidRPr="008F3EB7">
        <w:rPr>
          <w:rFonts w:ascii="Arial" w:hAnsi="Arial" w:cs="Arial"/>
          <w:bCs/>
          <w:i/>
          <w:iCs/>
          <w:sz w:val="22"/>
          <w:szCs w:val="22"/>
        </w:rPr>
        <w:t>Patient Education:</w:t>
      </w:r>
    </w:p>
    <w:p w14:paraId="7F77F3EA" w14:textId="4E907D50" w:rsidR="008F3EB7" w:rsidRPr="008F3EB7" w:rsidRDefault="008F3EB7" w:rsidP="008F3EB7">
      <w:pPr>
        <w:pStyle w:val="Default"/>
        <w:spacing w:after="120"/>
        <w:jc w:val="both"/>
        <w:rPr>
          <w:rFonts w:ascii="Arial" w:hAnsi="Arial" w:cs="Arial"/>
          <w:bCs/>
          <w:i/>
          <w:iCs/>
          <w:sz w:val="22"/>
          <w:szCs w:val="22"/>
        </w:rPr>
      </w:pPr>
      <w:r w:rsidRPr="006B5E2C">
        <w:rPr>
          <w:rFonts w:ascii="Arial" w:hAnsi="Arial" w:cs="Arial"/>
          <w:sz w:val="22"/>
          <w:szCs w:val="22"/>
        </w:rPr>
        <w:t>Structured ed</w:t>
      </w:r>
      <w:r>
        <w:rPr>
          <w:rFonts w:ascii="Arial" w:hAnsi="Arial" w:cs="Arial"/>
          <w:sz w:val="22"/>
          <w:szCs w:val="22"/>
        </w:rPr>
        <w:t xml:space="preserve">ucation to all patients and </w:t>
      </w:r>
      <w:r w:rsidRPr="006B5E2C">
        <w:rPr>
          <w:rFonts w:ascii="Arial" w:hAnsi="Arial" w:cs="Arial"/>
          <w:sz w:val="22"/>
          <w:szCs w:val="22"/>
        </w:rPr>
        <w:t>carers about diabetes mellitus (cause, course and prognosis), diabetes self-management, nutrition and lifestyle modification. This includes diet, exercise and weight management (loss of 5-10% of body weight initially).</w:t>
      </w:r>
    </w:p>
    <w:p w14:paraId="72065774" w14:textId="77777777" w:rsidR="004B02D3" w:rsidRDefault="004B02D3">
      <w:pPr>
        <w:spacing w:after="0"/>
        <w:outlineLvl w:val="9"/>
        <w:rPr>
          <w:b/>
          <w:sz w:val="24"/>
          <w:szCs w:val="22"/>
        </w:rPr>
      </w:pPr>
      <w:r>
        <w:rPr>
          <w:szCs w:val="22"/>
        </w:rPr>
        <w:br w:type="page"/>
      </w:r>
    </w:p>
    <w:p w14:paraId="6600C544" w14:textId="00B6707F" w:rsidR="00F03F25" w:rsidRDefault="001203AE" w:rsidP="002A2856">
      <w:pPr>
        <w:pStyle w:val="Heading2"/>
        <w:rPr>
          <w:rFonts w:cs="Arial"/>
          <w:szCs w:val="22"/>
        </w:rPr>
      </w:pPr>
      <w:r w:rsidRPr="003C0800">
        <w:rPr>
          <w:rFonts w:cs="Arial"/>
          <w:szCs w:val="22"/>
        </w:rPr>
        <w:lastRenderedPageBreak/>
        <w:t>Management</w:t>
      </w:r>
      <w:r>
        <w:rPr>
          <w:rFonts w:cs="Arial"/>
          <w:szCs w:val="22"/>
        </w:rPr>
        <w:t xml:space="preserve"> </w:t>
      </w:r>
      <w:r w:rsidR="008F3EB7">
        <w:rPr>
          <w:rFonts w:cs="Arial"/>
          <w:szCs w:val="22"/>
        </w:rPr>
        <w:t>in OPD</w:t>
      </w:r>
    </w:p>
    <w:p w14:paraId="3AFB2579" w14:textId="7D9B372E" w:rsidR="008F3EB7" w:rsidRPr="00CC3CF5" w:rsidRDefault="008F3EB7" w:rsidP="008F3EB7">
      <w:pPr>
        <w:pStyle w:val="Heading3"/>
        <w:rPr>
          <w:rFonts w:cs="Arial"/>
          <w:szCs w:val="22"/>
        </w:rPr>
      </w:pPr>
      <w:r>
        <w:rPr>
          <w:rFonts w:cs="Arial"/>
          <w:szCs w:val="22"/>
        </w:rPr>
        <w:t>Routine examination</w:t>
      </w:r>
    </w:p>
    <w:p w14:paraId="4F80CF49" w14:textId="77777777" w:rsidR="008F3EB7" w:rsidRDefault="008F3EB7" w:rsidP="008F3EB7">
      <w:r>
        <w:t xml:space="preserve">Review BMI at each visit. </w:t>
      </w:r>
    </w:p>
    <w:p w14:paraId="61BFB055" w14:textId="1B9CF8DE" w:rsidR="008F3EB7" w:rsidRDefault="008F3EB7" w:rsidP="008F3EB7">
      <w:r>
        <w:t>Check for postural hypotension</w:t>
      </w:r>
      <w:r w:rsidRPr="000F4D05">
        <w:t xml:space="preserve"> </w:t>
      </w:r>
      <w:r>
        <w:t>at baseline, annually and if symptomatic.</w:t>
      </w:r>
    </w:p>
    <w:p w14:paraId="11DCA30B" w14:textId="77777777" w:rsidR="008F3EB7" w:rsidRDefault="008F3EB7" w:rsidP="008F3EB7">
      <w:r>
        <w:t>Foot exam:</w:t>
      </w:r>
    </w:p>
    <w:p w14:paraId="5867A1A1" w14:textId="77777777" w:rsidR="008F3EB7" w:rsidRDefault="008F3EB7" w:rsidP="008F3EB7">
      <w:pPr>
        <w:pStyle w:val="ListParagraph"/>
        <w:numPr>
          <w:ilvl w:val="0"/>
          <w:numId w:val="32"/>
        </w:numPr>
      </w:pPr>
      <w:r>
        <w:t>Inspect both feet at each visit for calluses, dystrophic nails, joint deformities, tinea pedis, ulcers.</w:t>
      </w:r>
    </w:p>
    <w:p w14:paraId="1AB08604" w14:textId="70040BDA" w:rsidR="008F3EB7" w:rsidRDefault="008F3EB7" w:rsidP="008F3EB7">
      <w:pPr>
        <w:pStyle w:val="ListParagraph"/>
        <w:numPr>
          <w:ilvl w:val="0"/>
          <w:numId w:val="32"/>
        </w:numPr>
      </w:pPr>
      <w:r>
        <w:t>Check for reduced peripheral pulsation in feet at baseline, annually and if symptomatic.</w:t>
      </w:r>
    </w:p>
    <w:p w14:paraId="011209D8" w14:textId="413F908A" w:rsidR="008F3EB7" w:rsidRDefault="008F3EB7" w:rsidP="008F3EB7">
      <w:pPr>
        <w:pStyle w:val="ListParagraph"/>
        <w:numPr>
          <w:ilvl w:val="0"/>
          <w:numId w:val="32"/>
        </w:numPr>
      </w:pPr>
      <w:r>
        <w:t>Baseline and annual neurologic examination of feet (10 g monofilament and 128 Hz tuning fork vibration test).</w:t>
      </w:r>
    </w:p>
    <w:p w14:paraId="2C105466" w14:textId="073DCD2B" w:rsidR="008F3EB7" w:rsidRDefault="008F3EB7" w:rsidP="008F3EB7">
      <w:r>
        <w:t>Fundoscopy for retinal changes.</w:t>
      </w:r>
    </w:p>
    <w:p w14:paraId="3B53ECB3" w14:textId="1CC8E462" w:rsidR="008F3EB7" w:rsidRDefault="008F3EB7" w:rsidP="008F3EB7">
      <w:pPr>
        <w:pStyle w:val="Heading3"/>
      </w:pPr>
      <w:r>
        <w:t>Routine investigation</w:t>
      </w:r>
    </w:p>
    <w:p w14:paraId="28C31CD7" w14:textId="77777777" w:rsidR="008F3EB7" w:rsidRDefault="008F3EB7" w:rsidP="008F3EB7">
      <w:r w:rsidRPr="0053608E">
        <w:rPr>
          <w:i/>
        </w:rPr>
        <w:t>Fasting Blood Glucose</w:t>
      </w:r>
      <w:r>
        <w:t xml:space="preserve"> at each follow up visit</w:t>
      </w:r>
    </w:p>
    <w:p w14:paraId="0BD57FC3" w14:textId="77777777" w:rsidR="008F3EB7" w:rsidRDefault="008F3EB7" w:rsidP="008F3EB7">
      <w:r>
        <w:t xml:space="preserve">Baseline and annual </w:t>
      </w:r>
      <w:r w:rsidRPr="0053608E">
        <w:rPr>
          <w:i/>
        </w:rPr>
        <w:t>serum electrolytes, urea and creatinine</w:t>
      </w:r>
      <w:r>
        <w:t xml:space="preserve">: calculate estimated glomerular filtration rate (eGFR) at </w:t>
      </w:r>
      <w:hyperlink r:id="rId7" w:history="1">
        <w:r w:rsidRPr="00B57DD0">
          <w:rPr>
            <w:rStyle w:val="Hyperlink"/>
          </w:rPr>
          <w:t>https://www.kidney.org/professionals/kdoqi/gfr_calculator</w:t>
        </w:r>
      </w:hyperlink>
      <w:r>
        <w:rPr>
          <w:rStyle w:val="Hyperlink"/>
        </w:rPr>
        <w:t xml:space="preserve"> </w:t>
      </w:r>
    </w:p>
    <w:p w14:paraId="18930CFF" w14:textId="10FAFD67" w:rsidR="008F3EB7" w:rsidRPr="008F3EB7" w:rsidRDefault="008F3EB7" w:rsidP="008F3EB7">
      <w:r>
        <w:t xml:space="preserve">Calculate cardiovascular risk at </w:t>
      </w:r>
      <w:hyperlink r:id="rId8" w:history="1">
        <w:r w:rsidRPr="00B57DD0">
          <w:rPr>
            <w:rStyle w:val="Hyperlink"/>
          </w:rPr>
          <w:t>https://qrisk.org/2017/</w:t>
        </w:r>
      </w:hyperlink>
      <w:r>
        <w:rPr>
          <w:rStyle w:val="Hyperlink"/>
          <w:u w:val="none"/>
        </w:rPr>
        <w:t xml:space="preserve"> </w:t>
      </w:r>
      <w:r w:rsidRPr="008F3EB7">
        <w:t>- check lipid profile if the risk is borderline (5-10% in the next 10 years).</w:t>
      </w:r>
    </w:p>
    <w:p w14:paraId="5C664C1B" w14:textId="77777777" w:rsidR="008F3EB7" w:rsidRDefault="008F3EB7" w:rsidP="008F3EB7">
      <w:r w:rsidRPr="0053608E">
        <w:rPr>
          <w:i/>
        </w:rPr>
        <w:t>Urinalysis</w:t>
      </w:r>
      <w:r>
        <w:t xml:space="preserve">: Glycosuria and ketonuria may be present. Proteinuria (++) or </w:t>
      </w:r>
      <w:proofErr w:type="spellStart"/>
      <w:r>
        <w:t>haematuria</w:t>
      </w:r>
      <w:proofErr w:type="spellEnd"/>
      <w:r>
        <w:t xml:space="preserve"> (with red cell casts) may indicate nephropathy.</w:t>
      </w:r>
    </w:p>
    <w:p w14:paraId="5B828DDC" w14:textId="77777777" w:rsidR="008F3EB7" w:rsidRDefault="008F3EB7" w:rsidP="008F3EB7">
      <w:r>
        <w:t xml:space="preserve">Baseline </w:t>
      </w:r>
      <w:r w:rsidRPr="0053608E">
        <w:rPr>
          <w:i/>
        </w:rPr>
        <w:t>ECG</w:t>
      </w:r>
    </w:p>
    <w:p w14:paraId="39F76FF7" w14:textId="14584406" w:rsidR="008F3EB7" w:rsidRDefault="008F3EB7" w:rsidP="008F3EB7">
      <w:r>
        <w:t xml:space="preserve">For staff and those who can afford private fees: baseline </w:t>
      </w:r>
      <w:r w:rsidRPr="0053608E">
        <w:rPr>
          <w:i/>
        </w:rPr>
        <w:t>HbA1c assay</w:t>
      </w:r>
      <w:r>
        <w:t>, recheck 6-monthly (if at target) or 3-monthly (not at target)</w:t>
      </w:r>
    </w:p>
    <w:p w14:paraId="443E8068" w14:textId="1F6E3E2C" w:rsidR="008F3EB7" w:rsidRDefault="008F3EB7" w:rsidP="008F3EB7">
      <w:pPr>
        <w:pStyle w:val="Heading3"/>
      </w:pPr>
      <w:r>
        <w:t>Treatment</w:t>
      </w:r>
    </w:p>
    <w:p w14:paraId="6353EB3C" w14:textId="5628A286" w:rsidR="008F3EB7" w:rsidRDefault="008F3EB7" w:rsidP="008F3EB7">
      <w:r>
        <w:t>The goals of treatment are:</w:t>
      </w:r>
    </w:p>
    <w:p w14:paraId="5BEF735E" w14:textId="77777777" w:rsidR="008F3EB7" w:rsidRDefault="008F3EB7" w:rsidP="008F3EB7">
      <w:pPr>
        <w:pStyle w:val="ListParagraph"/>
        <w:numPr>
          <w:ilvl w:val="0"/>
          <w:numId w:val="33"/>
        </w:numPr>
      </w:pPr>
      <w:r>
        <w:t xml:space="preserve">Glucose control; </w:t>
      </w:r>
    </w:p>
    <w:p w14:paraId="0C29C813" w14:textId="77777777" w:rsidR="008F3EB7" w:rsidRDefault="008F3EB7" w:rsidP="008F3EB7">
      <w:pPr>
        <w:pStyle w:val="ListParagraph"/>
        <w:numPr>
          <w:ilvl w:val="0"/>
          <w:numId w:val="33"/>
        </w:numPr>
      </w:pPr>
      <w:r>
        <w:t xml:space="preserve">Cardiovascular risk reduction; </w:t>
      </w:r>
    </w:p>
    <w:p w14:paraId="39ED3C19" w14:textId="1094E41E" w:rsidR="008F3EB7" w:rsidRDefault="008F3EB7" w:rsidP="008F3EB7">
      <w:pPr>
        <w:pStyle w:val="ListParagraph"/>
        <w:numPr>
          <w:ilvl w:val="0"/>
          <w:numId w:val="33"/>
        </w:numPr>
      </w:pPr>
      <w:r>
        <w:t>Prevention and management of complications.</w:t>
      </w:r>
    </w:p>
    <w:p w14:paraId="27646203" w14:textId="14A1038A" w:rsidR="008F3EB7" w:rsidRPr="004B02D3" w:rsidRDefault="008F3EB7" w:rsidP="004B02D3">
      <w:r w:rsidRPr="008F3EB7">
        <w:rPr>
          <w:i/>
        </w:rPr>
        <w:t>Lifestyle measures</w:t>
      </w:r>
      <w:r>
        <w:t>: Diet, smoking cessation, moderation in alcohol intake, adequate physical activity and weight management.</w:t>
      </w:r>
    </w:p>
    <w:p w14:paraId="0CEBC2DD" w14:textId="55E4036D" w:rsidR="008F3EB7" w:rsidRPr="008F3EB7" w:rsidRDefault="008F3EB7" w:rsidP="008F3EB7">
      <w:pPr>
        <w:rPr>
          <w:i/>
        </w:rPr>
      </w:pPr>
      <w:r w:rsidRPr="008F3EB7">
        <w:rPr>
          <w:i/>
        </w:rPr>
        <w:t>Pharmacologic Therapy:</w:t>
      </w:r>
    </w:p>
    <w:p w14:paraId="4B9F5700" w14:textId="011B08FA" w:rsidR="008F3EB7" w:rsidRDefault="008F3EB7" w:rsidP="008F3EB7">
      <w:r w:rsidRPr="008F3EB7">
        <w:rPr>
          <w:i/>
        </w:rPr>
        <w:t>Glucose control:</w:t>
      </w:r>
      <w:r>
        <w:t xml:space="preserve"> Target blood glucose levels are 4.4 – 7.2 mmol/l (fasting and pre-meal), less than 10.0 mmol/l post-prandial. Target HbA1c is less than 7%. Individualize higher targets for older patients or those prone to </w:t>
      </w:r>
      <w:proofErr w:type="spellStart"/>
      <w:r>
        <w:t>hypoglycaemia</w:t>
      </w:r>
      <w:proofErr w:type="spellEnd"/>
      <w:r>
        <w:t>. (target up to 8.5% HbA1c and up to 10.0</w:t>
      </w:r>
      <w:r w:rsidR="004F1547">
        <w:t xml:space="preserve"> </w:t>
      </w:r>
      <w:r>
        <w:t>mmol/l pre-meal blood glucose)</w:t>
      </w:r>
    </w:p>
    <w:p w14:paraId="3AD9761D" w14:textId="77777777" w:rsidR="008F3EB7" w:rsidRDefault="008F3EB7" w:rsidP="004F1547">
      <w:pPr>
        <w:pStyle w:val="ListParagraph"/>
        <w:numPr>
          <w:ilvl w:val="0"/>
          <w:numId w:val="34"/>
        </w:numPr>
      </w:pPr>
      <w:r>
        <w:t xml:space="preserve">Type 1 patients: usually insulin dependent from diagnosis. Usually maintained on combinations of regular insulin and intermediate acting insulin e.g. </w:t>
      </w:r>
      <w:proofErr w:type="spellStart"/>
      <w:r>
        <w:t>Mixtard</w:t>
      </w:r>
      <w:proofErr w:type="spellEnd"/>
      <w:r>
        <w:t xml:space="preserve"> (70/30). Refer to EFSTH</w:t>
      </w:r>
    </w:p>
    <w:p w14:paraId="43950B94" w14:textId="39E83CB2" w:rsidR="008F3EB7" w:rsidRDefault="008F3EB7" w:rsidP="004F1547">
      <w:pPr>
        <w:pStyle w:val="ListParagraph"/>
        <w:numPr>
          <w:ilvl w:val="0"/>
          <w:numId w:val="34"/>
        </w:numPr>
      </w:pPr>
      <w:r>
        <w:lastRenderedPageBreak/>
        <w:t xml:space="preserve">Initial drug of choice in Type 2 is metformin unless contraindicated. Start at </w:t>
      </w:r>
      <w:r w:rsidRPr="0032286F">
        <w:t xml:space="preserve">500 mg orally </w:t>
      </w:r>
      <w:r>
        <w:t>once daily. Increase to</w:t>
      </w:r>
      <w:r w:rsidRPr="0032286F">
        <w:t xml:space="preserve"> 500</w:t>
      </w:r>
      <w:r w:rsidR="004F1547">
        <w:t xml:space="preserve"> </w:t>
      </w:r>
      <w:r>
        <w:t>mg twice daily the next week and then 500</w:t>
      </w:r>
      <w:r w:rsidR="004F1547">
        <w:t xml:space="preserve"> </w:t>
      </w:r>
      <w:r>
        <w:t xml:space="preserve">mg three times daily the week after. The usual </w:t>
      </w:r>
      <w:r w:rsidRPr="0032286F">
        <w:t>maximum</w:t>
      </w:r>
      <w:r>
        <w:t xml:space="preserve"> dose is </w:t>
      </w:r>
      <w:r w:rsidRPr="0032286F">
        <w:t>1000 mg twice daily</w:t>
      </w:r>
      <w:r>
        <w:t>.</w:t>
      </w:r>
    </w:p>
    <w:p w14:paraId="47EA0CD3" w14:textId="38D6A1D4" w:rsidR="008F3EB7" w:rsidRDefault="008F3EB7" w:rsidP="004F1547">
      <w:pPr>
        <w:pStyle w:val="ListParagraph"/>
        <w:numPr>
          <w:ilvl w:val="0"/>
          <w:numId w:val="34"/>
        </w:numPr>
      </w:pPr>
      <w:r>
        <w:t xml:space="preserve">For patients with baseline FBS &gt; </w:t>
      </w:r>
      <w:r w:rsidR="004F1547">
        <w:t>16 mmol/l</w:t>
      </w:r>
      <w:r>
        <w:t>, baseline HbA1c ≥ 9% or FBS not at target after 3 months, commence glic</w:t>
      </w:r>
      <w:r w:rsidR="004F1547">
        <w:t>l</w:t>
      </w:r>
      <w:r>
        <w:t>azide along with metformin.</w:t>
      </w:r>
    </w:p>
    <w:p w14:paraId="78FACF3E" w14:textId="77777777" w:rsidR="008F3EB7" w:rsidRDefault="008F3EB7" w:rsidP="004F1547">
      <w:pPr>
        <w:pStyle w:val="ListParagraph"/>
        <w:numPr>
          <w:ilvl w:val="0"/>
          <w:numId w:val="34"/>
        </w:numPr>
      </w:pPr>
      <w:r>
        <w:t>Assess medication adherence at each visit.</w:t>
      </w:r>
    </w:p>
    <w:p w14:paraId="48ED807F" w14:textId="478C5789" w:rsidR="008F3EB7" w:rsidRDefault="008F3EB7" w:rsidP="004F1547">
      <w:pPr>
        <w:pStyle w:val="ListParagraph"/>
        <w:numPr>
          <w:ilvl w:val="0"/>
          <w:numId w:val="34"/>
        </w:numPr>
      </w:pPr>
      <w:r>
        <w:t>If still not at target despite maximal doses of glic</w:t>
      </w:r>
      <w:r w:rsidR="004F1547">
        <w:t>l</w:t>
      </w:r>
      <w:r>
        <w:t>azide and metformin, consider adding another oral agent or insulin.</w:t>
      </w:r>
      <w:r w:rsidR="004F1547">
        <w:t xml:space="preserve"> Patients other than staff will need to be referred to EFSTH diabetic clinic at this point. </w:t>
      </w:r>
    </w:p>
    <w:p w14:paraId="5A677575" w14:textId="77777777" w:rsidR="008F3EB7" w:rsidRDefault="008F3EB7" w:rsidP="008F3EB7">
      <w:proofErr w:type="spellStart"/>
      <w:r w:rsidRPr="004F1547">
        <w:rPr>
          <w:i/>
        </w:rPr>
        <w:t>Hypoglycaemia</w:t>
      </w:r>
      <w:proofErr w:type="spellEnd"/>
      <w:r w:rsidRPr="004F1547">
        <w:rPr>
          <w:i/>
        </w:rPr>
        <w:t>:</w:t>
      </w:r>
      <w:r>
        <w:t xml:space="preserve"> Treat at blood glucose less than 4 mmol/l or presence of typical symptoms. </w:t>
      </w:r>
    </w:p>
    <w:p w14:paraId="4E11E3DE" w14:textId="77777777" w:rsidR="008F3EB7" w:rsidRDefault="008F3EB7" w:rsidP="004F1547">
      <w:pPr>
        <w:pStyle w:val="ListParagraph"/>
        <w:numPr>
          <w:ilvl w:val="0"/>
          <w:numId w:val="35"/>
        </w:numPr>
      </w:pPr>
      <w:r>
        <w:t>Unlikely to occur if patient is on metformin monotherapy.</w:t>
      </w:r>
    </w:p>
    <w:p w14:paraId="1F5F97BD" w14:textId="77777777" w:rsidR="008F3EB7" w:rsidRDefault="008F3EB7" w:rsidP="004F1547">
      <w:pPr>
        <w:pStyle w:val="ListParagraph"/>
        <w:numPr>
          <w:ilvl w:val="0"/>
          <w:numId w:val="35"/>
        </w:numPr>
      </w:pPr>
      <w:r>
        <w:t xml:space="preserve">Educate patient on prevention, symptoms and immediate care needed. Patients on sulfonylureas or insulin should carry three candies (sweets) or sugar cubes always to treat </w:t>
      </w:r>
      <w:proofErr w:type="spellStart"/>
      <w:r>
        <w:t>hypoglycaemia</w:t>
      </w:r>
      <w:proofErr w:type="spellEnd"/>
      <w:r>
        <w:t>.</w:t>
      </w:r>
    </w:p>
    <w:p w14:paraId="314CEA34" w14:textId="77777777" w:rsidR="008F3EB7" w:rsidRDefault="008F3EB7" w:rsidP="004F1547">
      <w:pPr>
        <w:pStyle w:val="ListParagraph"/>
        <w:numPr>
          <w:ilvl w:val="0"/>
          <w:numId w:val="35"/>
        </w:numPr>
      </w:pPr>
      <w:r>
        <w:t xml:space="preserve">If </w:t>
      </w:r>
      <w:proofErr w:type="spellStart"/>
      <w:r>
        <w:t>hypoglycaemia</w:t>
      </w:r>
      <w:proofErr w:type="spellEnd"/>
      <w:r>
        <w:t xml:space="preserve"> occurs, assess diet, dose and physical activity with patient and agree on dose adjustment.</w:t>
      </w:r>
    </w:p>
    <w:p w14:paraId="6EC19DBC" w14:textId="12F0284A" w:rsidR="008F3EB7" w:rsidRDefault="008F3EB7" w:rsidP="008F3EB7">
      <w:r w:rsidRPr="004F1547">
        <w:rPr>
          <w:i/>
        </w:rPr>
        <w:t>Blood pressure control:</w:t>
      </w:r>
      <w:r>
        <w:t xml:space="preserve"> Target BP is &lt;</w:t>
      </w:r>
      <w:r w:rsidR="00787141">
        <w:t xml:space="preserve"> </w:t>
      </w:r>
      <w:r>
        <w:t>140/90</w:t>
      </w:r>
      <w:r w:rsidR="00787141">
        <w:t xml:space="preserve"> </w:t>
      </w:r>
      <w:r>
        <w:t>mmHg</w:t>
      </w:r>
    </w:p>
    <w:p w14:paraId="14CD3521" w14:textId="1E0B903E" w:rsidR="008F3EB7" w:rsidRDefault="008F3EB7" w:rsidP="004F1547">
      <w:pPr>
        <w:pStyle w:val="ListParagraph"/>
        <w:numPr>
          <w:ilvl w:val="0"/>
          <w:numId w:val="36"/>
        </w:numPr>
      </w:pPr>
      <w:r>
        <w:t>If BP is &lt; 160</w:t>
      </w:r>
      <w:r w:rsidR="004F1547">
        <w:t xml:space="preserve"> </w:t>
      </w:r>
      <w:r>
        <w:t>mmHg systolic and &lt; 100 mmHg diastolic, start with a single drug preferably a Calcium Channel Blocker (use an ACE Inhibitor instead if proteinuria or chronic kidney disease is present)</w:t>
      </w:r>
    </w:p>
    <w:p w14:paraId="1F7BE1F8" w14:textId="49D3DD20" w:rsidR="008F3EB7" w:rsidRDefault="008F3EB7" w:rsidP="004F1547">
      <w:pPr>
        <w:pStyle w:val="ListParagraph"/>
        <w:numPr>
          <w:ilvl w:val="0"/>
          <w:numId w:val="36"/>
        </w:numPr>
      </w:pPr>
      <w:r>
        <w:t>If BP is ≥ 160</w:t>
      </w:r>
      <w:r w:rsidR="004F1547">
        <w:t xml:space="preserve"> </w:t>
      </w:r>
      <w:r>
        <w:t>mmHg systolic or 100</w:t>
      </w:r>
      <w:r w:rsidR="004F1547">
        <w:t xml:space="preserve"> </w:t>
      </w:r>
      <w:r>
        <w:t xml:space="preserve">mmHg diastolic, start with two drugs preferably Calcium Channel Blocker + ACE Inhibitor </w:t>
      </w:r>
    </w:p>
    <w:p w14:paraId="6E98BCA9" w14:textId="77777777" w:rsidR="008F3EB7" w:rsidRDefault="008F3EB7" w:rsidP="004F1547">
      <w:pPr>
        <w:pStyle w:val="ListParagraph"/>
        <w:numPr>
          <w:ilvl w:val="0"/>
          <w:numId w:val="36"/>
        </w:numPr>
      </w:pPr>
      <w:r>
        <w:t xml:space="preserve">Avoid beta blockers as they can mask </w:t>
      </w:r>
      <w:proofErr w:type="spellStart"/>
      <w:r>
        <w:t>hypoglycaemia</w:t>
      </w:r>
      <w:proofErr w:type="spellEnd"/>
      <w:r>
        <w:t xml:space="preserve"> symptoms</w:t>
      </w:r>
    </w:p>
    <w:p w14:paraId="01D7E7D6" w14:textId="00F58B31" w:rsidR="008F3EB7" w:rsidRDefault="008F3EB7" w:rsidP="004F1547">
      <w:r w:rsidRPr="004F1547">
        <w:rPr>
          <w:i/>
        </w:rPr>
        <w:t>Cholesterol:</w:t>
      </w:r>
      <w:r>
        <w:t xml:space="preserve"> Statin therapy with atorvastatin if patients is over 40 years or has a history of atherosclerotic cardiovascular disease.</w:t>
      </w:r>
      <w:r w:rsidR="004F1547">
        <w:t xml:space="preserve"> </w:t>
      </w:r>
      <w:r>
        <w:t xml:space="preserve">Higher doses </w:t>
      </w:r>
      <w:r w:rsidR="004F1547">
        <w:t xml:space="preserve">are </w:t>
      </w:r>
      <w:r>
        <w:t>needed for patients</w:t>
      </w:r>
      <w:r w:rsidR="004F1547">
        <w:t xml:space="preserve"> with</w:t>
      </w:r>
      <w:r>
        <w:t xml:space="preserve"> cardiovascular disease</w:t>
      </w:r>
      <w:r w:rsidR="004F1547">
        <w:t>.</w:t>
      </w:r>
    </w:p>
    <w:p w14:paraId="6B6BE6A6" w14:textId="001176BE" w:rsidR="008F3EB7" w:rsidRDefault="008F3EB7" w:rsidP="008F3EB7">
      <w:r w:rsidRPr="004F1547">
        <w:rPr>
          <w:i/>
        </w:rPr>
        <w:t>Antiplatelet therapy:</w:t>
      </w:r>
      <w:r>
        <w:t xml:space="preserve"> consider if </w:t>
      </w:r>
      <w:proofErr w:type="gramStart"/>
      <w:r>
        <w:t>10 year</w:t>
      </w:r>
      <w:proofErr w:type="gramEnd"/>
      <w:r>
        <w:t xml:space="preserve"> cardiovascular risk is &gt; 10%</w:t>
      </w:r>
      <w:r w:rsidR="004F1547">
        <w:t xml:space="preserve"> – </w:t>
      </w:r>
      <w:r>
        <w:t>Soluble aspirin 75</w:t>
      </w:r>
      <w:r w:rsidR="00787141">
        <w:t xml:space="preserve"> </w:t>
      </w:r>
      <w:r>
        <w:t>mg daily or clopidogrel 75</w:t>
      </w:r>
      <w:r w:rsidR="00787141">
        <w:t xml:space="preserve"> </w:t>
      </w:r>
      <w:r>
        <w:t>mg daily</w:t>
      </w:r>
      <w:r w:rsidR="004F1547">
        <w:t>.</w:t>
      </w:r>
    </w:p>
    <w:p w14:paraId="257C581B" w14:textId="7D184C4C" w:rsidR="008F3EB7" w:rsidRDefault="004F1547" w:rsidP="008F3EB7">
      <w:r>
        <w:t>Encourage patients to seek</w:t>
      </w:r>
      <w:r w:rsidR="008F3EB7">
        <w:t xml:space="preserve"> annual comprehensive eye examination </w:t>
      </w:r>
      <w:r>
        <w:t>at SZREC.</w:t>
      </w:r>
    </w:p>
    <w:p w14:paraId="2E4CC991" w14:textId="2400B8F8" w:rsidR="008F3EB7" w:rsidRDefault="008F3EB7" w:rsidP="008F3EB7">
      <w:r>
        <w:t>For distal sensory polyneuropathy, carbamazepine or amitriptyline may provide improvement in discomfort over time. Metformin may cause Vitamin B12 deficiency which may contribute to neuropathy. This may be detected as a raised MCV and can be treated with 1</w:t>
      </w:r>
      <w:r w:rsidR="004F1547">
        <w:t xml:space="preserve"> ml </w:t>
      </w:r>
      <w:r>
        <w:t xml:space="preserve">Vitamin B12 </w:t>
      </w:r>
      <w:proofErr w:type="spellStart"/>
      <w:r w:rsidR="004F1547">
        <w:t>im</w:t>
      </w:r>
      <w:proofErr w:type="spellEnd"/>
      <w:r w:rsidR="004F1547">
        <w:t xml:space="preserve"> monthly</w:t>
      </w:r>
      <w:r>
        <w:t xml:space="preserve">. </w:t>
      </w:r>
    </w:p>
    <w:p w14:paraId="01A19656" w14:textId="39050CF9" w:rsidR="008F3EB7" w:rsidRDefault="008F3EB7" w:rsidP="004F1547">
      <w:r w:rsidRPr="004F1547">
        <w:rPr>
          <w:i/>
        </w:rPr>
        <w:t>Nephropathy:</w:t>
      </w:r>
      <w:r>
        <w:t xml:space="preserve"> Monitor serum electrolytes, urea and creatinine if proteinuria is present (or on ACE inhibitor)</w:t>
      </w:r>
      <w:r w:rsidR="004F1547">
        <w:t xml:space="preserve">. Discuss referral </w:t>
      </w:r>
      <w:r>
        <w:t xml:space="preserve">to EFSTH if eGFR </w:t>
      </w:r>
      <w:r w:rsidRPr="00A7314E">
        <w:t>is</w:t>
      </w:r>
      <w:r>
        <w:t xml:space="preserve"> &lt;</w:t>
      </w:r>
      <w:r w:rsidR="00787141">
        <w:t xml:space="preserve"> </w:t>
      </w:r>
      <w:r w:rsidRPr="00A7314E">
        <w:t>60 mL/min/1.73 m</w:t>
      </w:r>
      <w:r w:rsidRPr="00A7314E">
        <w:rPr>
          <w:vertAlign w:val="superscript"/>
        </w:rPr>
        <w:t>2</w:t>
      </w:r>
      <w:r>
        <w:t>.</w:t>
      </w:r>
    </w:p>
    <w:p w14:paraId="3C54E76D" w14:textId="77777777" w:rsidR="004B02D3" w:rsidRDefault="004B02D3">
      <w:pPr>
        <w:spacing w:after="0"/>
        <w:outlineLvl w:val="9"/>
        <w:rPr>
          <w:rFonts w:eastAsia="Times New Roman" w:cs="Times New Roman"/>
          <w:b/>
          <w:bCs/>
          <w:szCs w:val="26"/>
          <w:u w:val="single"/>
        </w:rPr>
      </w:pPr>
      <w:r>
        <w:br w:type="page"/>
      </w:r>
    </w:p>
    <w:p w14:paraId="03F1C93A" w14:textId="00118CD8" w:rsidR="00714687" w:rsidRPr="00FF779F" w:rsidRDefault="00714687" w:rsidP="00714687">
      <w:pPr>
        <w:pStyle w:val="Heading3"/>
      </w:pPr>
      <w:r w:rsidRPr="00FF779F">
        <w:lastRenderedPageBreak/>
        <w:t>Pregnancy and DM</w:t>
      </w:r>
    </w:p>
    <w:p w14:paraId="6DC1784E" w14:textId="77777777" w:rsidR="00714687" w:rsidRDefault="00714687" w:rsidP="00714687">
      <w:pPr>
        <w:pStyle w:val="Default"/>
        <w:spacing w:after="120"/>
        <w:rPr>
          <w:rFonts w:ascii="Arial" w:hAnsi="Arial" w:cs="Arial"/>
          <w:color w:val="auto"/>
          <w:sz w:val="22"/>
          <w:lang w:val="en-US"/>
        </w:rPr>
      </w:pPr>
      <w:r w:rsidRPr="00714687">
        <w:rPr>
          <w:rFonts w:ascii="Arial" w:hAnsi="Arial" w:cs="Arial"/>
          <w:i/>
          <w:color w:val="auto"/>
          <w:sz w:val="22"/>
          <w:lang w:val="en-US"/>
        </w:rPr>
        <w:t>Pre-existing Type 2 DM:</w:t>
      </w:r>
      <w:r>
        <w:rPr>
          <w:rFonts w:ascii="Arial" w:hAnsi="Arial" w:cs="Arial"/>
          <w:color w:val="auto"/>
          <w:sz w:val="22"/>
          <w:lang w:val="en-US"/>
        </w:rPr>
        <w:t xml:space="preserve"> Tight glucose control is important. If this can be achieved on Metformin alone then this can continue. The patient will need specialist obstetric </w:t>
      </w:r>
      <w:proofErr w:type="gramStart"/>
      <w:r>
        <w:rPr>
          <w:rFonts w:ascii="Arial" w:hAnsi="Arial" w:cs="Arial"/>
          <w:color w:val="auto"/>
          <w:sz w:val="22"/>
          <w:lang w:val="en-US"/>
        </w:rPr>
        <w:t>care</w:t>
      </w:r>
      <w:proofErr w:type="gramEnd"/>
      <w:r>
        <w:rPr>
          <w:rFonts w:ascii="Arial" w:hAnsi="Arial" w:cs="Arial"/>
          <w:color w:val="auto"/>
          <w:sz w:val="22"/>
          <w:lang w:val="en-US"/>
        </w:rPr>
        <w:t xml:space="preserve"> and many will need insulin treatment. </w:t>
      </w:r>
    </w:p>
    <w:p w14:paraId="3231380E" w14:textId="77777777" w:rsidR="00714687" w:rsidRPr="00714687" w:rsidRDefault="00714687" w:rsidP="00714687">
      <w:pPr>
        <w:pStyle w:val="Default"/>
        <w:spacing w:after="120"/>
        <w:rPr>
          <w:rFonts w:ascii="Arial" w:hAnsi="Arial" w:cs="Arial"/>
          <w:i/>
          <w:color w:val="auto"/>
          <w:sz w:val="22"/>
          <w:lang w:val="en-US"/>
        </w:rPr>
      </w:pPr>
      <w:r w:rsidRPr="00714687">
        <w:rPr>
          <w:rFonts w:ascii="Arial" w:hAnsi="Arial" w:cs="Arial"/>
          <w:i/>
          <w:color w:val="auto"/>
          <w:sz w:val="22"/>
          <w:lang w:val="en-US"/>
        </w:rPr>
        <w:t>Gestational Diabetes:</w:t>
      </w:r>
    </w:p>
    <w:p w14:paraId="25404455" w14:textId="77777777" w:rsidR="00714687" w:rsidRDefault="00714687" w:rsidP="00714687">
      <w:pPr>
        <w:pStyle w:val="Default"/>
        <w:numPr>
          <w:ilvl w:val="0"/>
          <w:numId w:val="42"/>
        </w:numPr>
        <w:rPr>
          <w:rFonts w:ascii="Arial" w:hAnsi="Arial" w:cs="Arial"/>
          <w:color w:val="auto"/>
          <w:sz w:val="22"/>
          <w:lang w:val="en-US"/>
        </w:rPr>
      </w:pPr>
      <w:r>
        <w:rPr>
          <w:rFonts w:ascii="Arial" w:hAnsi="Arial" w:cs="Arial"/>
          <w:color w:val="auto"/>
          <w:sz w:val="22"/>
          <w:lang w:val="en-US"/>
        </w:rPr>
        <w:t>Lifestyle changes may be adequate for control</w:t>
      </w:r>
    </w:p>
    <w:p w14:paraId="2D8A4327" w14:textId="77777777" w:rsidR="00714687" w:rsidRDefault="00714687" w:rsidP="00714687">
      <w:pPr>
        <w:pStyle w:val="Default"/>
        <w:numPr>
          <w:ilvl w:val="0"/>
          <w:numId w:val="42"/>
        </w:numPr>
        <w:rPr>
          <w:rFonts w:ascii="Arial" w:hAnsi="Arial" w:cs="Arial"/>
          <w:color w:val="auto"/>
          <w:sz w:val="22"/>
          <w:lang w:val="en-US"/>
        </w:rPr>
      </w:pPr>
      <w:r>
        <w:rPr>
          <w:rFonts w:ascii="Arial" w:hAnsi="Arial" w:cs="Arial"/>
          <w:color w:val="auto"/>
          <w:sz w:val="22"/>
          <w:lang w:val="en-US"/>
        </w:rPr>
        <w:t>Metformin is the first line therapy</w:t>
      </w:r>
    </w:p>
    <w:p w14:paraId="2C3EF394" w14:textId="77777777" w:rsidR="00714687" w:rsidRDefault="00714687" w:rsidP="00714687">
      <w:pPr>
        <w:pStyle w:val="Default"/>
        <w:numPr>
          <w:ilvl w:val="0"/>
          <w:numId w:val="42"/>
        </w:numPr>
        <w:rPr>
          <w:rFonts w:ascii="Arial" w:hAnsi="Arial" w:cs="Arial"/>
          <w:color w:val="auto"/>
          <w:sz w:val="22"/>
          <w:lang w:val="en-US"/>
        </w:rPr>
      </w:pPr>
      <w:r>
        <w:rPr>
          <w:rFonts w:ascii="Arial" w:hAnsi="Arial" w:cs="Arial"/>
          <w:color w:val="auto"/>
          <w:sz w:val="22"/>
          <w:lang w:val="en-US"/>
        </w:rPr>
        <w:t>Insulin therapy may be needed.</w:t>
      </w:r>
    </w:p>
    <w:p w14:paraId="06134864" w14:textId="77777777" w:rsidR="00714687" w:rsidRPr="00075F32" w:rsidRDefault="00714687" w:rsidP="00714687">
      <w:pPr>
        <w:pStyle w:val="Default"/>
        <w:numPr>
          <w:ilvl w:val="0"/>
          <w:numId w:val="42"/>
        </w:numPr>
        <w:spacing w:after="120"/>
        <w:rPr>
          <w:rFonts w:ascii="Arial" w:hAnsi="Arial" w:cs="Arial"/>
          <w:color w:val="auto"/>
          <w:sz w:val="22"/>
          <w:lang w:val="en-US"/>
        </w:rPr>
      </w:pPr>
      <w:r>
        <w:rPr>
          <w:rFonts w:ascii="Arial" w:hAnsi="Arial" w:cs="Arial"/>
          <w:color w:val="auto"/>
          <w:sz w:val="22"/>
          <w:lang w:val="en-US"/>
        </w:rPr>
        <w:t>Refer for specialist obstetric care</w:t>
      </w:r>
    </w:p>
    <w:p w14:paraId="7CF7047A" w14:textId="77777777" w:rsidR="004F1547" w:rsidRPr="00904F99" w:rsidRDefault="004F1547" w:rsidP="004F1547">
      <w:pPr>
        <w:pStyle w:val="Heading2"/>
        <w:spacing w:before="0" w:after="120"/>
        <w:rPr>
          <w:rFonts w:cs="Arial"/>
          <w:szCs w:val="22"/>
        </w:rPr>
      </w:pPr>
      <w:r w:rsidRPr="00904F99">
        <w:rPr>
          <w:rFonts w:cs="Arial"/>
          <w:szCs w:val="22"/>
        </w:rPr>
        <w:t>Management on the Ward</w:t>
      </w:r>
    </w:p>
    <w:p w14:paraId="2B73C5BE" w14:textId="77777777" w:rsidR="004F1547" w:rsidRDefault="004F1547" w:rsidP="00714687">
      <w:pPr>
        <w:spacing w:before="240"/>
      </w:pPr>
      <w:r w:rsidRPr="006D7B69">
        <w:t>All adult patients</w:t>
      </w:r>
      <w:r>
        <w:t xml:space="preserve"> (including those not previously diagnosed diabetic)</w:t>
      </w:r>
      <w:r w:rsidRPr="006D7B69">
        <w:t xml:space="preserve"> admitted to the ward should have baseline blood glucose checked.</w:t>
      </w:r>
      <w:r>
        <w:t xml:space="preserve"> </w:t>
      </w:r>
    </w:p>
    <w:p w14:paraId="156BB94B" w14:textId="11CF7DE9" w:rsidR="004F1547" w:rsidRDefault="004F1547" w:rsidP="00714687">
      <w:pPr>
        <w:spacing w:before="240"/>
      </w:pPr>
      <w:r>
        <w:t>Blood glucose &gt;</w:t>
      </w:r>
      <w:r w:rsidR="00787141">
        <w:t xml:space="preserve"> </w:t>
      </w:r>
      <w:r>
        <w:t xml:space="preserve">7.8 mmol/l in an in-patient is considered as </w:t>
      </w:r>
      <w:proofErr w:type="spellStart"/>
      <w:r>
        <w:t>hyperglycaemia</w:t>
      </w:r>
      <w:proofErr w:type="spellEnd"/>
      <w:r>
        <w:t>. If blood glucose is persistently &gt; 10 mmol/l, consider starting insulin therapy with a target blood glucose of 7.8 – 10.0 mmol/l.</w:t>
      </w:r>
      <w:r w:rsidR="00714687">
        <w:t xml:space="preserve"> </w:t>
      </w:r>
      <w:r>
        <w:t>Calculate total daily dose (TDD) in units of insulin required.</w:t>
      </w:r>
    </w:p>
    <w:p w14:paraId="60B02A24" w14:textId="77777777" w:rsidR="004F1547" w:rsidRDefault="004F1547" w:rsidP="00714687">
      <w:pPr>
        <w:pStyle w:val="ListParagraph"/>
        <w:numPr>
          <w:ilvl w:val="0"/>
          <w:numId w:val="39"/>
        </w:numPr>
        <w:spacing w:before="240"/>
      </w:pPr>
      <w:r>
        <w:t>For patients recovering from DKA, TDD may safely be set at two-thirds (2/3) of their previous total daily requirement of IV soluble insulin.</w:t>
      </w:r>
    </w:p>
    <w:p w14:paraId="614D943F" w14:textId="75341AA9" w:rsidR="004F1547" w:rsidRDefault="004F1547" w:rsidP="00714687">
      <w:pPr>
        <w:pStyle w:val="ListParagraph"/>
        <w:numPr>
          <w:ilvl w:val="0"/>
          <w:numId w:val="39"/>
        </w:numPr>
        <w:spacing w:before="240"/>
      </w:pPr>
      <w:r>
        <w:t>For patients previously on insulin at home, use previous total daily dose if they were at glucose targets.</w:t>
      </w:r>
    </w:p>
    <w:p w14:paraId="783D27AC" w14:textId="77777777" w:rsidR="004F1547" w:rsidRDefault="004F1547" w:rsidP="00714687">
      <w:pPr>
        <w:pStyle w:val="ListParagraph"/>
        <w:numPr>
          <w:ilvl w:val="1"/>
          <w:numId w:val="39"/>
        </w:numPr>
        <w:spacing w:before="240"/>
      </w:pPr>
      <w:r>
        <w:t>Otherwise, calculate TDD by multiplying body weight in kg by the factor N from the Table 1 below</w:t>
      </w:r>
      <w:r w:rsidRPr="00385E3A">
        <w:t xml:space="preserve"> </w:t>
      </w:r>
    </w:p>
    <w:p w14:paraId="5D27FC2D" w14:textId="4FF4CEDC" w:rsidR="004F1547" w:rsidRDefault="004F1547" w:rsidP="00714687">
      <w:pPr>
        <w:pStyle w:val="ListParagraph"/>
        <w:numPr>
          <w:ilvl w:val="1"/>
          <w:numId w:val="39"/>
        </w:numPr>
        <w:spacing w:before="240"/>
      </w:pPr>
      <w:r>
        <w:t>Adjust TDD downward if nutritional intake is less than normal for patient.</w:t>
      </w:r>
    </w:p>
    <w:p w14:paraId="77032963" w14:textId="77777777" w:rsidR="00714687" w:rsidRPr="00714687" w:rsidRDefault="00714687" w:rsidP="00714687">
      <w:pPr>
        <w:spacing w:after="0"/>
        <w:outlineLvl w:val="9"/>
        <w:rPr>
          <w:i/>
        </w:rPr>
      </w:pPr>
      <w:r w:rsidRPr="00714687">
        <w:rPr>
          <w:i/>
        </w:rPr>
        <w:t>Table 1. Factor for calculating Total Daily Dose of Insulin based on weight:</w:t>
      </w:r>
    </w:p>
    <w:p w14:paraId="4F57AAC2" w14:textId="77777777" w:rsidR="00714687" w:rsidRDefault="00714687" w:rsidP="00714687">
      <w:pPr>
        <w:spacing w:after="0"/>
        <w:outlineLvl w:val="9"/>
      </w:pPr>
    </w:p>
    <w:tbl>
      <w:tblPr>
        <w:tblW w:w="5000" w:type="pct"/>
        <w:tblLook w:val="04A0" w:firstRow="1" w:lastRow="0" w:firstColumn="1" w:lastColumn="0" w:noHBand="0" w:noVBand="1"/>
      </w:tblPr>
      <w:tblGrid>
        <w:gridCol w:w="7374"/>
        <w:gridCol w:w="1246"/>
      </w:tblGrid>
      <w:tr w:rsidR="00714687" w:rsidRPr="00714687" w14:paraId="6345DF2F" w14:textId="77777777" w:rsidTr="00C22083">
        <w:trPr>
          <w:trHeight w:val="315"/>
        </w:trPr>
        <w:tc>
          <w:tcPr>
            <w:tcW w:w="4277"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13EAE9D" w14:textId="77777777" w:rsidR="00714687" w:rsidRPr="00714687" w:rsidRDefault="00714687" w:rsidP="00C22083">
            <w:pPr>
              <w:spacing w:after="0"/>
              <w:outlineLvl w:val="9"/>
              <w:rPr>
                <w:rFonts w:eastAsia="Times New Roman"/>
                <w:b/>
                <w:color w:val="000000"/>
                <w:szCs w:val="22"/>
                <w:lang w:val="en-GB" w:eastAsia="en-GB"/>
              </w:rPr>
            </w:pPr>
            <w:r w:rsidRPr="00714687">
              <w:rPr>
                <w:b/>
                <w:color w:val="000000"/>
                <w:szCs w:val="22"/>
                <w:lang w:eastAsia="en-GB"/>
              </w:rPr>
              <w:t>If patient has these features...</w:t>
            </w:r>
          </w:p>
        </w:tc>
        <w:tc>
          <w:tcPr>
            <w:tcW w:w="723" w:type="pct"/>
            <w:tcBorders>
              <w:top w:val="single" w:sz="8" w:space="0" w:color="auto"/>
              <w:left w:val="nil"/>
              <w:bottom w:val="single" w:sz="8" w:space="0" w:color="auto"/>
              <w:right w:val="single" w:sz="8" w:space="0" w:color="auto"/>
            </w:tcBorders>
            <w:shd w:val="clear" w:color="auto" w:fill="auto"/>
            <w:vAlign w:val="center"/>
            <w:hideMark/>
          </w:tcPr>
          <w:p w14:paraId="0CBDAA95" w14:textId="77777777" w:rsidR="00714687" w:rsidRPr="00714687" w:rsidRDefault="00714687" w:rsidP="00C22083">
            <w:pPr>
              <w:spacing w:after="0"/>
              <w:outlineLvl w:val="9"/>
              <w:rPr>
                <w:rFonts w:eastAsia="Times New Roman"/>
                <w:b/>
                <w:color w:val="000000"/>
                <w:szCs w:val="22"/>
                <w:lang w:val="en-GB" w:eastAsia="en-GB"/>
              </w:rPr>
            </w:pPr>
            <w:r w:rsidRPr="00714687">
              <w:rPr>
                <w:b/>
                <w:color w:val="000000"/>
                <w:szCs w:val="22"/>
                <w:lang w:eastAsia="en-GB"/>
              </w:rPr>
              <w:t>N =</w:t>
            </w:r>
          </w:p>
        </w:tc>
      </w:tr>
      <w:tr w:rsidR="00714687" w:rsidRPr="00BF1FF7" w14:paraId="70A67E06" w14:textId="77777777" w:rsidTr="00714687">
        <w:trPr>
          <w:trHeight w:val="315"/>
        </w:trPr>
        <w:tc>
          <w:tcPr>
            <w:tcW w:w="4277" w:type="pct"/>
            <w:tcBorders>
              <w:top w:val="nil"/>
              <w:left w:val="single" w:sz="8" w:space="0" w:color="auto"/>
              <w:bottom w:val="single" w:sz="8" w:space="0" w:color="auto"/>
              <w:right w:val="single" w:sz="8" w:space="0" w:color="auto"/>
            </w:tcBorders>
            <w:shd w:val="clear" w:color="auto" w:fill="auto"/>
            <w:vAlign w:val="center"/>
            <w:hideMark/>
          </w:tcPr>
          <w:p w14:paraId="0A8FEBBD" w14:textId="77777777" w:rsidR="00714687" w:rsidRPr="00BF1FF7" w:rsidRDefault="00714687" w:rsidP="00C22083">
            <w:pPr>
              <w:spacing w:after="0"/>
              <w:outlineLvl w:val="9"/>
              <w:rPr>
                <w:rFonts w:eastAsia="Times New Roman"/>
                <w:color w:val="000000"/>
                <w:szCs w:val="22"/>
                <w:lang w:val="en-GB" w:eastAsia="en-GB"/>
              </w:rPr>
            </w:pPr>
            <w:r>
              <w:rPr>
                <w:color w:val="000000"/>
                <w:szCs w:val="22"/>
                <w:lang w:eastAsia="en-GB"/>
              </w:rPr>
              <w:t>Underweight</w:t>
            </w:r>
            <w:r w:rsidRPr="00BF1FF7">
              <w:rPr>
                <w:color w:val="000000"/>
                <w:szCs w:val="22"/>
                <w:lang w:eastAsia="en-GB"/>
              </w:rPr>
              <w:t>, elderly, CKD or severe liver disease</w:t>
            </w:r>
          </w:p>
        </w:tc>
        <w:tc>
          <w:tcPr>
            <w:tcW w:w="723" w:type="pct"/>
            <w:tcBorders>
              <w:top w:val="nil"/>
              <w:left w:val="nil"/>
              <w:bottom w:val="single" w:sz="8" w:space="0" w:color="auto"/>
              <w:right w:val="single" w:sz="8" w:space="0" w:color="auto"/>
            </w:tcBorders>
            <w:shd w:val="clear" w:color="auto" w:fill="auto"/>
            <w:hideMark/>
          </w:tcPr>
          <w:p w14:paraId="4E536715" w14:textId="77777777" w:rsidR="00714687" w:rsidRPr="00BF1FF7" w:rsidRDefault="00714687" w:rsidP="00714687">
            <w:pPr>
              <w:spacing w:after="0"/>
              <w:jc w:val="center"/>
              <w:outlineLvl w:val="9"/>
              <w:rPr>
                <w:rFonts w:eastAsia="Times New Roman"/>
                <w:color w:val="000000"/>
                <w:szCs w:val="22"/>
                <w:lang w:val="en-GB" w:eastAsia="en-GB"/>
              </w:rPr>
            </w:pPr>
            <w:r w:rsidRPr="00BF1FF7">
              <w:rPr>
                <w:color w:val="000000"/>
                <w:szCs w:val="22"/>
                <w:lang w:eastAsia="en-GB"/>
              </w:rPr>
              <w:t>0.3</w:t>
            </w:r>
          </w:p>
        </w:tc>
      </w:tr>
      <w:tr w:rsidR="00714687" w:rsidRPr="00BF1FF7" w14:paraId="4A53B4BC" w14:textId="77777777" w:rsidTr="00714687">
        <w:trPr>
          <w:trHeight w:val="315"/>
        </w:trPr>
        <w:tc>
          <w:tcPr>
            <w:tcW w:w="4277" w:type="pct"/>
            <w:tcBorders>
              <w:top w:val="nil"/>
              <w:left w:val="single" w:sz="8" w:space="0" w:color="auto"/>
              <w:bottom w:val="single" w:sz="8" w:space="0" w:color="auto"/>
              <w:right w:val="single" w:sz="8" w:space="0" w:color="auto"/>
            </w:tcBorders>
            <w:shd w:val="clear" w:color="auto" w:fill="auto"/>
            <w:vAlign w:val="center"/>
            <w:hideMark/>
          </w:tcPr>
          <w:p w14:paraId="3E3D8D83" w14:textId="77777777" w:rsidR="00714687" w:rsidRPr="00BF1FF7" w:rsidRDefault="00714687" w:rsidP="00C22083">
            <w:pPr>
              <w:spacing w:after="0"/>
              <w:outlineLvl w:val="9"/>
              <w:rPr>
                <w:rFonts w:eastAsia="Times New Roman"/>
                <w:color w:val="000000"/>
                <w:szCs w:val="22"/>
                <w:lang w:val="en-GB" w:eastAsia="en-GB"/>
              </w:rPr>
            </w:pPr>
            <w:r w:rsidRPr="00BF1FF7">
              <w:rPr>
                <w:color w:val="000000"/>
                <w:szCs w:val="22"/>
                <w:lang w:eastAsia="en-GB"/>
              </w:rPr>
              <w:t>Normal-weight patients, including Type 1 diabetes.</w:t>
            </w:r>
          </w:p>
        </w:tc>
        <w:tc>
          <w:tcPr>
            <w:tcW w:w="723" w:type="pct"/>
            <w:tcBorders>
              <w:top w:val="nil"/>
              <w:left w:val="nil"/>
              <w:bottom w:val="single" w:sz="8" w:space="0" w:color="auto"/>
              <w:right w:val="single" w:sz="8" w:space="0" w:color="auto"/>
            </w:tcBorders>
            <w:shd w:val="clear" w:color="auto" w:fill="auto"/>
            <w:hideMark/>
          </w:tcPr>
          <w:p w14:paraId="5A6AB2A1" w14:textId="77777777" w:rsidR="00714687" w:rsidRPr="00BF1FF7" w:rsidRDefault="00714687" w:rsidP="00714687">
            <w:pPr>
              <w:spacing w:after="0"/>
              <w:jc w:val="center"/>
              <w:outlineLvl w:val="9"/>
              <w:rPr>
                <w:rFonts w:eastAsia="Times New Roman"/>
                <w:color w:val="000000"/>
                <w:szCs w:val="22"/>
                <w:lang w:val="en-GB" w:eastAsia="en-GB"/>
              </w:rPr>
            </w:pPr>
            <w:r w:rsidRPr="00BF1FF7">
              <w:rPr>
                <w:color w:val="000000"/>
                <w:szCs w:val="22"/>
                <w:lang w:eastAsia="en-GB"/>
              </w:rPr>
              <w:t>0.4</w:t>
            </w:r>
          </w:p>
        </w:tc>
      </w:tr>
      <w:tr w:rsidR="00714687" w:rsidRPr="00BF1FF7" w14:paraId="55B5ADA5" w14:textId="77777777" w:rsidTr="00714687">
        <w:trPr>
          <w:trHeight w:val="315"/>
        </w:trPr>
        <w:tc>
          <w:tcPr>
            <w:tcW w:w="4277" w:type="pct"/>
            <w:tcBorders>
              <w:top w:val="nil"/>
              <w:left w:val="single" w:sz="8" w:space="0" w:color="auto"/>
              <w:bottom w:val="single" w:sz="8" w:space="0" w:color="auto"/>
              <w:right w:val="single" w:sz="8" w:space="0" w:color="auto"/>
            </w:tcBorders>
            <w:shd w:val="clear" w:color="auto" w:fill="auto"/>
            <w:vAlign w:val="center"/>
            <w:hideMark/>
          </w:tcPr>
          <w:p w14:paraId="08497FDE" w14:textId="77777777" w:rsidR="00714687" w:rsidRPr="00BF1FF7" w:rsidRDefault="00714687" w:rsidP="00C22083">
            <w:pPr>
              <w:spacing w:after="0"/>
              <w:outlineLvl w:val="9"/>
              <w:rPr>
                <w:rFonts w:eastAsia="Times New Roman"/>
                <w:color w:val="000000"/>
                <w:szCs w:val="22"/>
                <w:lang w:val="en-GB" w:eastAsia="en-GB"/>
              </w:rPr>
            </w:pPr>
            <w:r w:rsidRPr="00BF1FF7">
              <w:rPr>
                <w:color w:val="000000"/>
                <w:szCs w:val="22"/>
                <w:lang w:eastAsia="en-GB"/>
              </w:rPr>
              <w:t>Overweight</w:t>
            </w:r>
          </w:p>
        </w:tc>
        <w:tc>
          <w:tcPr>
            <w:tcW w:w="723" w:type="pct"/>
            <w:tcBorders>
              <w:top w:val="nil"/>
              <w:left w:val="nil"/>
              <w:bottom w:val="single" w:sz="8" w:space="0" w:color="auto"/>
              <w:right w:val="single" w:sz="8" w:space="0" w:color="auto"/>
            </w:tcBorders>
            <w:shd w:val="clear" w:color="auto" w:fill="auto"/>
            <w:hideMark/>
          </w:tcPr>
          <w:p w14:paraId="06BB2CE3" w14:textId="77777777" w:rsidR="00714687" w:rsidRPr="00BF1FF7" w:rsidRDefault="00714687" w:rsidP="00714687">
            <w:pPr>
              <w:spacing w:after="0"/>
              <w:jc w:val="center"/>
              <w:outlineLvl w:val="9"/>
              <w:rPr>
                <w:rFonts w:eastAsia="Times New Roman"/>
                <w:color w:val="000000"/>
                <w:szCs w:val="22"/>
                <w:lang w:val="en-GB" w:eastAsia="en-GB"/>
              </w:rPr>
            </w:pPr>
            <w:r w:rsidRPr="00BF1FF7">
              <w:rPr>
                <w:color w:val="000000"/>
                <w:szCs w:val="22"/>
                <w:lang w:eastAsia="en-GB"/>
              </w:rPr>
              <w:t>0.5</w:t>
            </w:r>
          </w:p>
        </w:tc>
      </w:tr>
      <w:tr w:rsidR="00714687" w:rsidRPr="00BF1FF7" w14:paraId="7DE6B645" w14:textId="77777777" w:rsidTr="00714687">
        <w:trPr>
          <w:trHeight w:val="585"/>
        </w:trPr>
        <w:tc>
          <w:tcPr>
            <w:tcW w:w="4277" w:type="pct"/>
            <w:tcBorders>
              <w:top w:val="nil"/>
              <w:left w:val="single" w:sz="8" w:space="0" w:color="auto"/>
              <w:bottom w:val="single" w:sz="8" w:space="0" w:color="auto"/>
              <w:right w:val="single" w:sz="8" w:space="0" w:color="auto"/>
            </w:tcBorders>
            <w:shd w:val="clear" w:color="auto" w:fill="auto"/>
            <w:vAlign w:val="center"/>
            <w:hideMark/>
          </w:tcPr>
          <w:p w14:paraId="35D38116" w14:textId="77777777" w:rsidR="00714687" w:rsidRPr="00BF1FF7" w:rsidRDefault="00714687" w:rsidP="00C22083">
            <w:pPr>
              <w:spacing w:after="0"/>
              <w:outlineLvl w:val="9"/>
              <w:rPr>
                <w:rFonts w:eastAsia="Times New Roman"/>
                <w:color w:val="000000"/>
                <w:szCs w:val="22"/>
                <w:lang w:val="en-GB" w:eastAsia="en-GB"/>
              </w:rPr>
            </w:pPr>
            <w:r w:rsidRPr="00BF1FF7">
              <w:rPr>
                <w:color w:val="000000"/>
                <w:szCs w:val="22"/>
                <w:lang w:eastAsia="en-GB"/>
              </w:rPr>
              <w:t>Obese, high-dose steroids, or other markers of significant insulin resistance.</w:t>
            </w:r>
          </w:p>
        </w:tc>
        <w:tc>
          <w:tcPr>
            <w:tcW w:w="723" w:type="pct"/>
            <w:tcBorders>
              <w:top w:val="nil"/>
              <w:left w:val="nil"/>
              <w:bottom w:val="single" w:sz="8" w:space="0" w:color="auto"/>
              <w:right w:val="single" w:sz="8" w:space="0" w:color="auto"/>
            </w:tcBorders>
            <w:shd w:val="clear" w:color="auto" w:fill="auto"/>
            <w:hideMark/>
          </w:tcPr>
          <w:p w14:paraId="0E0C0349" w14:textId="77777777" w:rsidR="00714687" w:rsidRPr="00BF1FF7" w:rsidRDefault="00714687" w:rsidP="00714687">
            <w:pPr>
              <w:spacing w:after="0"/>
              <w:jc w:val="center"/>
              <w:outlineLvl w:val="9"/>
              <w:rPr>
                <w:rFonts w:eastAsia="Times New Roman"/>
                <w:color w:val="000000"/>
                <w:szCs w:val="22"/>
                <w:lang w:val="en-GB" w:eastAsia="en-GB"/>
              </w:rPr>
            </w:pPr>
            <w:r w:rsidRPr="00BF1FF7">
              <w:rPr>
                <w:color w:val="000000"/>
                <w:szCs w:val="22"/>
                <w:lang w:eastAsia="en-GB"/>
              </w:rPr>
              <w:t>0.6</w:t>
            </w:r>
          </w:p>
        </w:tc>
      </w:tr>
    </w:tbl>
    <w:p w14:paraId="16EB8275" w14:textId="77777777" w:rsidR="00714687" w:rsidRDefault="00714687" w:rsidP="00714687">
      <w:pPr>
        <w:spacing w:after="0"/>
        <w:outlineLvl w:val="9"/>
        <w:rPr>
          <w:rFonts w:ascii="Times New Roman" w:hAnsi="Times New Roman" w:cs="Times New Roman"/>
          <w:color w:val="000000"/>
          <w:sz w:val="24"/>
          <w:lang w:val="en-GB"/>
        </w:rPr>
      </w:pPr>
    </w:p>
    <w:p w14:paraId="62022C94" w14:textId="7A3FC157" w:rsidR="004F1547" w:rsidRDefault="004F1547" w:rsidP="00714687">
      <w:pPr>
        <w:spacing w:before="240"/>
      </w:pPr>
      <w:r>
        <w:t xml:space="preserve">For patients who are able to eat or </w:t>
      </w:r>
      <w:r w:rsidR="00714687">
        <w:t xml:space="preserve">who </w:t>
      </w:r>
      <w:r>
        <w:t xml:space="preserve">are given tube feeding boluses, give half the calculated TDD as a </w:t>
      </w:r>
      <w:r w:rsidRPr="00B30C43">
        <w:rPr>
          <w:i/>
        </w:rPr>
        <w:t>basal</w:t>
      </w:r>
      <w:r>
        <w:t xml:space="preserve"> subcutaneous insulin</w:t>
      </w:r>
      <w:r w:rsidR="00714687">
        <w:t xml:space="preserve"> isophane</w:t>
      </w:r>
      <w:r>
        <w:t xml:space="preserve"> (</w:t>
      </w:r>
      <w:proofErr w:type="spellStart"/>
      <w:r>
        <w:t>Insulatard</w:t>
      </w:r>
      <w:proofErr w:type="spellEnd"/>
      <w:r>
        <w:t xml:space="preserve">) either as a single dose </w:t>
      </w:r>
      <w:proofErr w:type="gramStart"/>
      <w:r>
        <w:t>or  as</w:t>
      </w:r>
      <w:proofErr w:type="gramEnd"/>
      <w:r>
        <w:t xml:space="preserve"> two divided doses 12 hourly. Give the other half as pre-</w:t>
      </w:r>
      <w:r w:rsidRPr="00B30C43">
        <w:rPr>
          <w:i/>
        </w:rPr>
        <w:t>meal</w:t>
      </w:r>
      <w:r>
        <w:t xml:space="preserve"> subcutaneous </w:t>
      </w:r>
      <w:r w:rsidR="00714687">
        <w:t>soluble</w:t>
      </w:r>
      <w:r>
        <w:t xml:space="preserve"> Insulin (</w:t>
      </w:r>
      <w:proofErr w:type="spellStart"/>
      <w:r>
        <w:t>Actrapid</w:t>
      </w:r>
      <w:proofErr w:type="spellEnd"/>
      <w:r>
        <w:t xml:space="preserve">) 30 minutes before meals with the dose divided equally between the meals. </w:t>
      </w:r>
    </w:p>
    <w:p w14:paraId="087508A1" w14:textId="77777777" w:rsidR="004F1547" w:rsidRDefault="004F1547" w:rsidP="00714687">
      <w:pPr>
        <w:pStyle w:val="ListParagraph"/>
        <w:numPr>
          <w:ilvl w:val="0"/>
          <w:numId w:val="40"/>
        </w:numPr>
        <w:spacing w:before="240"/>
      </w:pPr>
      <w:r>
        <w:t xml:space="preserve">If pre-meal blood glucose is &lt; 3.9 </w:t>
      </w:r>
      <w:proofErr w:type="gramStart"/>
      <w:r>
        <w:t>mmol./</w:t>
      </w:r>
      <w:proofErr w:type="gramEnd"/>
      <w:r>
        <w:t xml:space="preserve">l, treat for </w:t>
      </w:r>
      <w:proofErr w:type="spellStart"/>
      <w:r>
        <w:t>hypoglycaemia</w:t>
      </w:r>
      <w:proofErr w:type="spellEnd"/>
      <w:r>
        <w:t xml:space="preserve"> and reduce pre-meal doses of regular insulin by half.</w:t>
      </w:r>
    </w:p>
    <w:p w14:paraId="0CD8BA52" w14:textId="4AC3DD32" w:rsidR="004F1547" w:rsidRDefault="004F1547" w:rsidP="00714687">
      <w:pPr>
        <w:pStyle w:val="ListParagraph"/>
        <w:numPr>
          <w:ilvl w:val="0"/>
          <w:numId w:val="40"/>
        </w:numPr>
        <w:spacing w:before="240"/>
      </w:pPr>
      <w:r>
        <w:t xml:space="preserve">If pre-meal blood glucose is &gt;10 mmol/l, add </w:t>
      </w:r>
      <w:r w:rsidRPr="00714687">
        <w:rPr>
          <w:i/>
        </w:rPr>
        <w:t>correctional</w:t>
      </w:r>
      <w:r>
        <w:t xml:space="preserve"> insulin dose to pre-meal dose of regular insulin using the Table 2 below</w:t>
      </w:r>
      <w:r w:rsidR="00714687">
        <w:t>.</w:t>
      </w:r>
    </w:p>
    <w:p w14:paraId="0916A456" w14:textId="77777777" w:rsidR="00714687" w:rsidRPr="00714687" w:rsidRDefault="00714687" w:rsidP="00714687">
      <w:pPr>
        <w:pStyle w:val="Default"/>
        <w:spacing w:after="120"/>
        <w:rPr>
          <w:rFonts w:ascii="Arial" w:hAnsi="Arial" w:cs="Arial"/>
          <w:i/>
          <w:sz w:val="22"/>
          <w:szCs w:val="22"/>
        </w:rPr>
      </w:pPr>
      <w:r w:rsidRPr="00714687">
        <w:rPr>
          <w:rFonts w:ascii="Arial" w:hAnsi="Arial" w:cs="Arial"/>
          <w:i/>
          <w:sz w:val="22"/>
          <w:szCs w:val="22"/>
        </w:rPr>
        <w:lastRenderedPageBreak/>
        <w:t>Table 2. Correctional doses of insulin based on pre-meal or 6-hourly blood glucose</w:t>
      </w:r>
    </w:p>
    <w:tbl>
      <w:tblPr>
        <w:tblW w:w="5000" w:type="pct"/>
        <w:tblLook w:val="04A0" w:firstRow="1" w:lastRow="0" w:firstColumn="1" w:lastColumn="0" w:noHBand="0" w:noVBand="1"/>
      </w:tblPr>
      <w:tblGrid>
        <w:gridCol w:w="2037"/>
        <w:gridCol w:w="2195"/>
        <w:gridCol w:w="2195"/>
        <w:gridCol w:w="2193"/>
      </w:tblGrid>
      <w:tr w:rsidR="00714687" w:rsidRPr="00AE6900" w14:paraId="7B82F659" w14:textId="77777777" w:rsidTr="00C22083">
        <w:trPr>
          <w:trHeight w:val="1156"/>
        </w:trPr>
        <w:tc>
          <w:tcPr>
            <w:tcW w:w="1182" w:type="pct"/>
            <w:tcBorders>
              <w:top w:val="single" w:sz="8" w:space="0" w:color="auto"/>
              <w:left w:val="single" w:sz="8" w:space="0" w:color="auto"/>
              <w:bottom w:val="nil"/>
              <w:right w:val="single" w:sz="8" w:space="0" w:color="auto"/>
            </w:tcBorders>
            <w:shd w:val="clear" w:color="000000" w:fill="FFFFFF"/>
            <w:vAlign w:val="center"/>
            <w:hideMark/>
          </w:tcPr>
          <w:p w14:paraId="44AB3356" w14:textId="77777777" w:rsidR="00714687" w:rsidRPr="00F53B82" w:rsidRDefault="00714687" w:rsidP="00C22083">
            <w:pPr>
              <w:spacing w:before="240" w:after="0"/>
              <w:jc w:val="center"/>
              <w:outlineLvl w:val="9"/>
              <w:rPr>
                <w:rFonts w:eastAsia="Times New Roman"/>
                <w:i/>
                <w:iCs/>
                <w:color w:val="000000"/>
                <w:szCs w:val="22"/>
                <w:lang w:val="en-GB" w:eastAsia="en-GB"/>
              </w:rPr>
            </w:pPr>
            <w:r w:rsidRPr="00F53B82">
              <w:rPr>
                <w:rFonts w:eastAsia="Times New Roman"/>
                <w:i/>
                <w:iCs/>
                <w:color w:val="000000"/>
                <w:szCs w:val="22"/>
                <w:lang w:val="en-GB" w:eastAsia="en-GB"/>
              </w:rPr>
              <w:t>Blood Glucose</w:t>
            </w:r>
            <w:r>
              <w:rPr>
                <w:rFonts w:eastAsia="Times New Roman"/>
                <w:i/>
                <w:iCs/>
                <w:color w:val="000000"/>
                <w:szCs w:val="22"/>
                <w:lang w:val="en-GB" w:eastAsia="en-GB"/>
              </w:rPr>
              <w:t xml:space="preserve"> (</w:t>
            </w:r>
            <w:r w:rsidRPr="00B24441">
              <w:rPr>
                <w:rFonts w:eastAsia="Times New Roman"/>
                <w:i/>
                <w:color w:val="000000"/>
                <w:szCs w:val="22"/>
                <w:lang w:val="en-GB" w:eastAsia="en-GB"/>
              </w:rPr>
              <w:t>mmol/l)</w:t>
            </w:r>
          </w:p>
        </w:tc>
        <w:tc>
          <w:tcPr>
            <w:tcW w:w="1273" w:type="pct"/>
            <w:tcBorders>
              <w:top w:val="single" w:sz="8" w:space="0" w:color="auto"/>
              <w:left w:val="nil"/>
              <w:bottom w:val="nil"/>
              <w:right w:val="nil"/>
            </w:tcBorders>
            <w:shd w:val="clear" w:color="000000" w:fill="FFFFFF"/>
            <w:vAlign w:val="center"/>
            <w:hideMark/>
          </w:tcPr>
          <w:p w14:paraId="76DD37A4" w14:textId="77777777" w:rsidR="00714687" w:rsidRPr="00F53B82" w:rsidRDefault="00714687" w:rsidP="00C22083">
            <w:pPr>
              <w:spacing w:after="0"/>
              <w:outlineLvl w:val="9"/>
              <w:rPr>
                <w:rFonts w:eastAsia="Times New Roman"/>
                <w:i/>
                <w:iCs/>
                <w:color w:val="000000"/>
                <w:szCs w:val="22"/>
                <w:lang w:val="en-GB" w:eastAsia="en-GB"/>
              </w:rPr>
            </w:pPr>
            <w:r w:rsidRPr="00F53B82">
              <w:rPr>
                <w:rFonts w:eastAsia="Times New Roman"/>
                <w:i/>
                <w:iCs/>
                <w:color w:val="000000"/>
                <w:szCs w:val="22"/>
                <w:lang w:val="en-GB" w:eastAsia="en-GB"/>
              </w:rPr>
              <w:t xml:space="preserve">If TDD &lt;40 </w:t>
            </w:r>
            <w:r>
              <w:rPr>
                <w:rFonts w:eastAsia="Times New Roman"/>
                <w:i/>
                <w:iCs/>
                <w:color w:val="000000"/>
                <w:szCs w:val="22"/>
                <w:lang w:val="en-GB" w:eastAsia="en-GB"/>
              </w:rPr>
              <w:t>u</w:t>
            </w:r>
            <w:r w:rsidRPr="00F53B82">
              <w:rPr>
                <w:rFonts w:eastAsia="Times New Roman"/>
                <w:i/>
                <w:iCs/>
                <w:color w:val="000000"/>
                <w:szCs w:val="22"/>
                <w:lang w:val="en-GB" w:eastAsia="en-GB"/>
              </w:rPr>
              <w:t>nits/day,</w:t>
            </w:r>
            <w:r>
              <w:rPr>
                <w:rFonts w:eastAsia="Times New Roman"/>
                <w:i/>
                <w:iCs/>
                <w:color w:val="000000"/>
                <w:szCs w:val="22"/>
                <w:lang w:val="en-GB" w:eastAsia="en-GB"/>
              </w:rPr>
              <w:t xml:space="preserve"> add:</w:t>
            </w:r>
          </w:p>
        </w:tc>
        <w:tc>
          <w:tcPr>
            <w:tcW w:w="1273" w:type="pct"/>
            <w:tcBorders>
              <w:top w:val="single" w:sz="8" w:space="0" w:color="auto"/>
              <w:left w:val="single" w:sz="8" w:space="0" w:color="auto"/>
              <w:bottom w:val="nil"/>
              <w:right w:val="nil"/>
            </w:tcBorders>
            <w:shd w:val="clear" w:color="000000" w:fill="FFFFFF"/>
            <w:vAlign w:val="center"/>
            <w:hideMark/>
          </w:tcPr>
          <w:p w14:paraId="1FAC80C5" w14:textId="77777777" w:rsidR="00714687" w:rsidRPr="00F53B82" w:rsidRDefault="00714687" w:rsidP="00C22083">
            <w:pPr>
              <w:spacing w:after="0"/>
              <w:outlineLvl w:val="9"/>
              <w:rPr>
                <w:rFonts w:eastAsia="Times New Roman"/>
                <w:i/>
                <w:iCs/>
                <w:color w:val="000000"/>
                <w:szCs w:val="22"/>
                <w:lang w:val="en-GB" w:eastAsia="en-GB"/>
              </w:rPr>
            </w:pPr>
            <w:r w:rsidRPr="00F53B82">
              <w:rPr>
                <w:rFonts w:eastAsia="Times New Roman"/>
                <w:i/>
                <w:iCs/>
                <w:color w:val="000000"/>
                <w:szCs w:val="22"/>
                <w:lang w:val="en-GB" w:eastAsia="en-GB"/>
              </w:rPr>
              <w:t>If TDD is 40-80 units/day,</w:t>
            </w:r>
            <w:r>
              <w:rPr>
                <w:rFonts w:eastAsia="Times New Roman"/>
                <w:i/>
                <w:iCs/>
                <w:color w:val="000000"/>
                <w:szCs w:val="22"/>
                <w:lang w:val="en-GB" w:eastAsia="en-GB"/>
              </w:rPr>
              <w:t xml:space="preserve"> </w:t>
            </w:r>
            <w:r w:rsidRPr="00F53B82">
              <w:rPr>
                <w:rFonts w:eastAsia="Times New Roman"/>
                <w:i/>
                <w:iCs/>
                <w:color w:val="000000"/>
                <w:szCs w:val="22"/>
                <w:lang w:val="en-GB" w:eastAsia="en-GB"/>
              </w:rPr>
              <w:t>add</w:t>
            </w:r>
            <w:r>
              <w:rPr>
                <w:rFonts w:eastAsia="Times New Roman"/>
                <w:i/>
                <w:iCs/>
                <w:color w:val="000000"/>
                <w:szCs w:val="22"/>
                <w:lang w:val="en-GB" w:eastAsia="en-GB"/>
              </w:rPr>
              <w:t>:</w:t>
            </w:r>
          </w:p>
        </w:tc>
        <w:tc>
          <w:tcPr>
            <w:tcW w:w="1272" w:type="pct"/>
            <w:tcBorders>
              <w:top w:val="single" w:sz="8" w:space="0" w:color="auto"/>
              <w:left w:val="single" w:sz="8" w:space="0" w:color="auto"/>
              <w:bottom w:val="nil"/>
              <w:right w:val="single" w:sz="8" w:space="0" w:color="auto"/>
            </w:tcBorders>
            <w:shd w:val="clear" w:color="000000" w:fill="FFFFFF"/>
            <w:vAlign w:val="center"/>
            <w:hideMark/>
          </w:tcPr>
          <w:p w14:paraId="37D4D883" w14:textId="77777777" w:rsidR="00714687" w:rsidRPr="00F53B82" w:rsidRDefault="00714687" w:rsidP="00C22083">
            <w:pPr>
              <w:spacing w:after="0"/>
              <w:outlineLvl w:val="9"/>
              <w:rPr>
                <w:rFonts w:eastAsia="Times New Roman"/>
                <w:i/>
                <w:iCs/>
                <w:color w:val="000000"/>
                <w:szCs w:val="22"/>
                <w:lang w:val="en-GB" w:eastAsia="en-GB"/>
              </w:rPr>
            </w:pPr>
            <w:r w:rsidRPr="00F53B82">
              <w:rPr>
                <w:rFonts w:eastAsia="Times New Roman"/>
                <w:i/>
                <w:iCs/>
                <w:color w:val="000000"/>
                <w:szCs w:val="22"/>
                <w:lang w:val="en-GB" w:eastAsia="en-GB"/>
              </w:rPr>
              <w:t>If TDD &gt;80 units/day, add</w:t>
            </w:r>
            <w:r>
              <w:rPr>
                <w:rFonts w:eastAsia="Times New Roman"/>
                <w:i/>
                <w:iCs/>
                <w:color w:val="000000"/>
                <w:szCs w:val="22"/>
                <w:lang w:val="en-GB" w:eastAsia="en-GB"/>
              </w:rPr>
              <w:t>:</w:t>
            </w:r>
          </w:p>
        </w:tc>
      </w:tr>
      <w:tr w:rsidR="00714687" w:rsidRPr="00104105" w14:paraId="5A370487" w14:textId="77777777" w:rsidTr="00C22083">
        <w:trPr>
          <w:trHeight w:val="315"/>
        </w:trPr>
        <w:tc>
          <w:tcPr>
            <w:tcW w:w="1182" w:type="pct"/>
            <w:tcBorders>
              <w:top w:val="single" w:sz="8" w:space="0" w:color="auto"/>
              <w:left w:val="single" w:sz="8" w:space="0" w:color="auto"/>
              <w:bottom w:val="nil"/>
              <w:right w:val="nil"/>
            </w:tcBorders>
            <w:shd w:val="clear" w:color="000000" w:fill="FFFFFF"/>
            <w:vAlign w:val="center"/>
          </w:tcPr>
          <w:p w14:paraId="6A31AF96" w14:textId="77777777" w:rsidR="00714687" w:rsidRPr="00104105" w:rsidRDefault="00714687" w:rsidP="00C22083">
            <w:pPr>
              <w:spacing w:after="0"/>
              <w:jc w:val="center"/>
              <w:outlineLvl w:val="9"/>
              <w:rPr>
                <w:rFonts w:eastAsia="Times New Roman"/>
                <w:b/>
                <w:color w:val="000000"/>
                <w:szCs w:val="22"/>
                <w:lang w:val="en-GB" w:eastAsia="en-GB"/>
              </w:rPr>
            </w:pPr>
            <w:r w:rsidRPr="00104105">
              <w:rPr>
                <w:rFonts w:eastAsia="Times New Roman"/>
                <w:b/>
                <w:color w:val="000000"/>
                <w:szCs w:val="22"/>
                <w:lang w:val="en-GB" w:eastAsia="en-GB"/>
              </w:rPr>
              <w:t>&lt; 3.9</w:t>
            </w:r>
          </w:p>
        </w:tc>
        <w:tc>
          <w:tcPr>
            <w:tcW w:w="3818" w:type="pct"/>
            <w:gridSpan w:val="3"/>
            <w:tcBorders>
              <w:top w:val="single" w:sz="8" w:space="0" w:color="auto"/>
              <w:left w:val="single" w:sz="8" w:space="0" w:color="auto"/>
              <w:bottom w:val="nil"/>
              <w:right w:val="single" w:sz="4" w:space="0" w:color="auto"/>
            </w:tcBorders>
            <w:shd w:val="clear" w:color="000000" w:fill="FFFFFF"/>
            <w:vAlign w:val="center"/>
          </w:tcPr>
          <w:p w14:paraId="0F2A060E" w14:textId="77777777" w:rsidR="00714687" w:rsidRPr="00104105" w:rsidRDefault="00714687" w:rsidP="00C22083">
            <w:pPr>
              <w:spacing w:after="0"/>
              <w:jc w:val="center"/>
              <w:outlineLvl w:val="9"/>
              <w:rPr>
                <w:rFonts w:eastAsia="Times New Roman"/>
                <w:b/>
                <w:color w:val="000000"/>
                <w:szCs w:val="22"/>
                <w:lang w:eastAsia="en-GB"/>
              </w:rPr>
            </w:pPr>
            <w:r w:rsidRPr="00104105">
              <w:rPr>
                <w:rFonts w:eastAsia="Times New Roman"/>
                <w:b/>
                <w:color w:val="000000"/>
                <w:szCs w:val="22"/>
                <w:lang w:eastAsia="en-GB"/>
              </w:rPr>
              <w:t>Reduce dose by half</w:t>
            </w:r>
            <w:r>
              <w:rPr>
                <w:rFonts w:eastAsia="Times New Roman"/>
                <w:b/>
                <w:color w:val="000000"/>
                <w:szCs w:val="22"/>
                <w:lang w:eastAsia="en-GB"/>
              </w:rPr>
              <w:t xml:space="preserve"> &amp; call doctor</w:t>
            </w:r>
          </w:p>
        </w:tc>
      </w:tr>
      <w:tr w:rsidR="00714687" w:rsidRPr="00AE6900" w14:paraId="08564B62" w14:textId="77777777" w:rsidTr="00C22083">
        <w:trPr>
          <w:trHeight w:val="315"/>
        </w:trPr>
        <w:tc>
          <w:tcPr>
            <w:tcW w:w="1182" w:type="pct"/>
            <w:tcBorders>
              <w:top w:val="single" w:sz="8" w:space="0" w:color="auto"/>
              <w:left w:val="single" w:sz="8" w:space="0" w:color="auto"/>
              <w:bottom w:val="nil"/>
              <w:right w:val="nil"/>
            </w:tcBorders>
            <w:shd w:val="clear" w:color="000000" w:fill="FFFFFF"/>
            <w:vAlign w:val="center"/>
          </w:tcPr>
          <w:p w14:paraId="0BB586CA" w14:textId="77777777" w:rsidR="00714687" w:rsidRPr="00F53B82" w:rsidRDefault="00714687" w:rsidP="00C22083">
            <w:pPr>
              <w:spacing w:after="0"/>
              <w:jc w:val="center"/>
              <w:outlineLvl w:val="9"/>
              <w:rPr>
                <w:rFonts w:eastAsia="Times New Roman"/>
                <w:color w:val="000000"/>
                <w:szCs w:val="22"/>
                <w:lang w:val="en-GB" w:eastAsia="en-GB"/>
              </w:rPr>
            </w:pPr>
            <w:r>
              <w:rPr>
                <w:rFonts w:eastAsia="Times New Roman"/>
                <w:color w:val="000000"/>
                <w:szCs w:val="22"/>
                <w:lang w:val="en-GB" w:eastAsia="en-GB"/>
              </w:rPr>
              <w:t>4 – 10</w:t>
            </w:r>
          </w:p>
        </w:tc>
        <w:tc>
          <w:tcPr>
            <w:tcW w:w="3818" w:type="pct"/>
            <w:gridSpan w:val="3"/>
            <w:tcBorders>
              <w:top w:val="single" w:sz="8" w:space="0" w:color="auto"/>
              <w:left w:val="single" w:sz="8" w:space="0" w:color="auto"/>
              <w:bottom w:val="nil"/>
              <w:right w:val="single" w:sz="4" w:space="0" w:color="auto"/>
            </w:tcBorders>
            <w:shd w:val="clear" w:color="000000" w:fill="FFFFFF"/>
            <w:vAlign w:val="center"/>
          </w:tcPr>
          <w:p w14:paraId="4E009B65" w14:textId="77777777" w:rsidR="00714687" w:rsidRPr="00F53B82" w:rsidRDefault="00714687" w:rsidP="00C22083">
            <w:pPr>
              <w:spacing w:after="0"/>
              <w:jc w:val="center"/>
              <w:outlineLvl w:val="9"/>
              <w:rPr>
                <w:rFonts w:eastAsia="Times New Roman"/>
                <w:color w:val="000000"/>
                <w:szCs w:val="22"/>
                <w:lang w:eastAsia="en-GB"/>
              </w:rPr>
            </w:pPr>
            <w:r>
              <w:rPr>
                <w:rFonts w:eastAsia="Times New Roman"/>
                <w:color w:val="000000"/>
                <w:szCs w:val="22"/>
                <w:lang w:eastAsia="en-GB"/>
              </w:rPr>
              <w:t>0 unit</w:t>
            </w:r>
          </w:p>
        </w:tc>
      </w:tr>
      <w:tr w:rsidR="00714687" w:rsidRPr="00AE6900" w14:paraId="30A1A5FD" w14:textId="77777777" w:rsidTr="00C22083">
        <w:trPr>
          <w:trHeight w:val="315"/>
        </w:trPr>
        <w:tc>
          <w:tcPr>
            <w:tcW w:w="1182" w:type="pct"/>
            <w:tcBorders>
              <w:top w:val="single" w:sz="8" w:space="0" w:color="auto"/>
              <w:left w:val="single" w:sz="8" w:space="0" w:color="auto"/>
              <w:bottom w:val="nil"/>
              <w:right w:val="nil"/>
            </w:tcBorders>
            <w:shd w:val="clear" w:color="000000" w:fill="FFFFFF"/>
            <w:vAlign w:val="center"/>
            <w:hideMark/>
          </w:tcPr>
          <w:p w14:paraId="7196B256"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val="en-GB" w:eastAsia="en-GB"/>
              </w:rPr>
              <w:t>10</w:t>
            </w:r>
            <w:r>
              <w:rPr>
                <w:rFonts w:eastAsia="Times New Roman"/>
                <w:color w:val="000000"/>
                <w:szCs w:val="22"/>
                <w:lang w:val="en-GB" w:eastAsia="en-GB"/>
              </w:rPr>
              <w:t>.1</w:t>
            </w:r>
            <w:r w:rsidRPr="00F53B82">
              <w:rPr>
                <w:rFonts w:eastAsia="Times New Roman"/>
                <w:color w:val="000000"/>
                <w:szCs w:val="22"/>
                <w:lang w:val="en-GB" w:eastAsia="en-GB"/>
              </w:rPr>
              <w:t xml:space="preserve"> - 11.0 </w:t>
            </w:r>
          </w:p>
        </w:tc>
        <w:tc>
          <w:tcPr>
            <w:tcW w:w="1273" w:type="pct"/>
            <w:tcBorders>
              <w:top w:val="single" w:sz="8" w:space="0" w:color="auto"/>
              <w:left w:val="single" w:sz="8" w:space="0" w:color="auto"/>
              <w:bottom w:val="nil"/>
              <w:right w:val="nil"/>
            </w:tcBorders>
            <w:shd w:val="clear" w:color="000000" w:fill="FFFFFF"/>
            <w:vAlign w:val="center"/>
            <w:hideMark/>
          </w:tcPr>
          <w:p w14:paraId="3D446EE0"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eastAsia="en-GB"/>
              </w:rPr>
              <w:t xml:space="preserve"> 1 unit</w:t>
            </w:r>
          </w:p>
        </w:tc>
        <w:tc>
          <w:tcPr>
            <w:tcW w:w="1273" w:type="pct"/>
            <w:tcBorders>
              <w:top w:val="single" w:sz="8" w:space="0" w:color="auto"/>
              <w:left w:val="single" w:sz="8" w:space="0" w:color="auto"/>
              <w:bottom w:val="nil"/>
              <w:right w:val="nil"/>
            </w:tcBorders>
            <w:shd w:val="clear" w:color="000000" w:fill="FFFFFF"/>
            <w:vAlign w:val="center"/>
            <w:hideMark/>
          </w:tcPr>
          <w:p w14:paraId="055E54EE"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eastAsia="en-GB"/>
              </w:rPr>
              <w:t>2 units</w:t>
            </w:r>
          </w:p>
        </w:tc>
        <w:tc>
          <w:tcPr>
            <w:tcW w:w="1272" w:type="pct"/>
            <w:tcBorders>
              <w:top w:val="single" w:sz="8" w:space="0" w:color="auto"/>
              <w:left w:val="single" w:sz="8" w:space="0" w:color="auto"/>
              <w:bottom w:val="nil"/>
              <w:right w:val="single" w:sz="4" w:space="0" w:color="auto"/>
            </w:tcBorders>
            <w:shd w:val="clear" w:color="000000" w:fill="FFFFFF"/>
            <w:vAlign w:val="center"/>
            <w:hideMark/>
          </w:tcPr>
          <w:p w14:paraId="0EECE1DD"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eastAsia="en-GB"/>
              </w:rPr>
              <w:t>4 units</w:t>
            </w:r>
          </w:p>
        </w:tc>
      </w:tr>
      <w:tr w:rsidR="00714687" w:rsidRPr="00AE6900" w14:paraId="3F235887" w14:textId="77777777" w:rsidTr="00C22083">
        <w:trPr>
          <w:trHeight w:val="315"/>
        </w:trPr>
        <w:tc>
          <w:tcPr>
            <w:tcW w:w="1182" w:type="pct"/>
            <w:tcBorders>
              <w:top w:val="single" w:sz="8" w:space="0" w:color="auto"/>
              <w:left w:val="single" w:sz="8" w:space="0" w:color="auto"/>
              <w:bottom w:val="nil"/>
              <w:right w:val="nil"/>
            </w:tcBorders>
            <w:shd w:val="clear" w:color="000000" w:fill="FFFFFF"/>
            <w:vAlign w:val="center"/>
            <w:hideMark/>
          </w:tcPr>
          <w:p w14:paraId="4469B86C"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val="en-GB" w:eastAsia="en-GB"/>
              </w:rPr>
              <w:t xml:space="preserve">11.1 - 12.5 </w:t>
            </w:r>
          </w:p>
        </w:tc>
        <w:tc>
          <w:tcPr>
            <w:tcW w:w="1273" w:type="pct"/>
            <w:tcBorders>
              <w:top w:val="single" w:sz="8" w:space="0" w:color="auto"/>
              <w:left w:val="single" w:sz="8" w:space="0" w:color="auto"/>
              <w:bottom w:val="nil"/>
              <w:right w:val="nil"/>
            </w:tcBorders>
            <w:shd w:val="clear" w:color="000000" w:fill="FFFFFF"/>
            <w:vAlign w:val="center"/>
            <w:hideMark/>
          </w:tcPr>
          <w:p w14:paraId="26D4D516"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eastAsia="en-GB"/>
              </w:rPr>
              <w:t>2 units</w:t>
            </w:r>
          </w:p>
        </w:tc>
        <w:tc>
          <w:tcPr>
            <w:tcW w:w="1273" w:type="pct"/>
            <w:tcBorders>
              <w:top w:val="single" w:sz="8" w:space="0" w:color="auto"/>
              <w:left w:val="single" w:sz="8" w:space="0" w:color="auto"/>
              <w:bottom w:val="nil"/>
              <w:right w:val="nil"/>
            </w:tcBorders>
            <w:shd w:val="clear" w:color="000000" w:fill="FFFFFF"/>
            <w:vAlign w:val="center"/>
            <w:hideMark/>
          </w:tcPr>
          <w:p w14:paraId="4DFF7C44"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eastAsia="en-GB"/>
              </w:rPr>
              <w:t>4 units</w:t>
            </w:r>
          </w:p>
        </w:tc>
        <w:tc>
          <w:tcPr>
            <w:tcW w:w="1272" w:type="pct"/>
            <w:tcBorders>
              <w:top w:val="single" w:sz="8" w:space="0" w:color="auto"/>
              <w:left w:val="single" w:sz="8" w:space="0" w:color="auto"/>
              <w:bottom w:val="nil"/>
              <w:right w:val="single" w:sz="4" w:space="0" w:color="auto"/>
            </w:tcBorders>
            <w:shd w:val="clear" w:color="000000" w:fill="FFFFFF"/>
            <w:vAlign w:val="center"/>
            <w:hideMark/>
          </w:tcPr>
          <w:p w14:paraId="5D4F1D49"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eastAsia="en-GB"/>
              </w:rPr>
              <w:t>6 units</w:t>
            </w:r>
          </w:p>
        </w:tc>
      </w:tr>
      <w:tr w:rsidR="00714687" w:rsidRPr="00AE6900" w14:paraId="4A5FB9B8" w14:textId="77777777" w:rsidTr="00C22083">
        <w:trPr>
          <w:trHeight w:val="315"/>
        </w:trPr>
        <w:tc>
          <w:tcPr>
            <w:tcW w:w="1182" w:type="pct"/>
            <w:tcBorders>
              <w:top w:val="single" w:sz="8" w:space="0" w:color="auto"/>
              <w:left w:val="single" w:sz="8" w:space="0" w:color="auto"/>
              <w:bottom w:val="nil"/>
              <w:right w:val="nil"/>
            </w:tcBorders>
            <w:shd w:val="clear" w:color="000000" w:fill="FFFFFF"/>
            <w:vAlign w:val="center"/>
            <w:hideMark/>
          </w:tcPr>
          <w:p w14:paraId="4A08192C"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val="en-GB" w:eastAsia="en-GB"/>
              </w:rPr>
              <w:t xml:space="preserve">12.6 - 14.0 </w:t>
            </w:r>
          </w:p>
        </w:tc>
        <w:tc>
          <w:tcPr>
            <w:tcW w:w="1273" w:type="pct"/>
            <w:tcBorders>
              <w:top w:val="single" w:sz="8" w:space="0" w:color="auto"/>
              <w:left w:val="single" w:sz="8" w:space="0" w:color="auto"/>
              <w:bottom w:val="nil"/>
              <w:right w:val="nil"/>
            </w:tcBorders>
            <w:shd w:val="clear" w:color="000000" w:fill="FFFFFF"/>
            <w:vAlign w:val="center"/>
            <w:hideMark/>
          </w:tcPr>
          <w:p w14:paraId="33BA7691"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eastAsia="en-GB"/>
              </w:rPr>
              <w:t>3 units</w:t>
            </w:r>
          </w:p>
        </w:tc>
        <w:tc>
          <w:tcPr>
            <w:tcW w:w="1273" w:type="pct"/>
            <w:tcBorders>
              <w:top w:val="single" w:sz="8" w:space="0" w:color="auto"/>
              <w:left w:val="single" w:sz="8" w:space="0" w:color="auto"/>
              <w:bottom w:val="nil"/>
              <w:right w:val="nil"/>
            </w:tcBorders>
            <w:shd w:val="clear" w:color="000000" w:fill="FFFFFF"/>
            <w:vAlign w:val="center"/>
            <w:hideMark/>
          </w:tcPr>
          <w:p w14:paraId="13635A64"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eastAsia="en-GB"/>
              </w:rPr>
              <w:t>6 units</w:t>
            </w:r>
          </w:p>
        </w:tc>
        <w:tc>
          <w:tcPr>
            <w:tcW w:w="1272" w:type="pct"/>
            <w:tcBorders>
              <w:top w:val="single" w:sz="8" w:space="0" w:color="auto"/>
              <w:left w:val="single" w:sz="8" w:space="0" w:color="auto"/>
              <w:bottom w:val="nil"/>
              <w:right w:val="single" w:sz="4" w:space="0" w:color="auto"/>
            </w:tcBorders>
            <w:shd w:val="clear" w:color="000000" w:fill="FFFFFF"/>
            <w:vAlign w:val="center"/>
            <w:hideMark/>
          </w:tcPr>
          <w:p w14:paraId="658F6D44"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eastAsia="en-GB"/>
              </w:rPr>
              <w:t>8 units</w:t>
            </w:r>
          </w:p>
        </w:tc>
      </w:tr>
      <w:tr w:rsidR="00714687" w:rsidRPr="00AE6900" w14:paraId="1DB7CCFF" w14:textId="77777777" w:rsidTr="00C22083">
        <w:trPr>
          <w:trHeight w:val="315"/>
        </w:trPr>
        <w:tc>
          <w:tcPr>
            <w:tcW w:w="1182" w:type="pct"/>
            <w:tcBorders>
              <w:top w:val="single" w:sz="8" w:space="0" w:color="auto"/>
              <w:left w:val="single" w:sz="8" w:space="0" w:color="auto"/>
              <w:bottom w:val="nil"/>
              <w:right w:val="nil"/>
            </w:tcBorders>
            <w:shd w:val="clear" w:color="000000" w:fill="FFFFFF"/>
            <w:vAlign w:val="center"/>
            <w:hideMark/>
          </w:tcPr>
          <w:p w14:paraId="5564B6E3"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val="en-GB" w:eastAsia="en-GB"/>
              </w:rPr>
              <w:t xml:space="preserve">14.1 - 16.5 </w:t>
            </w:r>
          </w:p>
        </w:tc>
        <w:tc>
          <w:tcPr>
            <w:tcW w:w="1273" w:type="pct"/>
            <w:tcBorders>
              <w:top w:val="single" w:sz="8" w:space="0" w:color="auto"/>
              <w:left w:val="single" w:sz="8" w:space="0" w:color="auto"/>
              <w:bottom w:val="nil"/>
              <w:right w:val="nil"/>
            </w:tcBorders>
            <w:shd w:val="clear" w:color="000000" w:fill="FFFFFF"/>
            <w:vAlign w:val="center"/>
            <w:hideMark/>
          </w:tcPr>
          <w:p w14:paraId="13C903A6"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eastAsia="en-GB"/>
              </w:rPr>
              <w:t>4 units</w:t>
            </w:r>
          </w:p>
        </w:tc>
        <w:tc>
          <w:tcPr>
            <w:tcW w:w="1273" w:type="pct"/>
            <w:tcBorders>
              <w:top w:val="single" w:sz="8" w:space="0" w:color="auto"/>
              <w:left w:val="single" w:sz="8" w:space="0" w:color="auto"/>
              <w:bottom w:val="nil"/>
              <w:right w:val="nil"/>
            </w:tcBorders>
            <w:shd w:val="clear" w:color="000000" w:fill="FFFFFF"/>
            <w:vAlign w:val="center"/>
            <w:hideMark/>
          </w:tcPr>
          <w:p w14:paraId="219DC156"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eastAsia="en-GB"/>
              </w:rPr>
              <w:t>8 units</w:t>
            </w:r>
          </w:p>
        </w:tc>
        <w:tc>
          <w:tcPr>
            <w:tcW w:w="1272" w:type="pct"/>
            <w:tcBorders>
              <w:top w:val="single" w:sz="8" w:space="0" w:color="auto"/>
              <w:left w:val="single" w:sz="8" w:space="0" w:color="auto"/>
              <w:bottom w:val="nil"/>
              <w:right w:val="single" w:sz="4" w:space="0" w:color="auto"/>
            </w:tcBorders>
            <w:shd w:val="clear" w:color="000000" w:fill="FFFFFF"/>
            <w:vAlign w:val="center"/>
            <w:hideMark/>
          </w:tcPr>
          <w:p w14:paraId="3C0EC567"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eastAsia="en-GB"/>
              </w:rPr>
              <w:t>10 units</w:t>
            </w:r>
          </w:p>
        </w:tc>
      </w:tr>
      <w:tr w:rsidR="00714687" w:rsidRPr="00AE6900" w14:paraId="710139AA" w14:textId="77777777" w:rsidTr="00C22083">
        <w:trPr>
          <w:trHeight w:val="315"/>
        </w:trPr>
        <w:tc>
          <w:tcPr>
            <w:tcW w:w="1182" w:type="pct"/>
            <w:tcBorders>
              <w:top w:val="single" w:sz="8" w:space="0" w:color="auto"/>
              <w:left w:val="single" w:sz="8" w:space="0" w:color="auto"/>
              <w:bottom w:val="nil"/>
              <w:right w:val="nil"/>
            </w:tcBorders>
            <w:shd w:val="clear" w:color="000000" w:fill="FFFFFF"/>
            <w:vAlign w:val="center"/>
            <w:hideMark/>
          </w:tcPr>
          <w:p w14:paraId="2F401E8A" w14:textId="77777777" w:rsidR="00714687" w:rsidRPr="00F53B82" w:rsidRDefault="00714687" w:rsidP="00C22083">
            <w:pPr>
              <w:spacing w:after="0"/>
              <w:jc w:val="center"/>
              <w:outlineLvl w:val="9"/>
              <w:rPr>
                <w:rFonts w:eastAsia="Times New Roman"/>
                <w:color w:val="000000"/>
                <w:szCs w:val="22"/>
                <w:lang w:val="en-GB" w:eastAsia="en-GB"/>
              </w:rPr>
            </w:pPr>
            <w:r>
              <w:rPr>
                <w:rFonts w:eastAsia="Times New Roman"/>
                <w:color w:val="000000"/>
                <w:szCs w:val="22"/>
                <w:lang w:val="en-GB" w:eastAsia="en-GB"/>
              </w:rPr>
              <w:t>16.6 - 19.9</w:t>
            </w:r>
            <w:r w:rsidRPr="00F53B82">
              <w:rPr>
                <w:rFonts w:eastAsia="Times New Roman"/>
                <w:color w:val="000000"/>
                <w:szCs w:val="22"/>
                <w:lang w:val="en-GB" w:eastAsia="en-GB"/>
              </w:rPr>
              <w:t xml:space="preserve"> </w:t>
            </w:r>
          </w:p>
        </w:tc>
        <w:tc>
          <w:tcPr>
            <w:tcW w:w="1273" w:type="pct"/>
            <w:tcBorders>
              <w:top w:val="single" w:sz="8" w:space="0" w:color="auto"/>
              <w:left w:val="single" w:sz="8" w:space="0" w:color="auto"/>
              <w:bottom w:val="nil"/>
              <w:right w:val="nil"/>
            </w:tcBorders>
            <w:shd w:val="clear" w:color="000000" w:fill="FFFFFF"/>
            <w:vAlign w:val="center"/>
            <w:hideMark/>
          </w:tcPr>
          <w:p w14:paraId="49E06E0C"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eastAsia="en-GB"/>
              </w:rPr>
              <w:t>5 units</w:t>
            </w:r>
          </w:p>
        </w:tc>
        <w:tc>
          <w:tcPr>
            <w:tcW w:w="1273" w:type="pct"/>
            <w:tcBorders>
              <w:top w:val="single" w:sz="8" w:space="0" w:color="auto"/>
              <w:left w:val="single" w:sz="8" w:space="0" w:color="auto"/>
              <w:bottom w:val="nil"/>
              <w:right w:val="nil"/>
            </w:tcBorders>
            <w:shd w:val="clear" w:color="000000" w:fill="FFFFFF"/>
            <w:vAlign w:val="center"/>
            <w:hideMark/>
          </w:tcPr>
          <w:p w14:paraId="41EA9B00"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eastAsia="en-GB"/>
              </w:rPr>
              <w:t xml:space="preserve"> 10 units</w:t>
            </w:r>
          </w:p>
        </w:tc>
        <w:tc>
          <w:tcPr>
            <w:tcW w:w="1272" w:type="pct"/>
            <w:tcBorders>
              <w:top w:val="single" w:sz="8" w:space="0" w:color="auto"/>
              <w:left w:val="single" w:sz="8" w:space="0" w:color="auto"/>
              <w:bottom w:val="nil"/>
              <w:right w:val="single" w:sz="4" w:space="0" w:color="auto"/>
            </w:tcBorders>
            <w:shd w:val="clear" w:color="000000" w:fill="FFFFFF"/>
            <w:vAlign w:val="center"/>
            <w:hideMark/>
          </w:tcPr>
          <w:p w14:paraId="60492444" w14:textId="77777777" w:rsidR="00714687" w:rsidRPr="00F53B82" w:rsidRDefault="00714687" w:rsidP="00C22083">
            <w:pPr>
              <w:spacing w:after="0"/>
              <w:jc w:val="center"/>
              <w:outlineLvl w:val="9"/>
              <w:rPr>
                <w:rFonts w:eastAsia="Times New Roman"/>
                <w:color w:val="000000"/>
                <w:szCs w:val="22"/>
                <w:lang w:val="en-GB" w:eastAsia="en-GB"/>
              </w:rPr>
            </w:pPr>
            <w:r w:rsidRPr="00F53B82">
              <w:rPr>
                <w:rFonts w:eastAsia="Times New Roman"/>
                <w:color w:val="000000"/>
                <w:szCs w:val="22"/>
                <w:lang w:eastAsia="en-GB"/>
              </w:rPr>
              <w:t>12 units</w:t>
            </w:r>
          </w:p>
        </w:tc>
      </w:tr>
      <w:tr w:rsidR="00714687" w:rsidRPr="00AE6900" w14:paraId="3BE7EBD2" w14:textId="77777777" w:rsidTr="00C22083">
        <w:trPr>
          <w:trHeight w:val="315"/>
        </w:trPr>
        <w:tc>
          <w:tcPr>
            <w:tcW w:w="1182" w:type="pct"/>
            <w:vMerge w:val="restart"/>
            <w:tcBorders>
              <w:top w:val="single" w:sz="8" w:space="0" w:color="auto"/>
              <w:left w:val="single" w:sz="8" w:space="0" w:color="auto"/>
              <w:right w:val="nil"/>
            </w:tcBorders>
            <w:shd w:val="clear" w:color="000000" w:fill="FFFFFF"/>
            <w:vAlign w:val="center"/>
            <w:hideMark/>
          </w:tcPr>
          <w:p w14:paraId="570E1D5A" w14:textId="77777777" w:rsidR="00714687" w:rsidRPr="00104105" w:rsidRDefault="00714687" w:rsidP="00C22083">
            <w:pPr>
              <w:spacing w:after="0"/>
              <w:jc w:val="center"/>
              <w:outlineLvl w:val="9"/>
              <w:rPr>
                <w:rFonts w:eastAsia="Times New Roman"/>
                <w:b/>
                <w:color w:val="000000"/>
                <w:szCs w:val="22"/>
                <w:lang w:val="en-GB" w:eastAsia="en-GB"/>
              </w:rPr>
            </w:pPr>
            <w:r w:rsidRPr="00104105">
              <w:rPr>
                <w:rFonts w:eastAsia="Times New Roman"/>
                <w:b/>
                <w:color w:val="000000"/>
                <w:szCs w:val="22"/>
                <w:lang w:val="en-GB" w:eastAsia="en-GB"/>
              </w:rPr>
              <w:t xml:space="preserve">20 and above  </w:t>
            </w:r>
          </w:p>
        </w:tc>
        <w:tc>
          <w:tcPr>
            <w:tcW w:w="1273" w:type="pct"/>
            <w:tcBorders>
              <w:top w:val="single" w:sz="8" w:space="0" w:color="auto"/>
              <w:left w:val="single" w:sz="8" w:space="0" w:color="auto"/>
              <w:bottom w:val="single" w:sz="8" w:space="0" w:color="auto"/>
              <w:right w:val="nil"/>
            </w:tcBorders>
            <w:shd w:val="clear" w:color="000000" w:fill="FFFFFF"/>
            <w:vAlign w:val="center"/>
            <w:hideMark/>
          </w:tcPr>
          <w:p w14:paraId="5388E36E" w14:textId="77777777" w:rsidR="00714687" w:rsidRPr="00104105" w:rsidRDefault="00714687" w:rsidP="00C22083">
            <w:pPr>
              <w:spacing w:after="0"/>
              <w:jc w:val="center"/>
              <w:outlineLvl w:val="9"/>
              <w:rPr>
                <w:rFonts w:eastAsia="Times New Roman"/>
                <w:b/>
                <w:color w:val="000000"/>
                <w:szCs w:val="22"/>
                <w:lang w:val="en-GB" w:eastAsia="en-GB"/>
              </w:rPr>
            </w:pPr>
            <w:r w:rsidRPr="00104105">
              <w:rPr>
                <w:rFonts w:eastAsia="Times New Roman"/>
                <w:b/>
                <w:color w:val="000000"/>
                <w:szCs w:val="22"/>
                <w:lang w:eastAsia="en-GB"/>
              </w:rPr>
              <w:t>6 units</w:t>
            </w:r>
          </w:p>
        </w:tc>
        <w:tc>
          <w:tcPr>
            <w:tcW w:w="1273" w:type="pct"/>
            <w:tcBorders>
              <w:top w:val="single" w:sz="8" w:space="0" w:color="auto"/>
              <w:left w:val="single" w:sz="8" w:space="0" w:color="auto"/>
              <w:bottom w:val="single" w:sz="8" w:space="0" w:color="auto"/>
              <w:right w:val="nil"/>
            </w:tcBorders>
            <w:shd w:val="clear" w:color="000000" w:fill="FFFFFF"/>
            <w:vAlign w:val="center"/>
            <w:hideMark/>
          </w:tcPr>
          <w:p w14:paraId="4589D5B7" w14:textId="77777777" w:rsidR="00714687" w:rsidRPr="00104105" w:rsidRDefault="00714687" w:rsidP="00C22083">
            <w:pPr>
              <w:spacing w:after="0"/>
              <w:jc w:val="center"/>
              <w:outlineLvl w:val="9"/>
              <w:rPr>
                <w:rFonts w:eastAsia="Times New Roman"/>
                <w:b/>
                <w:color w:val="000000"/>
                <w:szCs w:val="22"/>
                <w:lang w:val="en-GB" w:eastAsia="en-GB"/>
              </w:rPr>
            </w:pPr>
            <w:r w:rsidRPr="00104105">
              <w:rPr>
                <w:rFonts w:eastAsia="Times New Roman"/>
                <w:b/>
                <w:color w:val="000000"/>
                <w:szCs w:val="22"/>
                <w:lang w:eastAsia="en-GB"/>
              </w:rPr>
              <w:t xml:space="preserve"> 12 units</w:t>
            </w:r>
          </w:p>
        </w:tc>
        <w:tc>
          <w:tcPr>
            <w:tcW w:w="1272" w:type="pct"/>
            <w:tcBorders>
              <w:top w:val="single" w:sz="8" w:space="0" w:color="auto"/>
              <w:left w:val="single" w:sz="8" w:space="0" w:color="auto"/>
              <w:bottom w:val="single" w:sz="8" w:space="0" w:color="auto"/>
              <w:right w:val="single" w:sz="4" w:space="0" w:color="auto"/>
            </w:tcBorders>
            <w:shd w:val="clear" w:color="000000" w:fill="FFFFFF"/>
            <w:vAlign w:val="center"/>
            <w:hideMark/>
          </w:tcPr>
          <w:p w14:paraId="53D8B6C1" w14:textId="77777777" w:rsidR="00714687" w:rsidRPr="00104105" w:rsidRDefault="00714687" w:rsidP="00C22083">
            <w:pPr>
              <w:spacing w:after="0"/>
              <w:jc w:val="center"/>
              <w:outlineLvl w:val="9"/>
              <w:rPr>
                <w:rFonts w:eastAsia="Times New Roman"/>
                <w:b/>
                <w:color w:val="000000"/>
                <w:szCs w:val="22"/>
                <w:lang w:val="en-GB" w:eastAsia="en-GB"/>
              </w:rPr>
            </w:pPr>
            <w:r w:rsidRPr="00104105">
              <w:rPr>
                <w:rFonts w:eastAsia="Times New Roman"/>
                <w:b/>
                <w:color w:val="000000"/>
                <w:szCs w:val="22"/>
                <w:lang w:eastAsia="en-GB"/>
              </w:rPr>
              <w:t xml:space="preserve"> 14 units</w:t>
            </w:r>
          </w:p>
        </w:tc>
      </w:tr>
      <w:tr w:rsidR="00714687" w:rsidRPr="00AE6900" w14:paraId="583434A8" w14:textId="77777777" w:rsidTr="00C22083">
        <w:trPr>
          <w:trHeight w:val="315"/>
        </w:trPr>
        <w:tc>
          <w:tcPr>
            <w:tcW w:w="1182" w:type="pct"/>
            <w:vMerge/>
            <w:tcBorders>
              <w:left w:val="single" w:sz="8" w:space="0" w:color="auto"/>
              <w:bottom w:val="single" w:sz="8" w:space="0" w:color="auto"/>
              <w:right w:val="nil"/>
            </w:tcBorders>
            <w:shd w:val="clear" w:color="000000" w:fill="FFFFFF"/>
            <w:vAlign w:val="center"/>
          </w:tcPr>
          <w:p w14:paraId="4B4EABBC" w14:textId="77777777" w:rsidR="00714687" w:rsidRPr="00104105" w:rsidRDefault="00714687" w:rsidP="00C22083">
            <w:pPr>
              <w:spacing w:after="0"/>
              <w:jc w:val="center"/>
              <w:outlineLvl w:val="9"/>
              <w:rPr>
                <w:rFonts w:eastAsia="Times New Roman"/>
                <w:b/>
                <w:color w:val="000000"/>
                <w:szCs w:val="22"/>
                <w:lang w:val="en-GB" w:eastAsia="en-GB"/>
              </w:rPr>
            </w:pPr>
          </w:p>
        </w:tc>
        <w:tc>
          <w:tcPr>
            <w:tcW w:w="3818" w:type="pct"/>
            <w:gridSpan w:val="3"/>
            <w:tcBorders>
              <w:top w:val="single" w:sz="8" w:space="0" w:color="auto"/>
              <w:left w:val="single" w:sz="8" w:space="0" w:color="auto"/>
              <w:bottom w:val="single" w:sz="8" w:space="0" w:color="auto"/>
              <w:right w:val="single" w:sz="4" w:space="0" w:color="auto"/>
            </w:tcBorders>
            <w:shd w:val="clear" w:color="000000" w:fill="FFFFFF"/>
            <w:vAlign w:val="center"/>
          </w:tcPr>
          <w:p w14:paraId="241F19F9" w14:textId="77777777" w:rsidR="00714687" w:rsidRPr="00104105" w:rsidRDefault="00714687" w:rsidP="00C22083">
            <w:pPr>
              <w:spacing w:after="0"/>
              <w:jc w:val="center"/>
              <w:outlineLvl w:val="9"/>
              <w:rPr>
                <w:rFonts w:eastAsia="Times New Roman"/>
                <w:b/>
                <w:color w:val="000000"/>
                <w:szCs w:val="22"/>
                <w:lang w:eastAsia="en-GB"/>
              </w:rPr>
            </w:pPr>
            <w:r>
              <w:rPr>
                <w:rFonts w:eastAsia="Times New Roman"/>
                <w:b/>
                <w:color w:val="000000"/>
                <w:szCs w:val="22"/>
                <w:lang w:eastAsia="en-GB"/>
              </w:rPr>
              <w:t>Call doctor</w:t>
            </w:r>
            <w:r w:rsidRPr="00104105">
              <w:rPr>
                <w:rFonts w:eastAsia="Times New Roman"/>
                <w:b/>
                <w:color w:val="000000"/>
                <w:szCs w:val="22"/>
                <w:lang w:eastAsia="en-GB"/>
              </w:rPr>
              <w:t xml:space="preserve"> after giving insulin</w:t>
            </w:r>
          </w:p>
        </w:tc>
      </w:tr>
    </w:tbl>
    <w:p w14:paraId="522E3DAD" w14:textId="77777777" w:rsidR="00714687" w:rsidRDefault="00714687" w:rsidP="00714687"/>
    <w:p w14:paraId="05016337" w14:textId="74E877A0" w:rsidR="004F1547" w:rsidRDefault="004F1547" w:rsidP="00714687">
      <w:r w:rsidRPr="0085325C">
        <w:t>For</w:t>
      </w:r>
      <w:r>
        <w:t xml:space="preserve"> patients on </w:t>
      </w:r>
      <w:r w:rsidR="00714687">
        <w:t>nil per oral (</w:t>
      </w:r>
      <w:r>
        <w:t>NPO</w:t>
      </w:r>
      <w:r w:rsidR="00714687">
        <w:t>)</w:t>
      </w:r>
      <w:r>
        <w:t xml:space="preserve"> or receiving only clear fluids, give only half (50%) of the calculated TDD as </w:t>
      </w:r>
      <w:r w:rsidRPr="00B30C43">
        <w:rPr>
          <w:i/>
        </w:rPr>
        <w:t>basal</w:t>
      </w:r>
      <w:r>
        <w:t xml:space="preserve"> </w:t>
      </w:r>
      <w:r w:rsidR="004767C1">
        <w:t>isophane</w:t>
      </w:r>
      <w:r>
        <w:t xml:space="preserve"> insulin either as a </w:t>
      </w:r>
      <w:proofErr w:type="gramStart"/>
      <w:r>
        <w:t>single subcutaneous doses</w:t>
      </w:r>
      <w:proofErr w:type="gramEnd"/>
      <w:r>
        <w:t xml:space="preserve"> or as two divided doses every 12 hours. </w:t>
      </w:r>
      <w:r w:rsidR="00714687">
        <w:t>These patients</w:t>
      </w:r>
      <w:r>
        <w:t xml:space="preserve"> should also receive 5% dextrose infusion at 500</w:t>
      </w:r>
      <w:r w:rsidR="00714687">
        <w:t xml:space="preserve"> </w:t>
      </w:r>
      <w:proofErr w:type="spellStart"/>
      <w:r>
        <w:t>mls</w:t>
      </w:r>
      <w:proofErr w:type="spellEnd"/>
      <w:r>
        <w:t xml:space="preserve"> 4 – 6 </w:t>
      </w:r>
      <w:proofErr w:type="gramStart"/>
      <w:r>
        <w:t>hourly</w:t>
      </w:r>
      <w:proofErr w:type="gramEnd"/>
      <w:r>
        <w:t xml:space="preserve">. </w:t>
      </w:r>
    </w:p>
    <w:p w14:paraId="2147FB0A" w14:textId="77777777" w:rsidR="004F1547" w:rsidRDefault="004F1547" w:rsidP="00714687">
      <w:r>
        <w:t>Check blood glucose 6 hourly.</w:t>
      </w:r>
      <w:r w:rsidRPr="00104105">
        <w:t xml:space="preserve"> </w:t>
      </w:r>
      <w:r>
        <w:t xml:space="preserve">Give </w:t>
      </w:r>
      <w:r w:rsidRPr="00B30C43">
        <w:rPr>
          <w:i/>
        </w:rPr>
        <w:t>correctional</w:t>
      </w:r>
      <w:r>
        <w:t xml:space="preserve"> dose of insulin if needed</w:t>
      </w:r>
    </w:p>
    <w:p w14:paraId="6176821A" w14:textId="77777777" w:rsidR="004F1547" w:rsidRDefault="004F1547" w:rsidP="00714687">
      <w:r>
        <w:t>Reassess and modify insulin therapy daily based on trends of blood glucose.</w:t>
      </w:r>
    </w:p>
    <w:p w14:paraId="560F8071" w14:textId="34F51DFD" w:rsidR="00714687" w:rsidRPr="003C0800" w:rsidRDefault="00714687" w:rsidP="00714687">
      <w:pPr>
        <w:pStyle w:val="Heading2"/>
        <w:rPr>
          <w:rFonts w:cs="Arial"/>
          <w:szCs w:val="22"/>
        </w:rPr>
      </w:pPr>
      <w:r w:rsidRPr="003C0800">
        <w:rPr>
          <w:rFonts w:cs="Arial"/>
          <w:szCs w:val="22"/>
        </w:rPr>
        <w:t>Key Issues for Nursing care</w:t>
      </w:r>
    </w:p>
    <w:p w14:paraId="2BBF54BB" w14:textId="074E0173" w:rsidR="00714687" w:rsidRDefault="00714687" w:rsidP="00714687">
      <w:pPr>
        <w:pStyle w:val="Heading2"/>
        <w:rPr>
          <w:rFonts w:cs="Arial"/>
          <w:b w:val="0"/>
          <w:sz w:val="22"/>
          <w:szCs w:val="22"/>
        </w:rPr>
      </w:pPr>
      <w:r>
        <w:rPr>
          <w:rFonts w:cs="Arial"/>
          <w:b w:val="0"/>
          <w:sz w:val="22"/>
          <w:szCs w:val="22"/>
        </w:rPr>
        <w:t>B</w:t>
      </w:r>
      <w:r w:rsidRPr="003F01F7">
        <w:rPr>
          <w:rFonts w:cs="Arial"/>
          <w:b w:val="0"/>
          <w:sz w:val="22"/>
          <w:szCs w:val="22"/>
        </w:rPr>
        <w:t>efore administering insulin</w:t>
      </w:r>
      <w:r>
        <w:rPr>
          <w:rFonts w:cs="Arial"/>
          <w:b w:val="0"/>
          <w:sz w:val="22"/>
          <w:szCs w:val="22"/>
        </w:rPr>
        <w:t>:</w:t>
      </w:r>
    </w:p>
    <w:p w14:paraId="66225011" w14:textId="77777777" w:rsidR="00714687" w:rsidRDefault="00714687" w:rsidP="00714687">
      <w:pPr>
        <w:pStyle w:val="Heading2"/>
        <w:numPr>
          <w:ilvl w:val="0"/>
          <w:numId w:val="43"/>
        </w:numPr>
        <w:spacing w:before="0" w:after="0"/>
        <w:rPr>
          <w:rFonts w:cs="Arial"/>
          <w:b w:val="0"/>
          <w:sz w:val="22"/>
          <w:szCs w:val="22"/>
        </w:rPr>
      </w:pPr>
      <w:r>
        <w:rPr>
          <w:rFonts w:cs="Arial"/>
          <w:b w:val="0"/>
          <w:sz w:val="22"/>
          <w:szCs w:val="22"/>
        </w:rPr>
        <w:t>Always check blood glucose</w:t>
      </w:r>
    </w:p>
    <w:p w14:paraId="4D66769D" w14:textId="77777777" w:rsidR="00714687" w:rsidRPr="00E146ED" w:rsidRDefault="00714687" w:rsidP="00714687">
      <w:pPr>
        <w:pStyle w:val="ListParagraph"/>
        <w:numPr>
          <w:ilvl w:val="0"/>
          <w:numId w:val="43"/>
        </w:numPr>
        <w:spacing w:after="0"/>
      </w:pPr>
      <w:r>
        <w:t>Confirm type of insulin to be given and route</w:t>
      </w:r>
    </w:p>
    <w:p w14:paraId="6EE14816" w14:textId="1542188F" w:rsidR="00714687" w:rsidRDefault="00714687" w:rsidP="00714687">
      <w:pPr>
        <w:pStyle w:val="Heading2"/>
        <w:numPr>
          <w:ilvl w:val="0"/>
          <w:numId w:val="43"/>
        </w:numPr>
        <w:spacing w:before="0" w:after="0"/>
        <w:rPr>
          <w:rFonts w:cs="Arial"/>
          <w:b w:val="0"/>
          <w:sz w:val="22"/>
          <w:szCs w:val="22"/>
        </w:rPr>
      </w:pPr>
      <w:r w:rsidRPr="00E146ED">
        <w:rPr>
          <w:rFonts w:cs="Arial"/>
          <w:b w:val="0"/>
          <w:sz w:val="22"/>
          <w:szCs w:val="22"/>
        </w:rPr>
        <w:t>Confirm insulin concentration</w:t>
      </w:r>
      <w:r>
        <w:rPr>
          <w:rFonts w:cs="Arial"/>
          <w:b w:val="0"/>
          <w:sz w:val="22"/>
          <w:szCs w:val="22"/>
        </w:rPr>
        <w:t xml:space="preserve"> (should be 100</w:t>
      </w:r>
      <w:r w:rsidR="004767C1">
        <w:rPr>
          <w:rFonts w:cs="Arial"/>
          <w:b w:val="0"/>
          <w:sz w:val="22"/>
          <w:szCs w:val="22"/>
        </w:rPr>
        <w:t xml:space="preserve"> </w:t>
      </w:r>
      <w:r>
        <w:rPr>
          <w:rFonts w:cs="Arial"/>
          <w:b w:val="0"/>
          <w:sz w:val="22"/>
          <w:szCs w:val="22"/>
        </w:rPr>
        <w:t>U/ml)</w:t>
      </w:r>
    </w:p>
    <w:p w14:paraId="53977924" w14:textId="23B4DAED" w:rsidR="00714687" w:rsidRDefault="00714687" w:rsidP="00714687">
      <w:pPr>
        <w:pStyle w:val="Heading2"/>
        <w:numPr>
          <w:ilvl w:val="0"/>
          <w:numId w:val="43"/>
        </w:numPr>
        <w:spacing w:before="0" w:after="0"/>
        <w:rPr>
          <w:rFonts w:cs="Arial"/>
          <w:b w:val="0"/>
          <w:sz w:val="22"/>
          <w:szCs w:val="22"/>
        </w:rPr>
      </w:pPr>
      <w:r>
        <w:rPr>
          <w:rFonts w:cs="Arial"/>
          <w:b w:val="0"/>
          <w:sz w:val="22"/>
          <w:szCs w:val="22"/>
        </w:rPr>
        <w:t xml:space="preserve">Confirm insulin </w:t>
      </w:r>
      <w:r w:rsidRPr="00E146ED">
        <w:rPr>
          <w:rFonts w:cs="Arial"/>
          <w:b w:val="0"/>
          <w:sz w:val="22"/>
          <w:szCs w:val="22"/>
        </w:rPr>
        <w:t>syringe units</w:t>
      </w:r>
      <w:r>
        <w:rPr>
          <w:rFonts w:cs="Arial"/>
          <w:b w:val="0"/>
          <w:sz w:val="22"/>
          <w:szCs w:val="22"/>
        </w:rPr>
        <w:t xml:space="preserve"> (should be 100</w:t>
      </w:r>
      <w:r w:rsidR="004767C1">
        <w:rPr>
          <w:rFonts w:cs="Arial"/>
          <w:b w:val="0"/>
          <w:sz w:val="22"/>
          <w:szCs w:val="22"/>
        </w:rPr>
        <w:t xml:space="preserve"> </w:t>
      </w:r>
      <w:r>
        <w:rPr>
          <w:rFonts w:cs="Arial"/>
          <w:b w:val="0"/>
          <w:sz w:val="22"/>
          <w:szCs w:val="22"/>
        </w:rPr>
        <w:t>U/ml)</w:t>
      </w:r>
    </w:p>
    <w:p w14:paraId="750F2B5F" w14:textId="77777777" w:rsidR="00714687" w:rsidRDefault="00714687" w:rsidP="00714687">
      <w:pPr>
        <w:pStyle w:val="Heading2"/>
        <w:numPr>
          <w:ilvl w:val="0"/>
          <w:numId w:val="43"/>
        </w:numPr>
        <w:spacing w:before="0" w:after="0"/>
        <w:rPr>
          <w:rFonts w:cs="Arial"/>
          <w:b w:val="0"/>
          <w:sz w:val="22"/>
          <w:szCs w:val="22"/>
        </w:rPr>
      </w:pPr>
      <w:r>
        <w:rPr>
          <w:rFonts w:cs="Arial"/>
          <w:b w:val="0"/>
          <w:sz w:val="22"/>
          <w:szCs w:val="22"/>
        </w:rPr>
        <w:t xml:space="preserve">Confirm </w:t>
      </w:r>
      <w:r w:rsidRPr="00E146ED">
        <w:rPr>
          <w:rFonts w:cs="Arial"/>
          <w:b w:val="0"/>
          <w:sz w:val="22"/>
          <w:szCs w:val="22"/>
        </w:rPr>
        <w:t>dosage before administration</w:t>
      </w:r>
    </w:p>
    <w:p w14:paraId="61FFDEC9" w14:textId="1A90B979" w:rsidR="00714687" w:rsidRDefault="00714687" w:rsidP="00714687">
      <w:pPr>
        <w:pStyle w:val="Heading2"/>
        <w:spacing w:after="120"/>
        <w:rPr>
          <w:rFonts w:cs="Arial"/>
          <w:b w:val="0"/>
          <w:sz w:val="22"/>
          <w:szCs w:val="22"/>
        </w:rPr>
      </w:pPr>
      <w:r>
        <w:rPr>
          <w:rFonts w:cs="Arial"/>
          <w:b w:val="0"/>
          <w:sz w:val="22"/>
          <w:szCs w:val="22"/>
        </w:rPr>
        <w:t>In addition, for pre-meal insulin:</w:t>
      </w:r>
    </w:p>
    <w:p w14:paraId="3012A7DA" w14:textId="77777777" w:rsidR="00714687" w:rsidRDefault="00714687" w:rsidP="00714687">
      <w:pPr>
        <w:pStyle w:val="Heading2"/>
        <w:numPr>
          <w:ilvl w:val="0"/>
          <w:numId w:val="44"/>
        </w:numPr>
        <w:spacing w:before="0" w:after="0"/>
        <w:rPr>
          <w:rFonts w:cs="Arial"/>
          <w:b w:val="0"/>
          <w:sz w:val="22"/>
          <w:szCs w:val="22"/>
        </w:rPr>
      </w:pPr>
      <w:r>
        <w:rPr>
          <w:rFonts w:cs="Arial"/>
          <w:b w:val="0"/>
          <w:sz w:val="22"/>
          <w:szCs w:val="22"/>
        </w:rPr>
        <w:t>Confirm availability of food</w:t>
      </w:r>
    </w:p>
    <w:p w14:paraId="56BE2013" w14:textId="77777777" w:rsidR="00714687" w:rsidRPr="00CC3CF5" w:rsidRDefault="00714687" w:rsidP="00714687">
      <w:pPr>
        <w:pStyle w:val="Heading2"/>
        <w:numPr>
          <w:ilvl w:val="0"/>
          <w:numId w:val="44"/>
        </w:numPr>
        <w:spacing w:before="0" w:after="100" w:afterAutospacing="1"/>
        <w:rPr>
          <w:rFonts w:cs="Arial"/>
          <w:b w:val="0"/>
          <w:sz w:val="22"/>
          <w:szCs w:val="22"/>
        </w:rPr>
      </w:pPr>
      <w:r>
        <w:rPr>
          <w:rFonts w:cs="Arial"/>
          <w:b w:val="0"/>
          <w:sz w:val="22"/>
          <w:szCs w:val="22"/>
        </w:rPr>
        <w:t>Confirm ability and willingness of patient to eat</w:t>
      </w:r>
      <w:r w:rsidRPr="00CC3CF5">
        <w:rPr>
          <w:rFonts w:cs="Arial"/>
          <w:b w:val="0"/>
          <w:sz w:val="22"/>
          <w:szCs w:val="22"/>
        </w:rPr>
        <w:t>.</w:t>
      </w:r>
    </w:p>
    <w:p w14:paraId="0D282253" w14:textId="56E1567D" w:rsidR="008F3EB7" w:rsidRPr="008F3EB7" w:rsidRDefault="00714687" w:rsidP="00714687">
      <w:r w:rsidRPr="005531AC">
        <w:rPr>
          <w:szCs w:val="22"/>
        </w:rPr>
        <w:t>Insulin protocols for e</w:t>
      </w:r>
      <w:r>
        <w:rPr>
          <w:szCs w:val="22"/>
        </w:rPr>
        <w:t>ach patient should be updated</w:t>
      </w:r>
      <w:r w:rsidRPr="005531AC">
        <w:rPr>
          <w:szCs w:val="22"/>
        </w:rPr>
        <w:t xml:space="preserve"> </w:t>
      </w:r>
      <w:r>
        <w:rPr>
          <w:szCs w:val="22"/>
        </w:rPr>
        <w:t xml:space="preserve">daily </w:t>
      </w:r>
      <w:r w:rsidRPr="005531AC">
        <w:rPr>
          <w:szCs w:val="22"/>
        </w:rPr>
        <w:t>and available at</w:t>
      </w:r>
      <w:r>
        <w:rPr>
          <w:szCs w:val="22"/>
        </w:rPr>
        <w:t xml:space="preserve"> the</w:t>
      </w:r>
      <w:r w:rsidRPr="005531AC">
        <w:rPr>
          <w:szCs w:val="22"/>
        </w:rPr>
        <w:t xml:space="preserve"> bedside</w:t>
      </w:r>
      <w:r>
        <w:rPr>
          <w:szCs w:val="22"/>
        </w:rPr>
        <w:t>.</w:t>
      </w:r>
    </w:p>
    <w:p w14:paraId="67DA5203" w14:textId="77777777" w:rsidR="00D52E10" w:rsidRDefault="00D52E10">
      <w:pPr>
        <w:spacing w:after="0"/>
        <w:outlineLvl w:val="9"/>
        <w:rPr>
          <w:b/>
          <w:sz w:val="24"/>
          <w:szCs w:val="22"/>
        </w:rPr>
      </w:pPr>
      <w:r>
        <w:rPr>
          <w:szCs w:val="22"/>
        </w:rPr>
        <w:br w:type="page"/>
      </w:r>
    </w:p>
    <w:p w14:paraId="2E333BEE" w14:textId="5A040901" w:rsidR="00714687" w:rsidRPr="00904F99" w:rsidRDefault="00714687" w:rsidP="00714687">
      <w:pPr>
        <w:pStyle w:val="Heading2"/>
        <w:spacing w:before="0" w:after="120"/>
        <w:rPr>
          <w:rFonts w:cs="Arial"/>
          <w:szCs w:val="22"/>
        </w:rPr>
      </w:pPr>
      <w:r w:rsidRPr="00904F99">
        <w:rPr>
          <w:rFonts w:cs="Arial"/>
          <w:szCs w:val="22"/>
        </w:rPr>
        <w:lastRenderedPageBreak/>
        <w:t>References:</w:t>
      </w:r>
    </w:p>
    <w:p w14:paraId="7E8EF146" w14:textId="77777777" w:rsidR="00714687" w:rsidRPr="00904F99" w:rsidRDefault="00714687" w:rsidP="00714687">
      <w:pPr>
        <w:pStyle w:val="Heading2"/>
        <w:spacing w:before="0" w:after="120"/>
        <w:rPr>
          <w:rFonts w:cs="Arial"/>
          <w:b w:val="0"/>
          <w:sz w:val="18"/>
          <w:szCs w:val="18"/>
        </w:rPr>
      </w:pPr>
      <w:r w:rsidRPr="00904F99">
        <w:rPr>
          <w:rFonts w:cs="Arial"/>
          <w:b w:val="0"/>
          <w:sz w:val="18"/>
          <w:szCs w:val="18"/>
        </w:rPr>
        <w:t xml:space="preserve">Maynard G, </w:t>
      </w:r>
      <w:proofErr w:type="spellStart"/>
      <w:r w:rsidRPr="00904F99">
        <w:rPr>
          <w:rFonts w:cs="Arial"/>
          <w:b w:val="0"/>
          <w:sz w:val="18"/>
          <w:szCs w:val="18"/>
        </w:rPr>
        <w:t>Wesorick</w:t>
      </w:r>
      <w:proofErr w:type="spellEnd"/>
      <w:r w:rsidRPr="00904F99">
        <w:rPr>
          <w:rFonts w:cs="Arial"/>
          <w:b w:val="0"/>
          <w:sz w:val="18"/>
          <w:szCs w:val="18"/>
        </w:rPr>
        <w:t xml:space="preserve"> DH, O'Malley C, </w:t>
      </w:r>
      <w:proofErr w:type="spellStart"/>
      <w:r w:rsidRPr="00904F99">
        <w:rPr>
          <w:rFonts w:cs="Arial"/>
          <w:b w:val="0"/>
          <w:sz w:val="18"/>
          <w:szCs w:val="18"/>
        </w:rPr>
        <w:t>Inzucchi</w:t>
      </w:r>
      <w:proofErr w:type="spellEnd"/>
      <w:r w:rsidRPr="00904F99">
        <w:rPr>
          <w:rFonts w:cs="Arial"/>
          <w:b w:val="0"/>
          <w:sz w:val="18"/>
          <w:szCs w:val="18"/>
        </w:rPr>
        <w:t xml:space="preserve"> SE on behalf of Society of Hospital Medicine Glycemic Control Task Force. Subcutaneous insulin order sets and protocols: effective design and implementation strategies. J Hosp Med. 2008 Sep;3(5 Suppl):29-41. </w:t>
      </w:r>
      <w:proofErr w:type="spellStart"/>
      <w:r w:rsidRPr="00904F99">
        <w:rPr>
          <w:rFonts w:cs="Arial"/>
          <w:b w:val="0"/>
          <w:sz w:val="18"/>
          <w:szCs w:val="18"/>
        </w:rPr>
        <w:t>doi</w:t>
      </w:r>
      <w:proofErr w:type="spellEnd"/>
      <w:r w:rsidRPr="00904F99">
        <w:rPr>
          <w:rFonts w:cs="Arial"/>
          <w:b w:val="0"/>
          <w:sz w:val="18"/>
          <w:szCs w:val="18"/>
        </w:rPr>
        <w:t>: 10.1002/jhm.354.</w:t>
      </w:r>
    </w:p>
    <w:p w14:paraId="4CCB0623" w14:textId="77777777" w:rsidR="00714687" w:rsidRPr="00904F99" w:rsidRDefault="00714687" w:rsidP="00714687">
      <w:pPr>
        <w:pStyle w:val="Heading2"/>
        <w:spacing w:before="0" w:after="120"/>
        <w:rPr>
          <w:rFonts w:cs="Arial"/>
          <w:b w:val="0"/>
          <w:sz w:val="18"/>
          <w:szCs w:val="18"/>
        </w:rPr>
      </w:pPr>
      <w:proofErr w:type="spellStart"/>
      <w:r w:rsidRPr="00904F99">
        <w:rPr>
          <w:rFonts w:cs="Arial"/>
          <w:b w:val="0"/>
          <w:sz w:val="18"/>
          <w:szCs w:val="18"/>
        </w:rPr>
        <w:t>Langan</w:t>
      </w:r>
      <w:proofErr w:type="spellEnd"/>
      <w:r w:rsidRPr="00904F99">
        <w:rPr>
          <w:rFonts w:cs="Arial"/>
          <w:b w:val="0"/>
          <w:sz w:val="18"/>
          <w:szCs w:val="18"/>
        </w:rPr>
        <w:t xml:space="preserve"> RC, </w:t>
      </w:r>
      <w:proofErr w:type="spellStart"/>
      <w:r w:rsidRPr="00904F99">
        <w:rPr>
          <w:rFonts w:cs="Arial"/>
          <w:b w:val="0"/>
          <w:sz w:val="18"/>
          <w:szCs w:val="18"/>
        </w:rPr>
        <w:t>Goodbred</w:t>
      </w:r>
      <w:proofErr w:type="spellEnd"/>
      <w:r w:rsidRPr="00904F99">
        <w:rPr>
          <w:rFonts w:cs="Arial"/>
          <w:b w:val="0"/>
          <w:sz w:val="18"/>
          <w:szCs w:val="18"/>
        </w:rPr>
        <w:t xml:space="preserve"> AJ. Vitamin B12 Deficiency: Recognition and Management. Am Fam Physician. 2017 Sep 15;96(6):384-389</w:t>
      </w:r>
    </w:p>
    <w:p w14:paraId="23B7425C" w14:textId="77777777" w:rsidR="00714687" w:rsidRDefault="00714687" w:rsidP="00714687">
      <w:pPr>
        <w:pStyle w:val="Heading2"/>
        <w:spacing w:before="0" w:after="120"/>
        <w:rPr>
          <w:rFonts w:cs="Arial"/>
          <w:b w:val="0"/>
          <w:sz w:val="18"/>
          <w:szCs w:val="18"/>
        </w:rPr>
      </w:pPr>
      <w:r w:rsidRPr="00FF779F">
        <w:rPr>
          <w:rFonts w:cs="Arial"/>
          <w:b w:val="0"/>
          <w:sz w:val="18"/>
          <w:szCs w:val="18"/>
        </w:rPr>
        <w:t>American Diabetes Association. Standards of Medical Care in Diabetes—2018</w:t>
      </w:r>
      <w:r>
        <w:rPr>
          <w:rFonts w:cs="Arial"/>
          <w:b w:val="0"/>
          <w:sz w:val="18"/>
          <w:szCs w:val="18"/>
        </w:rPr>
        <w:t xml:space="preserve">. </w:t>
      </w:r>
      <w:r w:rsidRPr="00904F99">
        <w:rPr>
          <w:rFonts w:cs="Arial"/>
          <w:b w:val="0"/>
          <w:sz w:val="18"/>
          <w:szCs w:val="18"/>
        </w:rPr>
        <w:t>Diabetes Care 2018;41(Suppl. 1)</w:t>
      </w:r>
    </w:p>
    <w:p w14:paraId="48798E80" w14:textId="77777777" w:rsidR="00714687" w:rsidRPr="00FF779F" w:rsidRDefault="00714687" w:rsidP="00714687">
      <w:pPr>
        <w:rPr>
          <w:sz w:val="18"/>
          <w:szCs w:val="18"/>
        </w:rPr>
      </w:pPr>
      <w:r w:rsidRPr="00FF779F">
        <w:rPr>
          <w:sz w:val="18"/>
          <w:szCs w:val="18"/>
        </w:rPr>
        <w:t>Type 2 diabetes mellitus in adults. BMJ Best Practice. November 2017. Accessed 26th June 2018</w:t>
      </w:r>
      <w:r>
        <w:rPr>
          <w:sz w:val="18"/>
          <w:szCs w:val="18"/>
        </w:rPr>
        <w:t>.</w:t>
      </w:r>
      <w:r w:rsidRPr="00FF779F">
        <w:rPr>
          <w:sz w:val="18"/>
          <w:szCs w:val="18"/>
        </w:rPr>
        <w:t xml:space="preserve"> Available at bestpractice.bmj.com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5D3A1E85" w14:textId="77777777" w:rsidTr="00515546">
        <w:trPr>
          <w:trHeight w:val="20"/>
        </w:trPr>
        <w:tc>
          <w:tcPr>
            <w:tcW w:w="2139" w:type="dxa"/>
            <w:shd w:val="clear" w:color="auto" w:fill="auto"/>
            <w:vAlign w:val="bottom"/>
          </w:tcPr>
          <w:p w14:paraId="38FE36C2"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0B878C58" w14:textId="4E390105" w:rsidR="004C4442" w:rsidRPr="00515546" w:rsidRDefault="004C4442" w:rsidP="00522C6C">
            <w:pPr>
              <w:spacing w:after="0"/>
              <w:rPr>
                <w:szCs w:val="22"/>
              </w:rPr>
            </w:pPr>
            <w:r w:rsidRPr="00515546">
              <w:rPr>
                <w:szCs w:val="22"/>
              </w:rPr>
              <w:t>Name</w:t>
            </w:r>
            <w:r w:rsidR="005638D0">
              <w:rPr>
                <w:szCs w:val="22"/>
              </w:rPr>
              <w:t xml:space="preserve">: </w:t>
            </w:r>
            <w:r w:rsidR="00714687">
              <w:t>Fatai Akemokwe</w:t>
            </w:r>
          </w:p>
        </w:tc>
        <w:tc>
          <w:tcPr>
            <w:tcW w:w="2869" w:type="dxa"/>
            <w:shd w:val="clear" w:color="auto" w:fill="auto"/>
            <w:vAlign w:val="bottom"/>
          </w:tcPr>
          <w:p w14:paraId="6A1FB39B" w14:textId="19C2AA66" w:rsidR="004C4442" w:rsidRPr="00515546" w:rsidRDefault="004C4442" w:rsidP="00522C6C">
            <w:pPr>
              <w:spacing w:after="0"/>
              <w:rPr>
                <w:szCs w:val="22"/>
              </w:rPr>
            </w:pPr>
            <w:r w:rsidRPr="00515546">
              <w:rPr>
                <w:szCs w:val="22"/>
              </w:rPr>
              <w:t xml:space="preserve">Date: </w:t>
            </w:r>
            <w:r w:rsidR="00714687">
              <w:rPr>
                <w:szCs w:val="22"/>
              </w:rPr>
              <w:t>30 June 2018</w:t>
            </w:r>
          </w:p>
        </w:tc>
      </w:tr>
      <w:tr w:rsidR="004C4442" w:rsidRPr="00515546" w14:paraId="4FB69E53" w14:textId="77777777" w:rsidTr="00515546">
        <w:trPr>
          <w:trHeight w:val="20"/>
        </w:trPr>
        <w:tc>
          <w:tcPr>
            <w:tcW w:w="2139" w:type="dxa"/>
            <w:shd w:val="clear" w:color="auto" w:fill="auto"/>
            <w:vAlign w:val="bottom"/>
          </w:tcPr>
          <w:p w14:paraId="19B1ACA9"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503988CA" w14:textId="32AA85CB" w:rsidR="004C4442" w:rsidRPr="00515546" w:rsidRDefault="004C4442" w:rsidP="00522C6C">
            <w:pPr>
              <w:spacing w:after="0"/>
              <w:rPr>
                <w:szCs w:val="22"/>
              </w:rPr>
            </w:pPr>
            <w:r w:rsidRPr="00515546">
              <w:rPr>
                <w:szCs w:val="22"/>
              </w:rPr>
              <w:t xml:space="preserve">Name: </w:t>
            </w:r>
            <w:r w:rsidR="00714687">
              <w:rPr>
                <w:szCs w:val="22"/>
              </w:rPr>
              <w:t>Karen Forrest</w:t>
            </w:r>
          </w:p>
        </w:tc>
        <w:tc>
          <w:tcPr>
            <w:tcW w:w="2869" w:type="dxa"/>
            <w:shd w:val="clear" w:color="auto" w:fill="auto"/>
            <w:vAlign w:val="bottom"/>
          </w:tcPr>
          <w:p w14:paraId="4A418C77" w14:textId="7D2BA60B" w:rsidR="004C4442" w:rsidRPr="00515546" w:rsidRDefault="004C4442" w:rsidP="00522C6C">
            <w:pPr>
              <w:spacing w:after="0"/>
              <w:rPr>
                <w:szCs w:val="22"/>
              </w:rPr>
            </w:pPr>
            <w:r w:rsidRPr="00515546">
              <w:rPr>
                <w:szCs w:val="22"/>
              </w:rPr>
              <w:t xml:space="preserve">Date: </w:t>
            </w:r>
            <w:r w:rsidR="00714687">
              <w:rPr>
                <w:szCs w:val="22"/>
              </w:rPr>
              <w:t>24 July 2018</w:t>
            </w:r>
          </w:p>
        </w:tc>
      </w:tr>
      <w:tr w:rsidR="004C4442" w:rsidRPr="00515546" w14:paraId="69084C3A" w14:textId="77777777" w:rsidTr="00515546">
        <w:trPr>
          <w:trHeight w:val="20"/>
        </w:trPr>
        <w:tc>
          <w:tcPr>
            <w:tcW w:w="2139" w:type="dxa"/>
            <w:shd w:val="clear" w:color="auto" w:fill="auto"/>
            <w:vAlign w:val="bottom"/>
          </w:tcPr>
          <w:p w14:paraId="2BE4C1FA"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01F255E9"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48D68710" w14:textId="77777777" w:rsidR="004C4442" w:rsidRPr="00515546" w:rsidRDefault="004C4442" w:rsidP="00522C6C">
            <w:pPr>
              <w:spacing w:after="0"/>
              <w:rPr>
                <w:b/>
                <w:szCs w:val="22"/>
              </w:rPr>
            </w:pPr>
            <w:r w:rsidRPr="00515546">
              <w:rPr>
                <w:b/>
                <w:szCs w:val="22"/>
              </w:rPr>
              <w:t>Review due date:</w:t>
            </w:r>
          </w:p>
        </w:tc>
      </w:tr>
      <w:tr w:rsidR="004C4442" w:rsidRPr="00515546" w14:paraId="063B2AFC" w14:textId="77777777" w:rsidTr="00515546">
        <w:trPr>
          <w:trHeight w:val="20"/>
        </w:trPr>
        <w:tc>
          <w:tcPr>
            <w:tcW w:w="2139" w:type="dxa"/>
            <w:shd w:val="clear" w:color="auto" w:fill="auto"/>
            <w:vAlign w:val="bottom"/>
          </w:tcPr>
          <w:p w14:paraId="7E612EA0"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71469CFE"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3D01B9A1" w14:textId="77777777" w:rsidR="004C4442" w:rsidRPr="00515546" w:rsidRDefault="004C4442" w:rsidP="00522C6C">
            <w:pPr>
              <w:spacing w:after="0"/>
              <w:rPr>
                <w:szCs w:val="22"/>
              </w:rPr>
            </w:pPr>
          </w:p>
        </w:tc>
      </w:tr>
      <w:tr w:rsidR="005046B3" w:rsidRPr="00515546" w14:paraId="0239BD7A" w14:textId="77777777" w:rsidTr="00515546">
        <w:trPr>
          <w:trHeight w:val="20"/>
        </w:trPr>
        <w:tc>
          <w:tcPr>
            <w:tcW w:w="2139" w:type="dxa"/>
            <w:shd w:val="clear" w:color="auto" w:fill="auto"/>
            <w:vAlign w:val="bottom"/>
          </w:tcPr>
          <w:p w14:paraId="357DEA36" w14:textId="2B06D2BD" w:rsidR="005046B3" w:rsidRPr="00515546" w:rsidRDefault="005046B3" w:rsidP="00522C6C">
            <w:pPr>
              <w:spacing w:after="0"/>
              <w:rPr>
                <w:szCs w:val="22"/>
              </w:rPr>
            </w:pPr>
            <w:r>
              <w:rPr>
                <w:szCs w:val="22"/>
              </w:rPr>
              <w:t>2.0</w:t>
            </w:r>
          </w:p>
        </w:tc>
        <w:tc>
          <w:tcPr>
            <w:tcW w:w="3622" w:type="dxa"/>
            <w:shd w:val="clear" w:color="auto" w:fill="auto"/>
            <w:vAlign w:val="bottom"/>
          </w:tcPr>
          <w:p w14:paraId="3A8EF195" w14:textId="70830A6D" w:rsidR="005046B3" w:rsidRPr="00515546" w:rsidRDefault="005046B3" w:rsidP="00522C6C">
            <w:pPr>
              <w:spacing w:after="0"/>
              <w:rPr>
                <w:szCs w:val="22"/>
              </w:rPr>
            </w:pPr>
            <w:r>
              <w:rPr>
                <w:szCs w:val="22"/>
              </w:rPr>
              <w:t>Expanded to include management in areas outside gate clinic</w:t>
            </w:r>
          </w:p>
        </w:tc>
        <w:tc>
          <w:tcPr>
            <w:tcW w:w="2869" w:type="dxa"/>
            <w:shd w:val="clear" w:color="auto" w:fill="auto"/>
            <w:vAlign w:val="bottom"/>
          </w:tcPr>
          <w:p w14:paraId="18D6C469" w14:textId="5C27CA9F" w:rsidR="005046B3" w:rsidRPr="00515546" w:rsidRDefault="005046B3" w:rsidP="00522C6C">
            <w:pPr>
              <w:spacing w:after="0"/>
              <w:rPr>
                <w:szCs w:val="22"/>
              </w:rPr>
            </w:pPr>
            <w:r>
              <w:rPr>
                <w:szCs w:val="22"/>
              </w:rPr>
              <w:t>31 July 20</w:t>
            </w:r>
            <w:r w:rsidR="00AE73BF">
              <w:rPr>
                <w:szCs w:val="22"/>
              </w:rPr>
              <w:t>20</w:t>
            </w:r>
          </w:p>
        </w:tc>
      </w:tr>
      <w:tr w:rsidR="00D52E10" w:rsidRPr="00515546" w14:paraId="4BAB6886" w14:textId="77777777" w:rsidTr="00515546">
        <w:trPr>
          <w:trHeight w:val="20"/>
        </w:trPr>
        <w:tc>
          <w:tcPr>
            <w:tcW w:w="2139" w:type="dxa"/>
            <w:shd w:val="clear" w:color="auto" w:fill="auto"/>
            <w:vAlign w:val="bottom"/>
          </w:tcPr>
          <w:p w14:paraId="494E9640" w14:textId="30A94339" w:rsidR="00D52E10" w:rsidRDefault="00DD1B1A" w:rsidP="00522C6C">
            <w:pPr>
              <w:spacing w:after="0"/>
              <w:rPr>
                <w:szCs w:val="22"/>
              </w:rPr>
            </w:pPr>
            <w:r>
              <w:rPr>
                <w:szCs w:val="22"/>
              </w:rPr>
              <w:t>2.1</w:t>
            </w:r>
          </w:p>
        </w:tc>
        <w:tc>
          <w:tcPr>
            <w:tcW w:w="3622" w:type="dxa"/>
            <w:shd w:val="clear" w:color="auto" w:fill="auto"/>
            <w:vAlign w:val="bottom"/>
          </w:tcPr>
          <w:p w14:paraId="66E6E725" w14:textId="4F8991E6" w:rsidR="00D52E10" w:rsidRDefault="00D52E10" w:rsidP="00522C6C">
            <w:pPr>
              <w:spacing w:after="0"/>
              <w:rPr>
                <w:szCs w:val="22"/>
              </w:rPr>
            </w:pPr>
            <w:r>
              <w:rPr>
                <w:szCs w:val="22"/>
              </w:rPr>
              <w:t xml:space="preserve">Executive summary added </w:t>
            </w:r>
          </w:p>
        </w:tc>
        <w:tc>
          <w:tcPr>
            <w:tcW w:w="2869" w:type="dxa"/>
            <w:shd w:val="clear" w:color="auto" w:fill="auto"/>
            <w:vAlign w:val="bottom"/>
          </w:tcPr>
          <w:p w14:paraId="433E64BC" w14:textId="7D952E8B" w:rsidR="00D52E10" w:rsidRDefault="00AE73BF" w:rsidP="00522C6C">
            <w:pPr>
              <w:spacing w:after="0"/>
              <w:rPr>
                <w:szCs w:val="22"/>
              </w:rPr>
            </w:pPr>
            <w:r>
              <w:rPr>
                <w:szCs w:val="22"/>
              </w:rPr>
              <w:t>31 July 2020</w:t>
            </w:r>
          </w:p>
        </w:tc>
      </w:tr>
      <w:tr w:rsidR="005638D0" w:rsidRPr="00515546" w14:paraId="7ABFF2DF" w14:textId="77777777" w:rsidTr="00515546">
        <w:trPr>
          <w:trHeight w:val="20"/>
        </w:trPr>
        <w:tc>
          <w:tcPr>
            <w:tcW w:w="2139" w:type="dxa"/>
            <w:shd w:val="clear" w:color="auto" w:fill="auto"/>
            <w:vAlign w:val="bottom"/>
          </w:tcPr>
          <w:p w14:paraId="26ECC2B1"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63F5BC2B" w14:textId="77777777" w:rsidR="005638D0" w:rsidRPr="00515546" w:rsidRDefault="005638D0" w:rsidP="005638D0">
            <w:pPr>
              <w:spacing w:after="0"/>
              <w:rPr>
                <w:szCs w:val="22"/>
              </w:rPr>
            </w:pPr>
            <w:bookmarkStart w:id="0" w:name="_GoBack"/>
            <w:bookmarkEnd w:id="0"/>
          </w:p>
        </w:tc>
        <w:tc>
          <w:tcPr>
            <w:tcW w:w="2869" w:type="dxa"/>
            <w:shd w:val="clear" w:color="auto" w:fill="auto"/>
            <w:vAlign w:val="bottom"/>
          </w:tcPr>
          <w:p w14:paraId="65409C7A" w14:textId="77777777" w:rsidR="005638D0" w:rsidRPr="00515546" w:rsidRDefault="005638D0" w:rsidP="005638D0">
            <w:pPr>
              <w:spacing w:after="0"/>
              <w:rPr>
                <w:b/>
                <w:szCs w:val="22"/>
              </w:rPr>
            </w:pPr>
          </w:p>
        </w:tc>
      </w:tr>
    </w:tbl>
    <w:p w14:paraId="30D54D33" w14:textId="77777777" w:rsidR="00975A60" w:rsidRPr="00CC3CF5" w:rsidRDefault="00975A60" w:rsidP="00975A60">
      <w:pPr>
        <w:rPr>
          <w:szCs w:val="22"/>
        </w:rPr>
      </w:pPr>
    </w:p>
    <w:sectPr w:rsidR="00975A60" w:rsidRPr="00CC3CF5" w:rsidSect="00D13825">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6BE3B" w14:textId="77777777" w:rsidR="008F3EB7" w:rsidRDefault="008F3EB7" w:rsidP="00975A60">
      <w:pPr>
        <w:spacing w:after="0"/>
      </w:pPr>
      <w:r>
        <w:separator/>
      </w:r>
    </w:p>
  </w:endnote>
  <w:endnote w:type="continuationSeparator" w:id="0">
    <w:p w14:paraId="3038CB23" w14:textId="77777777" w:rsidR="008F3EB7" w:rsidRDefault="008F3EB7"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EC902"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8247D1"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3BF81"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1ED32"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F5E7F" w14:textId="77777777" w:rsidR="008F3EB7" w:rsidRDefault="008F3EB7" w:rsidP="00975A60">
      <w:pPr>
        <w:spacing w:after="0"/>
      </w:pPr>
      <w:r>
        <w:separator/>
      </w:r>
    </w:p>
  </w:footnote>
  <w:footnote w:type="continuationSeparator" w:id="0">
    <w:p w14:paraId="645A57FB" w14:textId="77777777" w:rsidR="008F3EB7" w:rsidRDefault="008F3EB7"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E65F8" w14:textId="094ABDDA" w:rsidR="008F3EB7" w:rsidRPr="00F87812" w:rsidRDefault="00D13825" w:rsidP="00D13825">
    <w:pPr>
      <w:pStyle w:val="Header"/>
    </w:pPr>
    <w:r w:rsidRPr="00F87812">
      <w:t>Identification code: MeG-CLS-</w:t>
    </w:r>
    <w:r w:rsidR="008F3EB7">
      <w:t>004</w:t>
    </w:r>
  </w:p>
  <w:p w14:paraId="7961CCD8" w14:textId="472F83B5" w:rsidR="005D1877" w:rsidRPr="005046B3" w:rsidRDefault="00D13825" w:rsidP="00D13825">
    <w:pPr>
      <w:pStyle w:val="Header"/>
    </w:pPr>
    <w:r w:rsidRPr="005046B3">
      <w:t xml:space="preserve">Version: </w:t>
    </w:r>
    <w:r w:rsidR="00DD1B1A">
      <w:t>2.1</w:t>
    </w:r>
    <w:r w:rsidR="005046B3" w:rsidRPr="005046B3">
      <w:t xml:space="preserve"> </w:t>
    </w:r>
    <w:r w:rsidR="005046B3">
      <w:t xml:space="preserve">– </w:t>
    </w:r>
    <w:r w:rsidR="005046B3" w:rsidRPr="005046B3">
      <w:t>31 July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E6130"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7A9D0E31" wp14:editId="763673B2">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70034DF8"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49D313B6" w14:textId="77777777" w:rsidR="00D13825" w:rsidRPr="003C0800" w:rsidRDefault="00D13825" w:rsidP="00D13825">
    <w:pPr>
      <w:pStyle w:val="Header"/>
      <w:ind w:firstLine="2880"/>
      <w:rPr>
        <w:rFonts w:cs="Arial"/>
        <w:b/>
      </w:rPr>
    </w:pPr>
  </w:p>
  <w:p w14:paraId="25231698" w14:textId="77777777" w:rsidR="005046B3" w:rsidRPr="00F87812" w:rsidRDefault="005046B3" w:rsidP="005046B3">
    <w:pPr>
      <w:pStyle w:val="Header"/>
    </w:pPr>
    <w:r w:rsidRPr="00F87812">
      <w:t>Identification code: MeG-CLS-</w:t>
    </w:r>
    <w:r>
      <w:t>004</w:t>
    </w:r>
  </w:p>
  <w:p w14:paraId="4E2695FE" w14:textId="300C3668" w:rsidR="005046B3" w:rsidRPr="005046B3" w:rsidRDefault="005046B3" w:rsidP="005046B3">
    <w:pPr>
      <w:pStyle w:val="Header"/>
    </w:pPr>
    <w:r w:rsidRPr="005046B3">
      <w:t xml:space="preserve">Version: </w:t>
    </w:r>
    <w:r w:rsidR="00DD1B1A">
      <w:t>2.1</w:t>
    </w:r>
    <w:r w:rsidRPr="005046B3">
      <w:t xml:space="preserve"> </w:t>
    </w:r>
    <w:r>
      <w:t xml:space="preserve">– </w:t>
    </w:r>
    <w:r w:rsidRPr="005046B3">
      <w:t>31 July 2018</w:t>
    </w:r>
  </w:p>
  <w:p w14:paraId="22C98BCD"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2AF7E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9348A04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17454C"/>
    <w:multiLevelType w:val="hybridMultilevel"/>
    <w:tmpl w:val="66681D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A61F62"/>
    <w:multiLevelType w:val="hybridMultilevel"/>
    <w:tmpl w:val="775810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C7E7FE2"/>
    <w:multiLevelType w:val="hybridMultilevel"/>
    <w:tmpl w:val="BEE608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71E1B00"/>
    <w:multiLevelType w:val="hybridMultilevel"/>
    <w:tmpl w:val="1B0865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23209E"/>
    <w:multiLevelType w:val="hybridMultilevel"/>
    <w:tmpl w:val="0E0A0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E96B2C"/>
    <w:multiLevelType w:val="hybridMultilevel"/>
    <w:tmpl w:val="781AD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C1091C"/>
    <w:multiLevelType w:val="hybridMultilevel"/>
    <w:tmpl w:val="352675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2747D6"/>
    <w:multiLevelType w:val="hybridMultilevel"/>
    <w:tmpl w:val="2C8EB5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D24937"/>
    <w:multiLevelType w:val="hybridMultilevel"/>
    <w:tmpl w:val="0E96F7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997882"/>
    <w:multiLevelType w:val="hybridMultilevel"/>
    <w:tmpl w:val="B5F025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D264871"/>
    <w:multiLevelType w:val="hybridMultilevel"/>
    <w:tmpl w:val="A8C2B4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FD6517E"/>
    <w:multiLevelType w:val="hybridMultilevel"/>
    <w:tmpl w:val="1346D5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1D574CF"/>
    <w:multiLevelType w:val="hybridMultilevel"/>
    <w:tmpl w:val="EFCE6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2F26D2"/>
    <w:multiLevelType w:val="hybridMultilevel"/>
    <w:tmpl w:val="FA1A6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E201A9B"/>
    <w:multiLevelType w:val="hybridMultilevel"/>
    <w:tmpl w:val="A1582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85E52"/>
    <w:multiLevelType w:val="hybridMultilevel"/>
    <w:tmpl w:val="6CAE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9A51E0"/>
    <w:multiLevelType w:val="hybridMultilevel"/>
    <w:tmpl w:val="97A6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EF04A9"/>
    <w:multiLevelType w:val="hybridMultilevel"/>
    <w:tmpl w:val="E4367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EF1D18"/>
    <w:multiLevelType w:val="hybridMultilevel"/>
    <w:tmpl w:val="8C922C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A8A4AF3"/>
    <w:multiLevelType w:val="hybridMultilevel"/>
    <w:tmpl w:val="0002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14"/>
  </w:num>
  <w:num w:numId="4">
    <w:abstractNumId w:val="1"/>
  </w:num>
  <w:num w:numId="5">
    <w:abstractNumId w:val="0"/>
  </w:num>
  <w:num w:numId="6">
    <w:abstractNumId w:val="7"/>
  </w:num>
  <w:num w:numId="7">
    <w:abstractNumId w:val="21"/>
  </w:num>
  <w:num w:numId="8">
    <w:abstractNumId w:val="2"/>
  </w:num>
  <w:num w:numId="9">
    <w:abstractNumId w:val="44"/>
  </w:num>
  <w:num w:numId="10">
    <w:abstractNumId w:val="4"/>
  </w:num>
  <w:num w:numId="11">
    <w:abstractNumId w:val="15"/>
  </w:num>
  <w:num w:numId="12">
    <w:abstractNumId w:val="30"/>
  </w:num>
  <w:num w:numId="13">
    <w:abstractNumId w:val="36"/>
  </w:num>
  <w:num w:numId="14">
    <w:abstractNumId w:val="33"/>
  </w:num>
  <w:num w:numId="15">
    <w:abstractNumId w:val="43"/>
  </w:num>
  <w:num w:numId="16">
    <w:abstractNumId w:val="17"/>
  </w:num>
  <w:num w:numId="17">
    <w:abstractNumId w:val="11"/>
  </w:num>
  <w:num w:numId="18">
    <w:abstractNumId w:val="34"/>
  </w:num>
  <w:num w:numId="19">
    <w:abstractNumId w:val="18"/>
  </w:num>
  <w:num w:numId="20">
    <w:abstractNumId w:val="38"/>
  </w:num>
  <w:num w:numId="21">
    <w:abstractNumId w:val="20"/>
  </w:num>
  <w:num w:numId="22">
    <w:abstractNumId w:val="13"/>
  </w:num>
  <w:num w:numId="23">
    <w:abstractNumId w:val="29"/>
  </w:num>
  <w:num w:numId="24">
    <w:abstractNumId w:val="32"/>
  </w:num>
  <w:num w:numId="25">
    <w:abstractNumId w:val="42"/>
  </w:num>
  <w:num w:numId="26">
    <w:abstractNumId w:val="37"/>
  </w:num>
  <w:num w:numId="27">
    <w:abstractNumId w:val="22"/>
  </w:num>
  <w:num w:numId="28">
    <w:abstractNumId w:val="10"/>
  </w:num>
  <w:num w:numId="29">
    <w:abstractNumId w:val="28"/>
  </w:num>
  <w:num w:numId="30">
    <w:abstractNumId w:val="35"/>
  </w:num>
  <w:num w:numId="31">
    <w:abstractNumId w:val="39"/>
  </w:num>
  <w:num w:numId="32">
    <w:abstractNumId w:val="9"/>
  </w:num>
  <w:num w:numId="33">
    <w:abstractNumId w:val="25"/>
  </w:num>
  <w:num w:numId="34">
    <w:abstractNumId w:val="41"/>
  </w:num>
  <w:num w:numId="35">
    <w:abstractNumId w:val="5"/>
  </w:num>
  <w:num w:numId="36">
    <w:abstractNumId w:val="26"/>
  </w:num>
  <w:num w:numId="37">
    <w:abstractNumId w:val="8"/>
  </w:num>
  <w:num w:numId="38">
    <w:abstractNumId w:val="27"/>
  </w:num>
  <w:num w:numId="39">
    <w:abstractNumId w:val="6"/>
  </w:num>
  <w:num w:numId="40">
    <w:abstractNumId w:val="3"/>
  </w:num>
  <w:num w:numId="41">
    <w:abstractNumId w:val="12"/>
  </w:num>
  <w:num w:numId="42">
    <w:abstractNumId w:val="40"/>
  </w:num>
  <w:num w:numId="43">
    <w:abstractNumId w:val="24"/>
  </w:num>
  <w:num w:numId="44">
    <w:abstractNumId w:val="16"/>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EB7"/>
    <w:rsid w:val="000039D9"/>
    <w:rsid w:val="0007147C"/>
    <w:rsid w:val="00081642"/>
    <w:rsid w:val="000B1955"/>
    <w:rsid w:val="001126F0"/>
    <w:rsid w:val="00114AAF"/>
    <w:rsid w:val="001203AE"/>
    <w:rsid w:val="00175153"/>
    <w:rsid w:val="001C1450"/>
    <w:rsid w:val="00223920"/>
    <w:rsid w:val="00252A11"/>
    <w:rsid w:val="0028676D"/>
    <w:rsid w:val="0029357D"/>
    <w:rsid w:val="002A2856"/>
    <w:rsid w:val="002E4BAC"/>
    <w:rsid w:val="003020A2"/>
    <w:rsid w:val="003038D3"/>
    <w:rsid w:val="00306A94"/>
    <w:rsid w:val="003225CD"/>
    <w:rsid w:val="00397449"/>
    <w:rsid w:val="003C0800"/>
    <w:rsid w:val="003F70CA"/>
    <w:rsid w:val="004767C1"/>
    <w:rsid w:val="004A25F0"/>
    <w:rsid w:val="004A4C93"/>
    <w:rsid w:val="004B02D3"/>
    <w:rsid w:val="004C4442"/>
    <w:rsid w:val="004F1547"/>
    <w:rsid w:val="005046B3"/>
    <w:rsid w:val="005151D8"/>
    <w:rsid w:val="00515546"/>
    <w:rsid w:val="005638D0"/>
    <w:rsid w:val="005D1877"/>
    <w:rsid w:val="00633320"/>
    <w:rsid w:val="00666EE5"/>
    <w:rsid w:val="00680CB6"/>
    <w:rsid w:val="007067BE"/>
    <w:rsid w:val="00714687"/>
    <w:rsid w:val="00753C85"/>
    <w:rsid w:val="007658D8"/>
    <w:rsid w:val="00787141"/>
    <w:rsid w:val="007B26B1"/>
    <w:rsid w:val="00857027"/>
    <w:rsid w:val="008F3EB7"/>
    <w:rsid w:val="009165E9"/>
    <w:rsid w:val="009325A7"/>
    <w:rsid w:val="00975A60"/>
    <w:rsid w:val="009826D5"/>
    <w:rsid w:val="009956F9"/>
    <w:rsid w:val="009B44BE"/>
    <w:rsid w:val="009F5B1B"/>
    <w:rsid w:val="00A312D8"/>
    <w:rsid w:val="00A41080"/>
    <w:rsid w:val="00A83DCB"/>
    <w:rsid w:val="00AE73BF"/>
    <w:rsid w:val="00B31AC4"/>
    <w:rsid w:val="00B76A07"/>
    <w:rsid w:val="00B844E8"/>
    <w:rsid w:val="00BD08AB"/>
    <w:rsid w:val="00C67021"/>
    <w:rsid w:val="00CC3CF5"/>
    <w:rsid w:val="00CD4A1D"/>
    <w:rsid w:val="00D03AB2"/>
    <w:rsid w:val="00D13825"/>
    <w:rsid w:val="00D52E10"/>
    <w:rsid w:val="00DA20ED"/>
    <w:rsid w:val="00DC1CC5"/>
    <w:rsid w:val="00DC590C"/>
    <w:rsid w:val="00DD1B1A"/>
    <w:rsid w:val="00DE3D6D"/>
    <w:rsid w:val="00DF345F"/>
    <w:rsid w:val="00E162DA"/>
    <w:rsid w:val="00EE569A"/>
    <w:rsid w:val="00F03F25"/>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A70F84C"/>
  <w15:docId w15:val="{E507496D-DF5A-4816-BB0A-506AB07E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paragraph" w:customStyle="1" w:styleId="Default">
    <w:name w:val="Default"/>
    <w:rsid w:val="008F3EB7"/>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qrisk.org/2017/"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kidney.org/professionals/kdoqi/gfr_calculator"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46</TotalTime>
  <Pages>8</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25</cp:revision>
  <cp:lastPrinted>2019-04-05T09:35:00Z</cp:lastPrinted>
  <dcterms:created xsi:type="dcterms:W3CDTF">2018-07-24T15:11:00Z</dcterms:created>
  <dcterms:modified xsi:type="dcterms:W3CDTF">2019-04-05T09:35:00Z</dcterms:modified>
</cp:coreProperties>
</file>