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A08A6A" w14:textId="08BD9161" w:rsidR="001203AE" w:rsidRPr="000A3AA8" w:rsidRDefault="00AA46AD" w:rsidP="001203AE">
      <w:pPr>
        <w:pStyle w:val="Heading1"/>
        <w:rPr>
          <w:rFonts w:cs="Arial"/>
          <w:szCs w:val="22"/>
          <w:lang w:val="en-GB"/>
        </w:rPr>
      </w:pPr>
      <w:r w:rsidRPr="000A3AA8">
        <w:rPr>
          <w:rFonts w:cs="Arial"/>
          <w:szCs w:val="22"/>
          <w:lang w:val="en-GB"/>
        </w:rPr>
        <w:t>Gastroenteritis</w:t>
      </w:r>
    </w:p>
    <w:p w14:paraId="7EC3B870" w14:textId="77777777" w:rsidR="008A4EA9" w:rsidRPr="008A4EA9" w:rsidRDefault="008A4EA9" w:rsidP="00975A60">
      <w:pPr>
        <w:pStyle w:val="Heading2"/>
        <w:rPr>
          <w:rFonts w:cs="Arial"/>
          <w:i/>
          <w:szCs w:val="22"/>
          <w:lang w:val="en-GB"/>
        </w:rPr>
      </w:pPr>
      <w:r w:rsidRPr="008A4EA9">
        <w:rPr>
          <w:rFonts w:cs="Arial"/>
          <w:i/>
          <w:szCs w:val="22"/>
          <w:lang w:val="en-GB"/>
        </w:rPr>
        <w:t>Executive summary</w:t>
      </w:r>
    </w:p>
    <w:p w14:paraId="1BEABF2E" w14:textId="6666547A" w:rsidR="00975A60" w:rsidRPr="000A3AA8" w:rsidRDefault="00975A60" w:rsidP="00975A60">
      <w:pPr>
        <w:pStyle w:val="Heading2"/>
        <w:rPr>
          <w:rFonts w:cs="Arial"/>
          <w:szCs w:val="22"/>
          <w:lang w:val="en-GB"/>
        </w:rPr>
      </w:pPr>
      <w:r w:rsidRPr="000A3AA8">
        <w:rPr>
          <w:rFonts w:cs="Arial"/>
          <w:szCs w:val="22"/>
          <w:lang w:val="en-GB"/>
        </w:rPr>
        <w:t>Introduction</w:t>
      </w:r>
    </w:p>
    <w:p w14:paraId="2EAC2BC5" w14:textId="219E1FAF" w:rsidR="00AA46AD" w:rsidRPr="000A3AA8" w:rsidRDefault="00AA46AD" w:rsidP="00AA46AD">
      <w:pPr>
        <w:rPr>
          <w:b/>
          <w:bCs/>
          <w:lang w:val="en-GB"/>
        </w:rPr>
      </w:pPr>
      <w:r w:rsidRPr="000A3AA8">
        <w:rPr>
          <w:lang w:val="en-GB"/>
        </w:rPr>
        <w:t>Bacterial and viral gastroenteritis causes acute inflammation of the GI mucosa of the middle or</w:t>
      </w:r>
      <w:r w:rsidRPr="000A3AA8">
        <w:rPr>
          <w:b/>
          <w:bCs/>
          <w:lang w:val="en-GB"/>
        </w:rPr>
        <w:t xml:space="preserve"> </w:t>
      </w:r>
      <w:r w:rsidRPr="000A3AA8">
        <w:rPr>
          <w:lang w:val="en-GB"/>
        </w:rPr>
        <w:t>lower intestine. It has many causes, can range from mild to severe, and typically manifests with symptoms of vomiting, diarrhoea, and abdominal discomfort. It is primarily an acute, self­limited illness. Immunocompromised patients can develop unremitting or fatal symptoms from gastroenteritis.</w:t>
      </w:r>
    </w:p>
    <w:p w14:paraId="01274F6C" w14:textId="5950AB2E" w:rsidR="00AA46AD" w:rsidRPr="000A3AA8" w:rsidRDefault="00AA46AD" w:rsidP="00AA46AD">
      <w:pPr>
        <w:rPr>
          <w:lang w:val="en-GB"/>
        </w:rPr>
      </w:pPr>
      <w:r w:rsidRPr="000A3AA8">
        <w:rPr>
          <w:lang w:val="en-GB"/>
        </w:rPr>
        <w:t>Gastroenteritis is commonly due to infectious agents—viruses, bacteria, and parasites. There are four viral agents: rotavirus, norovirus, enteric adenovirus, and astrovirus. Rotavirus is the most common cause of severe diarrhoea in children. Exotoxins produced by some organisms induce hypersecretion or increased peristalsis resulting in diarrhoea or vomiting. Viruses destroy enterocytes of the upper jejuna.</w:t>
      </w:r>
    </w:p>
    <w:p w14:paraId="1E22A49E" w14:textId="3587A503" w:rsidR="00AA46AD" w:rsidRDefault="00AA46AD" w:rsidP="00AA46AD">
      <w:pPr>
        <w:rPr>
          <w:lang w:val="en-GB"/>
        </w:rPr>
      </w:pPr>
      <w:r w:rsidRPr="000A3AA8">
        <w:rPr>
          <w:lang w:val="en-GB"/>
        </w:rPr>
        <w:t xml:space="preserve">Bacteria such as E. coli and Salmonella penetrate and invade the gastric mucosa and </w:t>
      </w:r>
      <w:r w:rsidRPr="00C150E9">
        <w:rPr>
          <w:lang w:val="en-GB"/>
        </w:rPr>
        <w:t>lead to diarrhoea</w:t>
      </w:r>
      <w:r w:rsidR="00C150E9" w:rsidRPr="00C150E9">
        <w:rPr>
          <w:lang w:val="en-GB"/>
        </w:rPr>
        <w:t xml:space="preserve"> </w:t>
      </w:r>
      <w:r w:rsidRPr="00C150E9">
        <w:rPr>
          <w:lang w:val="en-GB"/>
        </w:rPr>
        <w:t>accompanied by fever and faecal leukocytes.</w:t>
      </w:r>
      <w:r w:rsidRPr="000A3AA8">
        <w:rPr>
          <w:lang w:val="en-GB"/>
        </w:rPr>
        <w:t xml:space="preserve"> </w:t>
      </w:r>
    </w:p>
    <w:p w14:paraId="276C2B9D" w14:textId="77777777" w:rsidR="00C7419A" w:rsidRPr="00471542" w:rsidRDefault="00C7419A" w:rsidP="00C7419A">
      <w:pPr>
        <w:pStyle w:val="Heading2"/>
      </w:pPr>
      <w:r w:rsidRPr="00471542">
        <w:t>Target User</w:t>
      </w:r>
    </w:p>
    <w:p w14:paraId="7BD1F72E" w14:textId="77777777" w:rsidR="00C7419A" w:rsidRPr="00471542" w:rsidRDefault="00C7419A" w:rsidP="00C7419A">
      <w:pPr>
        <w:pStyle w:val="ListParagraph"/>
        <w:numPr>
          <w:ilvl w:val="0"/>
          <w:numId w:val="42"/>
        </w:numPr>
      </w:pPr>
      <w:r w:rsidRPr="00471542">
        <w:t>Doctors</w:t>
      </w:r>
    </w:p>
    <w:p w14:paraId="4104950D" w14:textId="77777777" w:rsidR="00C7419A" w:rsidRPr="00471542" w:rsidRDefault="00C7419A" w:rsidP="00C7419A">
      <w:pPr>
        <w:pStyle w:val="ListParagraph"/>
        <w:numPr>
          <w:ilvl w:val="0"/>
          <w:numId w:val="42"/>
        </w:numPr>
      </w:pPr>
      <w:r>
        <w:t>Nurses</w:t>
      </w:r>
    </w:p>
    <w:p w14:paraId="383FA332" w14:textId="77777777" w:rsidR="00C7419A" w:rsidRPr="00471542" w:rsidRDefault="00C7419A" w:rsidP="00C7419A">
      <w:pPr>
        <w:pStyle w:val="Heading2"/>
      </w:pPr>
      <w:r w:rsidRPr="00471542">
        <w:t xml:space="preserve">Target area of use </w:t>
      </w:r>
    </w:p>
    <w:p w14:paraId="7C64918C" w14:textId="77777777" w:rsidR="00C7419A" w:rsidRPr="006E2AD2" w:rsidRDefault="00C7419A" w:rsidP="00C7419A">
      <w:pPr>
        <w:pStyle w:val="ListParagraph"/>
        <w:numPr>
          <w:ilvl w:val="0"/>
          <w:numId w:val="43"/>
        </w:numPr>
      </w:pPr>
      <w:r w:rsidRPr="00471542">
        <w:t>Ward</w:t>
      </w:r>
    </w:p>
    <w:p w14:paraId="3930A6A4" w14:textId="50931691" w:rsidR="00C7419A" w:rsidRPr="006E2AD2" w:rsidRDefault="00C7419A" w:rsidP="00C7419A">
      <w:pPr>
        <w:pStyle w:val="ListParagraph"/>
        <w:numPr>
          <w:ilvl w:val="0"/>
          <w:numId w:val="43"/>
        </w:numPr>
      </w:pPr>
      <w:r>
        <w:t>Outpatient department</w:t>
      </w:r>
    </w:p>
    <w:p w14:paraId="1A75A1F2" w14:textId="77777777" w:rsidR="00C7419A" w:rsidRPr="00471542" w:rsidRDefault="00C7419A" w:rsidP="00C7419A">
      <w:pPr>
        <w:pStyle w:val="ListParagraph"/>
        <w:numPr>
          <w:ilvl w:val="0"/>
          <w:numId w:val="43"/>
        </w:numPr>
      </w:pPr>
      <w:r>
        <w:t>Gate clinic</w:t>
      </w:r>
    </w:p>
    <w:p w14:paraId="7DF3100E" w14:textId="77777777" w:rsidR="00C7419A" w:rsidRDefault="00C7419A" w:rsidP="00C7419A">
      <w:pPr>
        <w:pStyle w:val="Heading2"/>
      </w:pPr>
      <w:r w:rsidRPr="00471542">
        <w:t>Key areas of focus/new additions/changes</w:t>
      </w:r>
    </w:p>
    <w:p w14:paraId="70BBF7BF" w14:textId="4920F047" w:rsidR="00C7419A" w:rsidRPr="00815CE8" w:rsidRDefault="00812E83" w:rsidP="00C7419A">
      <w:r>
        <w:t>This guideline</w:t>
      </w:r>
      <w:r w:rsidR="00C7419A" w:rsidRPr="00815CE8">
        <w:t xml:space="preserve"> addresses the management of </w:t>
      </w:r>
      <w:r>
        <w:t xml:space="preserve">gastroenteritis as well as </w:t>
      </w:r>
      <w:r w:rsidR="00C7419A" w:rsidRPr="00815CE8">
        <w:t xml:space="preserve">persistent diarrhoea </w:t>
      </w:r>
      <w:r>
        <w:t>in children, adults and those infected with HIV.</w:t>
      </w:r>
    </w:p>
    <w:p w14:paraId="2FD2358A" w14:textId="5AE5A9C8" w:rsidR="008A4EA9" w:rsidRDefault="00E43FA5" w:rsidP="00E43FA5">
      <w:pPr>
        <w:pStyle w:val="Heading2"/>
      </w:pPr>
      <w:r w:rsidRPr="00E43FA5">
        <w:t>Limitations</w:t>
      </w:r>
    </w:p>
    <w:p w14:paraId="37AF4E20" w14:textId="3EE72A5A" w:rsidR="00E43FA5" w:rsidRPr="00E43FA5" w:rsidRDefault="00E43FA5" w:rsidP="00E43FA5">
      <w:r>
        <w:t>We have limited acce</w:t>
      </w:r>
      <w:r w:rsidR="00B24B0C">
        <w:t>ss to diagnostic tests for persistent diarrhoea.</w:t>
      </w:r>
    </w:p>
    <w:p w14:paraId="536971DD" w14:textId="77777777" w:rsidR="008A4EA9" w:rsidRDefault="008A4EA9">
      <w:pPr>
        <w:spacing w:after="0"/>
        <w:outlineLvl w:val="9"/>
        <w:rPr>
          <w:b/>
          <w:sz w:val="24"/>
          <w:szCs w:val="22"/>
          <w:lang w:val="en-GB"/>
        </w:rPr>
      </w:pPr>
      <w:r>
        <w:rPr>
          <w:szCs w:val="22"/>
          <w:lang w:val="en-GB"/>
        </w:rPr>
        <w:br w:type="page"/>
      </w:r>
    </w:p>
    <w:p w14:paraId="165FC33D" w14:textId="757A6F63" w:rsidR="00975A60" w:rsidRPr="000A3AA8" w:rsidRDefault="00975A60" w:rsidP="00975A60">
      <w:pPr>
        <w:pStyle w:val="Heading2"/>
        <w:rPr>
          <w:rFonts w:cs="Arial"/>
          <w:szCs w:val="22"/>
          <w:lang w:val="en-GB"/>
        </w:rPr>
      </w:pPr>
      <w:r w:rsidRPr="000A3AA8">
        <w:rPr>
          <w:rFonts w:cs="Arial"/>
          <w:szCs w:val="22"/>
          <w:lang w:val="en-GB"/>
        </w:rPr>
        <w:lastRenderedPageBreak/>
        <w:t>Presenting symptoms and signs</w:t>
      </w:r>
    </w:p>
    <w:p w14:paraId="41208E35" w14:textId="64F322E2" w:rsidR="00AA46AD" w:rsidRPr="000A3AA8" w:rsidRDefault="00AA46AD" w:rsidP="00AA46AD">
      <w:pPr>
        <w:rPr>
          <w:lang w:val="en-GB"/>
        </w:rPr>
      </w:pPr>
      <w:r w:rsidRPr="000A3AA8">
        <w:rPr>
          <w:lang w:val="en-GB"/>
        </w:rPr>
        <w:t>In all age groups, gastroenteritis may present with fever, abrupt onset of nausea and vomiting, abrupt onset of diarrhoea, explosive flatulence, cramping abdominal pain, mucoid stools with or without blood, tenesmus, myalgia, headache, malaise, potential for seizures in children with high fever or electrolyte abnormalities</w:t>
      </w:r>
    </w:p>
    <w:p w14:paraId="22AA63F9" w14:textId="77777777" w:rsidR="00AA46AD" w:rsidRPr="000A3AA8" w:rsidRDefault="00AA46AD" w:rsidP="00AA46AD">
      <w:pPr>
        <w:rPr>
          <w:lang w:val="en-GB"/>
        </w:rPr>
      </w:pPr>
      <w:r w:rsidRPr="000A3AA8">
        <w:rPr>
          <w:lang w:val="en-GB"/>
        </w:rPr>
        <w:t>Any patient complaining of diarrhoea and vomiting should be asked for more details in order to</w:t>
      </w:r>
      <w:r w:rsidRPr="000A3AA8">
        <w:rPr>
          <w:b/>
          <w:lang w:val="en-GB"/>
        </w:rPr>
        <w:t xml:space="preserve"> </w:t>
      </w:r>
      <w:r w:rsidRPr="000A3AA8">
        <w:rPr>
          <w:lang w:val="en-GB"/>
        </w:rPr>
        <w:t>establish:</w:t>
      </w:r>
    </w:p>
    <w:p w14:paraId="7DCA16E1" w14:textId="77777777" w:rsidR="00AA46AD" w:rsidRPr="000A3AA8" w:rsidRDefault="00AA46AD" w:rsidP="00AA46AD">
      <w:pPr>
        <w:pStyle w:val="ListParagraph"/>
        <w:numPr>
          <w:ilvl w:val="0"/>
          <w:numId w:val="26"/>
        </w:numPr>
        <w:rPr>
          <w:lang w:val="en-GB"/>
        </w:rPr>
      </w:pPr>
      <w:r w:rsidRPr="000A3AA8">
        <w:rPr>
          <w:lang w:val="en-GB"/>
        </w:rPr>
        <w:t>how frequent the stools and vomiting are</w:t>
      </w:r>
    </w:p>
    <w:p w14:paraId="4CDCA442" w14:textId="77777777" w:rsidR="00AA46AD" w:rsidRPr="000A3AA8" w:rsidRDefault="00AA46AD" w:rsidP="00AA46AD">
      <w:pPr>
        <w:pStyle w:val="ListParagraph"/>
        <w:numPr>
          <w:ilvl w:val="0"/>
          <w:numId w:val="26"/>
        </w:numPr>
        <w:rPr>
          <w:lang w:val="en-GB"/>
        </w:rPr>
      </w:pPr>
      <w:r w:rsidRPr="000A3AA8">
        <w:rPr>
          <w:lang w:val="en-GB"/>
        </w:rPr>
        <w:t>how long the illness has gone on for</w:t>
      </w:r>
    </w:p>
    <w:p w14:paraId="47964ED1" w14:textId="77777777" w:rsidR="00AA46AD" w:rsidRPr="000A3AA8" w:rsidRDefault="00AA46AD" w:rsidP="00AA46AD">
      <w:pPr>
        <w:pStyle w:val="ListParagraph"/>
        <w:numPr>
          <w:ilvl w:val="0"/>
          <w:numId w:val="26"/>
        </w:numPr>
        <w:rPr>
          <w:lang w:val="en-GB"/>
        </w:rPr>
      </w:pPr>
      <w:r w:rsidRPr="000A3AA8">
        <w:rPr>
          <w:lang w:val="en-GB"/>
        </w:rPr>
        <w:t>the nature of the stools and vomitus</w:t>
      </w:r>
    </w:p>
    <w:p w14:paraId="6C5A95C5" w14:textId="77777777" w:rsidR="00AA46AD" w:rsidRPr="000A3AA8" w:rsidRDefault="00AA46AD" w:rsidP="00AA46AD">
      <w:pPr>
        <w:pStyle w:val="ListParagraph"/>
        <w:numPr>
          <w:ilvl w:val="0"/>
          <w:numId w:val="26"/>
        </w:numPr>
        <w:rPr>
          <w:lang w:val="en-GB"/>
        </w:rPr>
      </w:pPr>
      <w:r w:rsidRPr="000A3AA8">
        <w:rPr>
          <w:lang w:val="en-GB"/>
        </w:rPr>
        <w:t>if there are any risk factors for more serious illness</w:t>
      </w:r>
    </w:p>
    <w:p w14:paraId="6A308B58" w14:textId="77777777" w:rsidR="00AA46AD" w:rsidRPr="000A3AA8" w:rsidRDefault="00AA46AD" w:rsidP="00AA46AD">
      <w:pPr>
        <w:pStyle w:val="ListParagraph"/>
        <w:numPr>
          <w:ilvl w:val="0"/>
          <w:numId w:val="26"/>
        </w:numPr>
        <w:rPr>
          <w:lang w:val="en-GB"/>
        </w:rPr>
      </w:pPr>
      <w:r w:rsidRPr="000A3AA8">
        <w:rPr>
          <w:lang w:val="en-GB"/>
        </w:rPr>
        <w:t>recent study abroad</w:t>
      </w:r>
    </w:p>
    <w:p w14:paraId="635E94A5" w14:textId="77777777" w:rsidR="00AA46AD" w:rsidRPr="000A3AA8" w:rsidRDefault="00AA46AD" w:rsidP="00AA46AD">
      <w:pPr>
        <w:pStyle w:val="ListParagraph"/>
        <w:numPr>
          <w:ilvl w:val="0"/>
          <w:numId w:val="26"/>
        </w:numPr>
        <w:rPr>
          <w:lang w:val="en-GB"/>
        </w:rPr>
      </w:pPr>
      <w:r w:rsidRPr="000A3AA8">
        <w:rPr>
          <w:lang w:val="en-GB"/>
        </w:rPr>
        <w:t>if there is a potential outbreak in the compound or surrounding area</w:t>
      </w:r>
    </w:p>
    <w:p w14:paraId="44667065" w14:textId="77777777" w:rsidR="00975A60" w:rsidRPr="000A3AA8" w:rsidRDefault="00975A60" w:rsidP="00975A60">
      <w:pPr>
        <w:pStyle w:val="Heading2"/>
        <w:rPr>
          <w:rFonts w:cs="Arial"/>
          <w:szCs w:val="22"/>
          <w:lang w:val="en-GB"/>
        </w:rPr>
      </w:pPr>
      <w:r w:rsidRPr="000A3AA8">
        <w:rPr>
          <w:rFonts w:cs="Arial"/>
          <w:szCs w:val="22"/>
          <w:lang w:val="en-GB"/>
        </w:rPr>
        <w:t>Examination findings</w:t>
      </w:r>
    </w:p>
    <w:p w14:paraId="0F87A15B" w14:textId="77777777" w:rsidR="00AA46AD" w:rsidRPr="000A3AA8" w:rsidRDefault="00AA46AD" w:rsidP="00AA46AD">
      <w:pPr>
        <w:rPr>
          <w:lang w:val="en-GB" w:bidi="th-TH"/>
        </w:rPr>
      </w:pPr>
      <w:r w:rsidRPr="000A3AA8">
        <w:rPr>
          <w:lang w:val="en-GB" w:bidi="th-TH"/>
        </w:rPr>
        <w:t>Examine the patient looking for evidence of:</w:t>
      </w:r>
    </w:p>
    <w:p w14:paraId="6145C692" w14:textId="6AA6D363" w:rsidR="00AA46AD" w:rsidRPr="000A3AA8" w:rsidRDefault="00AA46AD" w:rsidP="00AA46AD">
      <w:pPr>
        <w:pStyle w:val="ListParagraph"/>
        <w:numPr>
          <w:ilvl w:val="0"/>
          <w:numId w:val="28"/>
        </w:numPr>
        <w:rPr>
          <w:lang w:val="en-GB" w:bidi="th-TH"/>
        </w:rPr>
      </w:pPr>
      <w:r w:rsidRPr="000A3AA8">
        <w:rPr>
          <w:lang w:val="en-GB" w:bidi="th-TH"/>
        </w:rPr>
        <w:t>Dehydration – see below for classification of severity.</w:t>
      </w:r>
    </w:p>
    <w:p w14:paraId="4A088FA5" w14:textId="331D941B" w:rsidR="00AA46AD" w:rsidRPr="000A3AA8" w:rsidRDefault="00AA46AD" w:rsidP="00AA46AD">
      <w:pPr>
        <w:pStyle w:val="ListParagraph"/>
        <w:numPr>
          <w:ilvl w:val="0"/>
          <w:numId w:val="28"/>
        </w:numPr>
        <w:rPr>
          <w:b/>
          <w:lang w:val="en-GB"/>
        </w:rPr>
      </w:pPr>
      <w:r w:rsidRPr="000A3AA8">
        <w:rPr>
          <w:lang w:val="en-GB" w:bidi="th-TH"/>
        </w:rPr>
        <w:t xml:space="preserve">Malnutrition </w:t>
      </w:r>
      <w:r w:rsidRPr="000A3AA8">
        <w:rPr>
          <w:lang w:val="en-GB"/>
        </w:rPr>
        <w:t>(</w:t>
      </w:r>
      <w:r w:rsidRPr="000A3AA8">
        <w:rPr>
          <w:b/>
          <w:lang w:val="en-GB"/>
        </w:rPr>
        <w:t xml:space="preserve">in which case they </w:t>
      </w:r>
      <w:r w:rsidR="000A3AA8" w:rsidRPr="000A3AA8">
        <w:rPr>
          <w:b/>
          <w:lang w:val="en-GB"/>
        </w:rPr>
        <w:t>must</w:t>
      </w:r>
      <w:r w:rsidRPr="000A3AA8">
        <w:rPr>
          <w:b/>
          <w:lang w:val="en-GB"/>
        </w:rPr>
        <w:t xml:space="preserve"> be managed according to the malnutrition protocol</w:t>
      </w:r>
      <w:r w:rsidRPr="000A3AA8">
        <w:rPr>
          <w:lang w:val="en-GB"/>
        </w:rPr>
        <w:t>).</w:t>
      </w:r>
    </w:p>
    <w:p w14:paraId="457B777F" w14:textId="0B8CAF47" w:rsidR="00AA46AD" w:rsidRPr="000A3AA8" w:rsidRDefault="00AA46AD" w:rsidP="00AA46AD">
      <w:pPr>
        <w:pStyle w:val="ListParagraph"/>
        <w:numPr>
          <w:ilvl w:val="0"/>
          <w:numId w:val="28"/>
        </w:numPr>
        <w:rPr>
          <w:b/>
          <w:lang w:val="en-GB"/>
        </w:rPr>
      </w:pPr>
      <w:r w:rsidRPr="000A3AA8">
        <w:rPr>
          <w:lang w:val="en-GB" w:bidi="th-TH"/>
        </w:rPr>
        <w:t xml:space="preserve">Chronic illness and sepsis. </w:t>
      </w:r>
    </w:p>
    <w:p w14:paraId="2CA412B6" w14:textId="77777777" w:rsidR="00AA46AD" w:rsidRPr="000A3AA8" w:rsidRDefault="00AA46AD" w:rsidP="00AA46AD">
      <w:pPr>
        <w:pStyle w:val="ListParagraph"/>
        <w:numPr>
          <w:ilvl w:val="0"/>
          <w:numId w:val="28"/>
        </w:numPr>
        <w:rPr>
          <w:b/>
          <w:lang w:val="en-GB"/>
        </w:rPr>
      </w:pPr>
      <w:r w:rsidRPr="000A3AA8">
        <w:rPr>
          <w:lang w:val="en-GB" w:bidi="th-TH"/>
        </w:rPr>
        <w:t>Rule out a surgical cause (such as intussusception in a child).</w:t>
      </w:r>
    </w:p>
    <w:p w14:paraId="2D6EA636" w14:textId="77C6EBA7" w:rsidR="00AA46AD" w:rsidRPr="000A3AA8" w:rsidRDefault="00AA46AD" w:rsidP="00AA46AD">
      <w:pPr>
        <w:pStyle w:val="ListParagraph"/>
        <w:numPr>
          <w:ilvl w:val="0"/>
          <w:numId w:val="28"/>
        </w:numPr>
        <w:rPr>
          <w:lang w:val="en-GB"/>
        </w:rPr>
      </w:pPr>
      <w:r w:rsidRPr="000A3AA8">
        <w:rPr>
          <w:lang w:val="en-GB"/>
        </w:rPr>
        <w:t>Auscultate the abdomen in all quadrants for bowel sounds; note hyperactive bowel sounds, absent or hypoactive bowel sounds (common with botulism), and borborygmi.</w:t>
      </w:r>
    </w:p>
    <w:p w14:paraId="08EB3425" w14:textId="77777777" w:rsidR="00AA46AD" w:rsidRPr="000A3AA8" w:rsidRDefault="00AA46AD" w:rsidP="00AA46AD">
      <w:pPr>
        <w:pStyle w:val="ListParagraph"/>
        <w:numPr>
          <w:ilvl w:val="0"/>
          <w:numId w:val="28"/>
        </w:numPr>
        <w:rPr>
          <w:lang w:val="en-GB"/>
        </w:rPr>
      </w:pPr>
      <w:r w:rsidRPr="000A3AA8">
        <w:rPr>
          <w:lang w:val="en-GB"/>
        </w:rPr>
        <w:t>Palpate the abdomen for diffuse tenderness, slight distension, masses, rebound tenderness, and spasm.</w:t>
      </w:r>
    </w:p>
    <w:p w14:paraId="423C30B4" w14:textId="77777777" w:rsidR="00AA46AD" w:rsidRPr="000A3AA8" w:rsidRDefault="00AA46AD" w:rsidP="00AA46AD">
      <w:pPr>
        <w:pStyle w:val="ListParagraph"/>
        <w:numPr>
          <w:ilvl w:val="0"/>
          <w:numId w:val="28"/>
        </w:numPr>
        <w:rPr>
          <w:lang w:val="en-GB"/>
        </w:rPr>
      </w:pPr>
      <w:r w:rsidRPr="000A3AA8">
        <w:rPr>
          <w:lang w:val="en-GB"/>
        </w:rPr>
        <w:t>Rectal exam: Check for masses, fissures, inflammation, perianal erythema, or stool in ampulla.</w:t>
      </w:r>
    </w:p>
    <w:p w14:paraId="1A254B40" w14:textId="1D0878F9" w:rsidR="00AA46AD" w:rsidRPr="000A3AA8" w:rsidRDefault="00AA46AD" w:rsidP="00AA46AD">
      <w:pPr>
        <w:pStyle w:val="ListParagraph"/>
        <w:numPr>
          <w:ilvl w:val="0"/>
          <w:numId w:val="28"/>
        </w:numPr>
        <w:rPr>
          <w:lang w:val="en-GB"/>
        </w:rPr>
      </w:pPr>
      <w:r w:rsidRPr="000A3AA8">
        <w:rPr>
          <w:lang w:val="en-GB"/>
        </w:rPr>
        <w:t>Neurologic exam: Check for dizziness, difficulty swallowing, and other neurologic signs. (Neurologic signs and symptoms indicate botulism and require emergency intervention.)</w:t>
      </w:r>
    </w:p>
    <w:p w14:paraId="575147B3" w14:textId="643875B1" w:rsidR="00AA46AD" w:rsidRPr="000A3AA8" w:rsidRDefault="00AA46AD" w:rsidP="00AA46AD">
      <w:pPr>
        <w:pStyle w:val="Heading3"/>
        <w:rPr>
          <w:lang w:val="en-GB"/>
        </w:rPr>
      </w:pPr>
      <w:r w:rsidRPr="000A3AA8">
        <w:rPr>
          <w:lang w:val="en-GB"/>
        </w:rPr>
        <w:t>Severity of dehydration</w:t>
      </w:r>
    </w:p>
    <w:p w14:paraId="6ABCD4BD" w14:textId="77777777" w:rsidR="00AA46AD" w:rsidRPr="000A3AA8" w:rsidRDefault="00AA46AD" w:rsidP="00AA46AD">
      <w:pPr>
        <w:rPr>
          <w:lang w:val="en-GB"/>
        </w:rPr>
      </w:pPr>
      <w:r w:rsidRPr="000A3AA8">
        <w:rPr>
          <w:lang w:val="en-GB"/>
        </w:rPr>
        <w:t xml:space="preserve">Children: </w:t>
      </w:r>
    </w:p>
    <w:p w14:paraId="6A7A782E" w14:textId="77777777" w:rsidR="00AA46AD" w:rsidRPr="000A3AA8" w:rsidRDefault="00AA46AD" w:rsidP="00AA46AD">
      <w:pPr>
        <w:pStyle w:val="ListParagraph"/>
        <w:numPr>
          <w:ilvl w:val="0"/>
          <w:numId w:val="29"/>
        </w:numPr>
        <w:rPr>
          <w:color w:val="000000"/>
          <w:szCs w:val="22"/>
          <w:lang w:val="en-GB"/>
        </w:rPr>
      </w:pPr>
      <w:r w:rsidRPr="000A3AA8">
        <w:rPr>
          <w:color w:val="000000"/>
          <w:szCs w:val="22"/>
          <w:lang w:val="en-GB"/>
        </w:rPr>
        <w:t>Some dehydration: Two or more of the following signs</w:t>
      </w:r>
    </w:p>
    <w:p w14:paraId="09F4BBC2" w14:textId="77777777" w:rsidR="00AA46AD" w:rsidRPr="000A3AA8" w:rsidRDefault="00AA46AD" w:rsidP="00AA46AD">
      <w:pPr>
        <w:pStyle w:val="ListParagraph"/>
        <w:numPr>
          <w:ilvl w:val="1"/>
          <w:numId w:val="29"/>
        </w:numPr>
        <w:rPr>
          <w:color w:val="000000"/>
          <w:szCs w:val="22"/>
          <w:lang w:val="en-GB"/>
        </w:rPr>
      </w:pPr>
      <w:r w:rsidRPr="000A3AA8">
        <w:rPr>
          <w:color w:val="000000"/>
          <w:szCs w:val="22"/>
          <w:lang w:val="en-GB"/>
        </w:rPr>
        <w:t>restlessness or irritability</w:t>
      </w:r>
    </w:p>
    <w:p w14:paraId="2F36AE88" w14:textId="03951935" w:rsidR="00AA46AD" w:rsidRPr="000A3AA8" w:rsidRDefault="00AA46AD" w:rsidP="00AA46AD">
      <w:pPr>
        <w:pStyle w:val="ListParagraph"/>
        <w:numPr>
          <w:ilvl w:val="1"/>
          <w:numId w:val="29"/>
        </w:numPr>
        <w:rPr>
          <w:color w:val="000000"/>
          <w:szCs w:val="22"/>
          <w:lang w:val="en-GB"/>
        </w:rPr>
      </w:pPr>
      <w:r w:rsidRPr="000A3AA8">
        <w:rPr>
          <w:color w:val="000000"/>
          <w:szCs w:val="22"/>
          <w:lang w:val="en-GB"/>
        </w:rPr>
        <w:t>sunken eyes</w:t>
      </w:r>
    </w:p>
    <w:p w14:paraId="5FD267E1" w14:textId="77777777" w:rsidR="00AA46AD" w:rsidRPr="000A3AA8" w:rsidRDefault="00AA46AD" w:rsidP="00AA46AD">
      <w:pPr>
        <w:pStyle w:val="ListParagraph"/>
        <w:numPr>
          <w:ilvl w:val="1"/>
          <w:numId w:val="29"/>
        </w:numPr>
        <w:rPr>
          <w:color w:val="000000"/>
          <w:szCs w:val="22"/>
          <w:lang w:val="en-GB"/>
        </w:rPr>
      </w:pPr>
      <w:r w:rsidRPr="000A3AA8">
        <w:rPr>
          <w:color w:val="000000"/>
          <w:szCs w:val="22"/>
          <w:lang w:val="en-GB"/>
        </w:rPr>
        <w:t>drinks eagerly, thirsty</w:t>
      </w:r>
    </w:p>
    <w:p w14:paraId="504A4601" w14:textId="0CBBDF5B" w:rsidR="00AA46AD" w:rsidRPr="000A3AA8" w:rsidRDefault="00AA46AD" w:rsidP="00AA46AD">
      <w:pPr>
        <w:pStyle w:val="ListParagraph"/>
        <w:numPr>
          <w:ilvl w:val="1"/>
          <w:numId w:val="29"/>
        </w:numPr>
        <w:rPr>
          <w:color w:val="000000"/>
          <w:szCs w:val="22"/>
          <w:lang w:val="en-GB"/>
        </w:rPr>
      </w:pPr>
      <w:r w:rsidRPr="000A3AA8">
        <w:rPr>
          <w:color w:val="000000"/>
          <w:szCs w:val="22"/>
          <w:lang w:val="en-GB"/>
        </w:rPr>
        <w:t>skin pinch goes back slowly</w:t>
      </w:r>
    </w:p>
    <w:p w14:paraId="4C6C807C" w14:textId="77777777" w:rsidR="00AA46AD" w:rsidRPr="000A3AA8" w:rsidRDefault="00AA46AD" w:rsidP="00AA46AD">
      <w:pPr>
        <w:pStyle w:val="ListParagraph"/>
        <w:numPr>
          <w:ilvl w:val="0"/>
          <w:numId w:val="29"/>
        </w:numPr>
        <w:rPr>
          <w:color w:val="000000"/>
          <w:szCs w:val="22"/>
          <w:lang w:val="en-GB"/>
        </w:rPr>
      </w:pPr>
      <w:r w:rsidRPr="000A3AA8">
        <w:rPr>
          <w:szCs w:val="22"/>
          <w:lang w:val="en-GB"/>
        </w:rPr>
        <w:t xml:space="preserve">Severe dehydration: </w:t>
      </w:r>
      <w:r w:rsidRPr="000A3AA8">
        <w:rPr>
          <w:color w:val="000000"/>
          <w:szCs w:val="22"/>
          <w:lang w:val="en-GB"/>
        </w:rPr>
        <w:t>Two or more of the following signs:</w:t>
      </w:r>
    </w:p>
    <w:p w14:paraId="7989F301" w14:textId="77777777" w:rsidR="00AA46AD" w:rsidRPr="000A3AA8" w:rsidRDefault="00AA46AD" w:rsidP="00AA46AD">
      <w:pPr>
        <w:pStyle w:val="ListParagraph"/>
        <w:numPr>
          <w:ilvl w:val="1"/>
          <w:numId w:val="29"/>
        </w:numPr>
        <w:rPr>
          <w:color w:val="000000"/>
          <w:szCs w:val="22"/>
          <w:lang w:val="en-GB"/>
        </w:rPr>
      </w:pPr>
      <w:r w:rsidRPr="000A3AA8">
        <w:rPr>
          <w:color w:val="000000"/>
          <w:szCs w:val="22"/>
          <w:lang w:val="en-GB"/>
        </w:rPr>
        <w:t>lethargy or unconsciousness</w:t>
      </w:r>
    </w:p>
    <w:p w14:paraId="3C3C6506" w14:textId="77777777" w:rsidR="00AA46AD" w:rsidRPr="000A3AA8" w:rsidRDefault="00AA46AD" w:rsidP="00AA46AD">
      <w:pPr>
        <w:pStyle w:val="ListParagraph"/>
        <w:numPr>
          <w:ilvl w:val="1"/>
          <w:numId w:val="29"/>
        </w:numPr>
        <w:rPr>
          <w:color w:val="000000"/>
          <w:szCs w:val="22"/>
          <w:lang w:val="en-GB"/>
        </w:rPr>
      </w:pPr>
      <w:r w:rsidRPr="000A3AA8">
        <w:rPr>
          <w:color w:val="000000"/>
          <w:szCs w:val="22"/>
          <w:lang w:val="en-GB"/>
        </w:rPr>
        <w:t>sunken eyes</w:t>
      </w:r>
    </w:p>
    <w:p w14:paraId="73FC742A" w14:textId="77777777" w:rsidR="00AA46AD" w:rsidRPr="000A3AA8" w:rsidRDefault="00AA46AD" w:rsidP="00AA46AD">
      <w:pPr>
        <w:pStyle w:val="ListParagraph"/>
        <w:numPr>
          <w:ilvl w:val="1"/>
          <w:numId w:val="29"/>
        </w:numPr>
        <w:rPr>
          <w:color w:val="000000"/>
          <w:szCs w:val="22"/>
          <w:lang w:val="en-GB"/>
        </w:rPr>
      </w:pPr>
      <w:r w:rsidRPr="000A3AA8">
        <w:rPr>
          <w:color w:val="000000"/>
          <w:szCs w:val="22"/>
          <w:lang w:val="en-GB"/>
        </w:rPr>
        <w:t>unable to drink or drinks poorly</w:t>
      </w:r>
    </w:p>
    <w:p w14:paraId="3701590F" w14:textId="77777777" w:rsidR="00AA46AD" w:rsidRPr="000A3AA8" w:rsidRDefault="00AA46AD" w:rsidP="00AA46AD">
      <w:pPr>
        <w:pStyle w:val="ListParagraph"/>
        <w:numPr>
          <w:ilvl w:val="1"/>
          <w:numId w:val="29"/>
        </w:numPr>
        <w:rPr>
          <w:color w:val="000000"/>
          <w:szCs w:val="22"/>
          <w:lang w:val="en-GB"/>
        </w:rPr>
      </w:pPr>
      <w:r w:rsidRPr="000A3AA8">
        <w:rPr>
          <w:color w:val="000000"/>
          <w:szCs w:val="22"/>
          <w:lang w:val="en-GB"/>
        </w:rPr>
        <w:t>skin pinch goes back very slowly (≥ 2 s)</w:t>
      </w:r>
    </w:p>
    <w:p w14:paraId="6FC9FCA0" w14:textId="77777777" w:rsidR="00812E83" w:rsidRDefault="00812E83">
      <w:pPr>
        <w:spacing w:after="0"/>
        <w:outlineLvl w:val="9"/>
        <w:rPr>
          <w:lang w:val="en-GB"/>
        </w:rPr>
      </w:pPr>
      <w:r>
        <w:rPr>
          <w:lang w:val="en-GB"/>
        </w:rPr>
        <w:br w:type="page"/>
      </w:r>
    </w:p>
    <w:p w14:paraId="3C97584D" w14:textId="0C3F3467" w:rsidR="00AA46AD" w:rsidRPr="000A3AA8" w:rsidRDefault="00AA46AD" w:rsidP="00AA46AD">
      <w:pPr>
        <w:rPr>
          <w:lang w:val="en-GB"/>
        </w:rPr>
      </w:pPr>
      <w:r w:rsidRPr="000A3AA8">
        <w:rPr>
          <w:lang w:val="en-GB"/>
        </w:rPr>
        <w:lastRenderedPageBreak/>
        <w:t>Adults:</w:t>
      </w:r>
    </w:p>
    <w:p w14:paraId="46FB598B" w14:textId="6511F5D0" w:rsidR="000A3AA8" w:rsidRDefault="000A3AA8" w:rsidP="000A3AA8">
      <w:pPr>
        <w:pStyle w:val="ListParagraph"/>
        <w:numPr>
          <w:ilvl w:val="0"/>
          <w:numId w:val="33"/>
        </w:numPr>
        <w:rPr>
          <w:lang w:val="en-GB" w:bidi="th-TH"/>
        </w:rPr>
      </w:pPr>
      <w:r w:rsidRPr="000A3AA8">
        <w:rPr>
          <w:lang w:val="en-GB" w:bidi="th-TH"/>
        </w:rPr>
        <w:t>Severe dehydration is present in adults with reduced level of consciousness, reduced urine output, clammy extremities, tachycardia, low blood pressure or peripheral cyanosis.</w:t>
      </w:r>
    </w:p>
    <w:p w14:paraId="3B6EE660" w14:textId="4EDB008B" w:rsidR="008328D4" w:rsidRDefault="008328D4" w:rsidP="008328D4">
      <w:pPr>
        <w:pStyle w:val="Heading3"/>
      </w:pPr>
      <w:r>
        <w:t>When to refer to doctor in OPD</w:t>
      </w:r>
    </w:p>
    <w:p w14:paraId="2888C71F" w14:textId="77777777" w:rsidR="008328D4" w:rsidRDefault="008328D4" w:rsidP="008328D4">
      <w:pPr>
        <w:rPr>
          <w:lang w:val="en-GB"/>
        </w:rPr>
      </w:pPr>
      <w:r>
        <w:rPr>
          <w:lang w:val="en-GB"/>
        </w:rPr>
        <w:t>Refer patients with:</w:t>
      </w:r>
    </w:p>
    <w:p w14:paraId="224BA65D" w14:textId="77777777" w:rsidR="008328D4" w:rsidRPr="00AD1702" w:rsidRDefault="008328D4" w:rsidP="008328D4">
      <w:pPr>
        <w:pStyle w:val="ListParagraph"/>
        <w:numPr>
          <w:ilvl w:val="0"/>
          <w:numId w:val="39"/>
        </w:numPr>
        <w:rPr>
          <w:lang w:val="en-GB"/>
        </w:rPr>
      </w:pPr>
      <w:r w:rsidRPr="00AD1702">
        <w:rPr>
          <w:lang w:val="en-GB"/>
        </w:rPr>
        <w:t>diarrhoea for more than 2 weeks (persistent or intermittent)</w:t>
      </w:r>
    </w:p>
    <w:p w14:paraId="4B39F6CE" w14:textId="77777777" w:rsidR="008328D4" w:rsidRPr="00AD1702" w:rsidRDefault="008328D4" w:rsidP="008328D4">
      <w:pPr>
        <w:pStyle w:val="ListParagraph"/>
        <w:numPr>
          <w:ilvl w:val="0"/>
          <w:numId w:val="39"/>
        </w:numPr>
        <w:rPr>
          <w:lang w:val="en-GB"/>
        </w:rPr>
      </w:pPr>
      <w:r w:rsidRPr="00AD1702">
        <w:rPr>
          <w:lang w:val="en-GB"/>
        </w:rPr>
        <w:t>malnutrition</w:t>
      </w:r>
    </w:p>
    <w:p w14:paraId="09BE1F72" w14:textId="77777777" w:rsidR="008328D4" w:rsidRPr="00AD1702" w:rsidRDefault="008328D4" w:rsidP="008328D4">
      <w:pPr>
        <w:pStyle w:val="ListParagraph"/>
        <w:numPr>
          <w:ilvl w:val="0"/>
          <w:numId w:val="39"/>
        </w:numPr>
        <w:rPr>
          <w:lang w:val="en-GB"/>
        </w:rPr>
      </w:pPr>
      <w:r w:rsidRPr="00AD1702">
        <w:rPr>
          <w:lang w:val="en-GB"/>
        </w:rPr>
        <w:t xml:space="preserve">known HIV infection </w:t>
      </w:r>
    </w:p>
    <w:p w14:paraId="5DC90D63" w14:textId="77777777" w:rsidR="008328D4" w:rsidRDefault="008328D4" w:rsidP="008328D4">
      <w:pPr>
        <w:pStyle w:val="ListParagraph"/>
        <w:numPr>
          <w:ilvl w:val="0"/>
          <w:numId w:val="39"/>
        </w:numPr>
        <w:rPr>
          <w:lang w:bidi="th-TH"/>
        </w:rPr>
      </w:pPr>
      <w:r>
        <w:rPr>
          <w:lang w:bidi="th-TH"/>
        </w:rPr>
        <w:t>severe dehydration</w:t>
      </w:r>
    </w:p>
    <w:p w14:paraId="051378EB" w14:textId="77777777" w:rsidR="008328D4" w:rsidRDefault="008328D4" w:rsidP="008328D4">
      <w:pPr>
        <w:pStyle w:val="ListParagraph"/>
        <w:numPr>
          <w:ilvl w:val="0"/>
          <w:numId w:val="39"/>
        </w:numPr>
        <w:rPr>
          <w:lang w:bidi="th-TH"/>
        </w:rPr>
      </w:pPr>
      <w:r>
        <w:rPr>
          <w:lang w:bidi="th-TH"/>
        </w:rPr>
        <w:t>chronic illness</w:t>
      </w:r>
    </w:p>
    <w:p w14:paraId="57127CB4" w14:textId="77777777" w:rsidR="008328D4" w:rsidRDefault="008328D4" w:rsidP="008328D4">
      <w:pPr>
        <w:pStyle w:val="ListParagraph"/>
        <w:numPr>
          <w:ilvl w:val="0"/>
          <w:numId w:val="39"/>
        </w:numPr>
        <w:rPr>
          <w:lang w:bidi="th-TH"/>
        </w:rPr>
      </w:pPr>
      <w:r>
        <w:rPr>
          <w:lang w:bidi="th-TH"/>
        </w:rPr>
        <w:t>sepsis</w:t>
      </w:r>
    </w:p>
    <w:p w14:paraId="7B46DB1B" w14:textId="42B0A113" w:rsidR="008328D4" w:rsidRPr="008328D4" w:rsidRDefault="008328D4" w:rsidP="008328D4">
      <w:pPr>
        <w:pStyle w:val="ListParagraph"/>
        <w:numPr>
          <w:ilvl w:val="0"/>
          <w:numId w:val="39"/>
        </w:numPr>
        <w:rPr>
          <w:lang w:val="en-GB"/>
        </w:rPr>
      </w:pPr>
      <w:r>
        <w:rPr>
          <w:lang w:bidi="th-TH"/>
        </w:rPr>
        <w:t xml:space="preserve">a surgical abdomen. </w:t>
      </w:r>
    </w:p>
    <w:p w14:paraId="0D2021CF" w14:textId="78715D93" w:rsidR="008328D4" w:rsidRPr="008328D4" w:rsidRDefault="008328D4" w:rsidP="008328D4">
      <w:pPr>
        <w:rPr>
          <w:lang w:val="en-GB"/>
        </w:rPr>
      </w:pPr>
      <w:r>
        <w:rPr>
          <w:lang w:val="en-GB"/>
        </w:rPr>
        <w:t xml:space="preserve">Other patients can be managed in gate clinic without further investigation. </w:t>
      </w:r>
    </w:p>
    <w:p w14:paraId="4CE9E45D" w14:textId="6A4659A4" w:rsidR="00AA46AD" w:rsidRPr="000A3AA8" w:rsidRDefault="000A3AA8" w:rsidP="000A3AA8">
      <w:pPr>
        <w:pStyle w:val="Heading2"/>
        <w:rPr>
          <w:lang w:val="en-GB"/>
        </w:rPr>
      </w:pPr>
      <w:r w:rsidRPr="000A3AA8">
        <w:rPr>
          <w:lang w:val="en-GB"/>
        </w:rPr>
        <w:t>Investigations</w:t>
      </w:r>
    </w:p>
    <w:p w14:paraId="27E9E290" w14:textId="396A1B72" w:rsidR="000A3AA8" w:rsidRPr="000A3AA8" w:rsidRDefault="000A3AA8" w:rsidP="00AA46AD">
      <w:pPr>
        <w:rPr>
          <w:lang w:val="en-GB"/>
        </w:rPr>
      </w:pPr>
      <w:r w:rsidRPr="000A3AA8">
        <w:rPr>
          <w:lang w:val="en-GB"/>
        </w:rPr>
        <w:t>May not be necessary but for more severe cases consider:</w:t>
      </w:r>
    </w:p>
    <w:p w14:paraId="5B474F4A" w14:textId="2DB99065" w:rsidR="000A3AA8" w:rsidRPr="000A3AA8" w:rsidRDefault="000A3AA8" w:rsidP="000A3AA8">
      <w:pPr>
        <w:pStyle w:val="ListParagraph"/>
        <w:numPr>
          <w:ilvl w:val="0"/>
          <w:numId w:val="33"/>
        </w:numPr>
        <w:rPr>
          <w:lang w:val="en-GB"/>
        </w:rPr>
      </w:pPr>
      <w:r w:rsidRPr="000A3AA8">
        <w:rPr>
          <w:lang w:val="en-GB"/>
        </w:rPr>
        <w:t>FBC.</w:t>
      </w:r>
    </w:p>
    <w:p w14:paraId="59B9AA04" w14:textId="5DA568FD" w:rsidR="000A3AA8" w:rsidRPr="000A3AA8" w:rsidRDefault="000A3AA8" w:rsidP="000A3AA8">
      <w:pPr>
        <w:pStyle w:val="ListParagraph"/>
        <w:numPr>
          <w:ilvl w:val="0"/>
          <w:numId w:val="33"/>
        </w:numPr>
        <w:rPr>
          <w:lang w:val="en-GB"/>
        </w:rPr>
      </w:pPr>
      <w:r w:rsidRPr="000A3AA8">
        <w:rPr>
          <w:lang w:val="en-GB"/>
        </w:rPr>
        <w:t>Stool for M,C&amp;S.</w:t>
      </w:r>
    </w:p>
    <w:p w14:paraId="42BC3704" w14:textId="77777777" w:rsidR="000A3AA8" w:rsidRPr="000A3AA8" w:rsidRDefault="000A3AA8" w:rsidP="000A3AA8">
      <w:pPr>
        <w:pStyle w:val="ListParagraph"/>
        <w:numPr>
          <w:ilvl w:val="0"/>
          <w:numId w:val="33"/>
        </w:numPr>
        <w:rPr>
          <w:lang w:val="en-GB"/>
        </w:rPr>
      </w:pPr>
      <w:r w:rsidRPr="000A3AA8">
        <w:rPr>
          <w:lang w:val="en-GB"/>
        </w:rPr>
        <w:t>If there is fever, test for malaria.</w:t>
      </w:r>
    </w:p>
    <w:p w14:paraId="49976CF1" w14:textId="0EFEBD00" w:rsidR="000A3AA8" w:rsidRPr="000A3AA8" w:rsidRDefault="000A3AA8" w:rsidP="000A3AA8">
      <w:pPr>
        <w:pStyle w:val="ListParagraph"/>
        <w:numPr>
          <w:ilvl w:val="0"/>
          <w:numId w:val="33"/>
        </w:numPr>
        <w:rPr>
          <w:lang w:val="en-GB"/>
        </w:rPr>
      </w:pPr>
      <w:r w:rsidRPr="000A3AA8">
        <w:rPr>
          <w:lang w:val="en-GB"/>
        </w:rPr>
        <w:t>If there is evidence of systemic compromise, send blood for U&amp;Es – children frequently present with severe electrolyte disturbance.</w:t>
      </w:r>
    </w:p>
    <w:p w14:paraId="513B473F" w14:textId="77777777" w:rsidR="000A3AA8" w:rsidRPr="000A3AA8" w:rsidRDefault="000A3AA8" w:rsidP="000A3AA8">
      <w:pPr>
        <w:pStyle w:val="ListParagraph"/>
        <w:numPr>
          <w:ilvl w:val="0"/>
          <w:numId w:val="33"/>
        </w:numPr>
        <w:rPr>
          <w:lang w:val="en-GB"/>
        </w:rPr>
      </w:pPr>
      <w:r w:rsidRPr="000A3AA8">
        <w:rPr>
          <w:lang w:val="en-GB"/>
        </w:rPr>
        <w:t>If there is evidence of chronic illness, counsel and test the patient for HIV.</w:t>
      </w:r>
    </w:p>
    <w:p w14:paraId="6A2912BA" w14:textId="2BB662EC" w:rsidR="000A3AA8" w:rsidRPr="000A3AA8" w:rsidRDefault="000A3AA8" w:rsidP="000A3AA8">
      <w:pPr>
        <w:pStyle w:val="ListParagraph"/>
        <w:numPr>
          <w:ilvl w:val="0"/>
          <w:numId w:val="33"/>
        </w:numPr>
        <w:rPr>
          <w:lang w:val="en-GB"/>
        </w:rPr>
      </w:pPr>
      <w:r w:rsidRPr="000A3AA8">
        <w:rPr>
          <w:lang w:val="en-GB"/>
        </w:rPr>
        <w:t>Urinalysis: Excludes UTI as cause of nonspecific vomiting.</w:t>
      </w:r>
    </w:p>
    <w:p w14:paraId="44C0576A" w14:textId="54DB50F4" w:rsidR="000A3AA8" w:rsidRPr="000A3AA8" w:rsidRDefault="000A3AA8" w:rsidP="000A3AA8">
      <w:pPr>
        <w:pStyle w:val="ListParagraph"/>
        <w:numPr>
          <w:ilvl w:val="0"/>
          <w:numId w:val="33"/>
        </w:numPr>
        <w:rPr>
          <w:lang w:val="en-GB"/>
        </w:rPr>
      </w:pPr>
      <w:r w:rsidRPr="000A3AA8">
        <w:rPr>
          <w:lang w:val="en-GB"/>
        </w:rPr>
        <w:t>Abdominal US to rule out intussusception.</w:t>
      </w:r>
    </w:p>
    <w:p w14:paraId="188794CC" w14:textId="323579AA" w:rsidR="000A3AA8" w:rsidRPr="000A3AA8" w:rsidRDefault="000A3AA8" w:rsidP="000A3AA8">
      <w:pPr>
        <w:pStyle w:val="Heading2"/>
        <w:rPr>
          <w:lang w:val="en-GB"/>
        </w:rPr>
      </w:pPr>
      <w:r w:rsidRPr="000A3AA8">
        <w:rPr>
          <w:lang w:val="en-GB"/>
        </w:rPr>
        <w:t>Differential Diagnoses</w:t>
      </w:r>
    </w:p>
    <w:p w14:paraId="24640DEF" w14:textId="77777777" w:rsidR="000A3AA8" w:rsidRPr="000A3AA8" w:rsidRDefault="000A3AA8" w:rsidP="000A3AA8">
      <w:pPr>
        <w:pStyle w:val="ListParagraph"/>
        <w:numPr>
          <w:ilvl w:val="0"/>
          <w:numId w:val="34"/>
        </w:numPr>
        <w:rPr>
          <w:lang w:val="en-GB"/>
        </w:rPr>
      </w:pPr>
      <w:r w:rsidRPr="000A3AA8">
        <w:rPr>
          <w:lang w:val="en-GB"/>
        </w:rPr>
        <w:t>Acute viral hepatitis</w:t>
      </w:r>
    </w:p>
    <w:p w14:paraId="2D7749AA" w14:textId="616E9163" w:rsidR="000A3AA8" w:rsidRPr="000A3AA8" w:rsidRDefault="000A3AA8" w:rsidP="000A3AA8">
      <w:pPr>
        <w:pStyle w:val="ListParagraph"/>
        <w:numPr>
          <w:ilvl w:val="0"/>
          <w:numId w:val="34"/>
        </w:numPr>
        <w:rPr>
          <w:lang w:val="en-GB"/>
        </w:rPr>
      </w:pPr>
      <w:r w:rsidRPr="000A3AA8">
        <w:rPr>
          <w:lang w:val="en-GB"/>
        </w:rPr>
        <w:t>Acute appendicitis</w:t>
      </w:r>
    </w:p>
    <w:p w14:paraId="5451CF4E" w14:textId="69CC67AB" w:rsidR="000A3AA8" w:rsidRPr="000A3AA8" w:rsidRDefault="000A3AA8" w:rsidP="000A3AA8">
      <w:pPr>
        <w:pStyle w:val="ListParagraph"/>
        <w:numPr>
          <w:ilvl w:val="0"/>
          <w:numId w:val="34"/>
        </w:numPr>
        <w:rPr>
          <w:lang w:val="en-GB"/>
        </w:rPr>
      </w:pPr>
      <w:r w:rsidRPr="000A3AA8">
        <w:rPr>
          <w:lang w:val="en-GB"/>
        </w:rPr>
        <w:t>Cholecystitis</w:t>
      </w:r>
    </w:p>
    <w:p w14:paraId="618AC74A" w14:textId="09C340FA" w:rsidR="000A3AA8" w:rsidRPr="000A3AA8" w:rsidRDefault="000A3AA8" w:rsidP="000A3AA8">
      <w:pPr>
        <w:pStyle w:val="ListParagraph"/>
        <w:numPr>
          <w:ilvl w:val="0"/>
          <w:numId w:val="34"/>
        </w:numPr>
        <w:rPr>
          <w:lang w:val="en-GB"/>
        </w:rPr>
      </w:pPr>
      <w:r w:rsidRPr="000A3AA8">
        <w:rPr>
          <w:lang w:val="en-GB"/>
        </w:rPr>
        <w:t>Inflammatory bowel disease</w:t>
      </w:r>
    </w:p>
    <w:p w14:paraId="240C4790" w14:textId="14BBA67E" w:rsidR="000A3AA8" w:rsidRPr="000A3AA8" w:rsidRDefault="000A3AA8" w:rsidP="000A3AA8">
      <w:pPr>
        <w:pStyle w:val="ListParagraph"/>
        <w:numPr>
          <w:ilvl w:val="0"/>
          <w:numId w:val="34"/>
        </w:numPr>
        <w:rPr>
          <w:lang w:val="en-GB"/>
        </w:rPr>
      </w:pPr>
      <w:r w:rsidRPr="000A3AA8">
        <w:rPr>
          <w:lang w:val="en-GB"/>
        </w:rPr>
        <w:t>Pelvic inflammatory disease</w:t>
      </w:r>
    </w:p>
    <w:p w14:paraId="06222573" w14:textId="13AF6907" w:rsidR="000A3AA8" w:rsidRPr="000A3AA8" w:rsidRDefault="000A3AA8" w:rsidP="000A3AA8">
      <w:pPr>
        <w:pStyle w:val="ListParagraph"/>
        <w:numPr>
          <w:ilvl w:val="0"/>
          <w:numId w:val="34"/>
        </w:numPr>
        <w:rPr>
          <w:lang w:val="en-GB"/>
        </w:rPr>
      </w:pPr>
      <w:r w:rsidRPr="000A3AA8">
        <w:rPr>
          <w:lang w:val="en-GB"/>
        </w:rPr>
        <w:t>Intussusception</w:t>
      </w:r>
    </w:p>
    <w:p w14:paraId="670360DA" w14:textId="54FA4F4A" w:rsidR="000A3AA8" w:rsidRPr="000A3AA8" w:rsidRDefault="000A3AA8" w:rsidP="000A3AA8">
      <w:pPr>
        <w:pStyle w:val="ListParagraph"/>
        <w:numPr>
          <w:ilvl w:val="0"/>
          <w:numId w:val="34"/>
        </w:numPr>
        <w:rPr>
          <w:lang w:val="en-GB"/>
        </w:rPr>
      </w:pPr>
      <w:r w:rsidRPr="000A3AA8">
        <w:rPr>
          <w:lang w:val="en-GB"/>
        </w:rPr>
        <w:t>Bowel obstruction from other causes</w:t>
      </w:r>
    </w:p>
    <w:p w14:paraId="01222B76" w14:textId="7D5C97AC" w:rsidR="00F03F25" w:rsidRDefault="001203AE" w:rsidP="002A2856">
      <w:pPr>
        <w:pStyle w:val="Heading2"/>
        <w:rPr>
          <w:rFonts w:cs="Arial"/>
          <w:szCs w:val="22"/>
          <w:lang w:val="en-GB"/>
        </w:rPr>
      </w:pPr>
      <w:r w:rsidRPr="000A3AA8">
        <w:rPr>
          <w:rFonts w:cs="Arial"/>
          <w:szCs w:val="22"/>
          <w:lang w:val="en-GB"/>
        </w:rPr>
        <w:t xml:space="preserve">Management </w:t>
      </w:r>
      <w:r w:rsidR="008328D4">
        <w:rPr>
          <w:rFonts w:cs="Arial"/>
          <w:szCs w:val="22"/>
          <w:lang w:val="en-GB"/>
        </w:rPr>
        <w:t>in Gate clinic</w:t>
      </w:r>
    </w:p>
    <w:p w14:paraId="4FBE2A1D" w14:textId="201298F1" w:rsidR="008328D4" w:rsidRDefault="008328D4" w:rsidP="008328D4">
      <w:pPr>
        <w:rPr>
          <w:lang w:val="en-GB"/>
        </w:rPr>
      </w:pPr>
      <w:r>
        <w:rPr>
          <w:lang w:bidi="th-TH"/>
        </w:rPr>
        <w:t xml:space="preserve">Treat patients with some dehydration with ORS. Give 50-100 ml/kg over 4 hours to replace the existing deficit. </w:t>
      </w:r>
    </w:p>
    <w:p w14:paraId="4D626B4F" w14:textId="77777777" w:rsidR="008328D4" w:rsidRDefault="008328D4" w:rsidP="008328D4">
      <w:pPr>
        <w:rPr>
          <w:lang w:val="en-GB"/>
        </w:rPr>
      </w:pPr>
      <w:r>
        <w:rPr>
          <w:lang w:val="en-GB"/>
        </w:rPr>
        <w:t xml:space="preserve">If patient cannot drink the prescribed ORS, the diarrhoea losses are large or they fail to improve with the ORS, then </w:t>
      </w:r>
      <w:r w:rsidRPr="00BF3226">
        <w:rPr>
          <w:lang w:val="en-GB"/>
        </w:rPr>
        <w:t>refer</w:t>
      </w:r>
      <w:r>
        <w:rPr>
          <w:lang w:val="en-GB"/>
        </w:rPr>
        <w:t xml:space="preserve"> to the doctor.</w:t>
      </w:r>
    </w:p>
    <w:p w14:paraId="53BB8832" w14:textId="77777777" w:rsidR="008328D4" w:rsidRDefault="008328D4" w:rsidP="008328D4">
      <w:pPr>
        <w:rPr>
          <w:lang w:val="en-GB"/>
        </w:rPr>
      </w:pPr>
      <w:r>
        <w:rPr>
          <w:lang w:val="en-GB"/>
        </w:rPr>
        <w:t>If the patient improves, prescribe further ORS for the rest of the day. Advise them to make up sugar-salt-solution the next day. If the diarrhoea persists after this, tell them to return to the clinic.</w:t>
      </w:r>
    </w:p>
    <w:p w14:paraId="25EE8DC0" w14:textId="77777777" w:rsidR="008328D4" w:rsidRPr="000A3AA8" w:rsidRDefault="008328D4" w:rsidP="008328D4">
      <w:pPr>
        <w:pStyle w:val="Heading3"/>
        <w:rPr>
          <w:lang w:val="en-GB"/>
        </w:rPr>
      </w:pPr>
      <w:r w:rsidRPr="000A3AA8">
        <w:rPr>
          <w:lang w:val="en-GB"/>
        </w:rPr>
        <w:lastRenderedPageBreak/>
        <w:t xml:space="preserve">Acute watery diarrhoea with </w:t>
      </w:r>
      <w:r>
        <w:rPr>
          <w:lang w:val="en-GB"/>
        </w:rPr>
        <w:t xml:space="preserve">or without </w:t>
      </w:r>
      <w:r w:rsidRPr="000A3AA8">
        <w:rPr>
          <w:lang w:val="en-GB"/>
        </w:rPr>
        <w:t>vomiting</w:t>
      </w:r>
    </w:p>
    <w:p w14:paraId="4BC0CE53" w14:textId="385813EC" w:rsidR="008328D4" w:rsidRPr="000A3AA8" w:rsidRDefault="008328D4" w:rsidP="008328D4">
      <w:pPr>
        <w:rPr>
          <w:lang w:val="en-GB" w:bidi="th-TH"/>
        </w:rPr>
      </w:pPr>
      <w:r w:rsidRPr="000A3AA8">
        <w:rPr>
          <w:lang w:val="en-GB" w:bidi="th-TH"/>
        </w:rPr>
        <w:t>Give zinc supplements to all children for 10-14 days in a dose of 20</w:t>
      </w:r>
      <w:r w:rsidR="00C472DF">
        <w:rPr>
          <w:lang w:val="en-GB" w:bidi="th-TH"/>
        </w:rPr>
        <w:t xml:space="preserve"> </w:t>
      </w:r>
      <w:r w:rsidRPr="000A3AA8">
        <w:rPr>
          <w:lang w:val="en-GB" w:bidi="th-TH"/>
        </w:rPr>
        <w:t xml:space="preserve">mg/day for those aged 6 months and above and 10mg/day for those aged under 6 months. </w:t>
      </w:r>
    </w:p>
    <w:p w14:paraId="3EB81C3F" w14:textId="77777777" w:rsidR="008328D4" w:rsidRPr="000A3AA8" w:rsidRDefault="008328D4" w:rsidP="008328D4">
      <w:pPr>
        <w:rPr>
          <w:lang w:val="en-GB" w:bidi="th-TH"/>
        </w:rPr>
      </w:pPr>
      <w:r w:rsidRPr="000A3AA8">
        <w:rPr>
          <w:lang w:val="en-GB" w:bidi="th-TH"/>
        </w:rPr>
        <w:t>Antibiotics are not indicated unless the diarrhoea is profuse and cholera is suspected.</w:t>
      </w:r>
    </w:p>
    <w:p w14:paraId="38206B6A" w14:textId="77777777" w:rsidR="008328D4" w:rsidRPr="000A3AA8" w:rsidRDefault="008328D4" w:rsidP="008328D4">
      <w:pPr>
        <w:pStyle w:val="Heading3"/>
        <w:rPr>
          <w:lang w:val="en-GB" w:bidi="th-TH"/>
        </w:rPr>
      </w:pPr>
      <w:r w:rsidRPr="000A3AA8">
        <w:rPr>
          <w:lang w:val="en-GB" w:bidi="th-TH"/>
        </w:rPr>
        <w:t>Dysentery with</w:t>
      </w:r>
      <w:r>
        <w:rPr>
          <w:lang w:val="en-GB" w:bidi="th-TH"/>
        </w:rPr>
        <w:t xml:space="preserve"> or without</w:t>
      </w:r>
      <w:r w:rsidRPr="000A3AA8">
        <w:rPr>
          <w:lang w:val="en-GB" w:bidi="th-TH"/>
        </w:rPr>
        <w:t xml:space="preserve"> vomiting </w:t>
      </w:r>
    </w:p>
    <w:p w14:paraId="4EC582C5" w14:textId="77777777" w:rsidR="008328D4" w:rsidRPr="000A3AA8" w:rsidRDefault="008328D4" w:rsidP="008328D4">
      <w:pPr>
        <w:rPr>
          <w:i/>
          <w:lang w:val="en-GB" w:bidi="th-TH"/>
        </w:rPr>
      </w:pPr>
      <w:r w:rsidRPr="000A3AA8">
        <w:rPr>
          <w:lang w:val="en-GB" w:bidi="th-TH"/>
        </w:rPr>
        <w:t>This is most commonly caused by shigella. It should be treated with ciprofloxacin 20 mg/kg up to 500 mg BD for 5 days.</w:t>
      </w:r>
    </w:p>
    <w:p w14:paraId="0A36A16D" w14:textId="77777777" w:rsidR="008328D4" w:rsidRPr="000A3AA8" w:rsidRDefault="008328D4" w:rsidP="008328D4">
      <w:pPr>
        <w:rPr>
          <w:lang w:val="en-GB"/>
        </w:rPr>
      </w:pPr>
      <w:r w:rsidRPr="000A3AA8">
        <w:rPr>
          <w:lang w:val="en-GB" w:bidi="th-TH"/>
        </w:rPr>
        <w:t>If there is no response after 48 hours, then the possibility of amoebic dysentery should be considered. Give metronidazole 15 mg/kg up to 500 mg TDS for 7-10 days.</w:t>
      </w:r>
    </w:p>
    <w:p w14:paraId="7CFA0D8E" w14:textId="0090BE35" w:rsidR="008328D4" w:rsidRPr="008328D4" w:rsidRDefault="008328D4" w:rsidP="008328D4">
      <w:pPr>
        <w:pStyle w:val="Heading2"/>
        <w:rPr>
          <w:lang w:val="en-GB"/>
        </w:rPr>
      </w:pPr>
      <w:r>
        <w:rPr>
          <w:lang w:val="en-GB"/>
        </w:rPr>
        <w:t>Management in OPD or on the ward</w:t>
      </w:r>
    </w:p>
    <w:p w14:paraId="3FAD52FD" w14:textId="4E819C8F" w:rsidR="000A3AA8" w:rsidRPr="000A3AA8" w:rsidRDefault="000A3AA8" w:rsidP="000A3AA8">
      <w:pPr>
        <w:rPr>
          <w:lang w:val="en-GB"/>
        </w:rPr>
      </w:pPr>
      <w:r>
        <w:rPr>
          <w:lang w:val="en-GB"/>
        </w:rPr>
        <w:t xml:space="preserve">See flow chart for </w:t>
      </w:r>
      <w:r w:rsidR="008328D4">
        <w:rPr>
          <w:lang w:val="en-GB"/>
        </w:rPr>
        <w:t>quick reference.</w:t>
      </w:r>
    </w:p>
    <w:p w14:paraId="1018C5F8" w14:textId="77777777" w:rsidR="000A3AA8" w:rsidRPr="000A3AA8" w:rsidRDefault="000A3AA8" w:rsidP="000A3AA8">
      <w:pPr>
        <w:pStyle w:val="Heading3"/>
        <w:rPr>
          <w:lang w:val="en-GB"/>
        </w:rPr>
      </w:pPr>
      <w:r w:rsidRPr="000A3AA8">
        <w:rPr>
          <w:lang w:val="en-GB"/>
        </w:rPr>
        <w:t>Rehydration</w:t>
      </w:r>
    </w:p>
    <w:p w14:paraId="64F7EF9F" w14:textId="7A89B605" w:rsidR="000A3AA8" w:rsidRPr="000A3AA8" w:rsidRDefault="000A3AA8" w:rsidP="000A3AA8">
      <w:pPr>
        <w:rPr>
          <w:b/>
          <w:lang w:val="en-GB"/>
        </w:rPr>
      </w:pPr>
      <w:r w:rsidRPr="000A3AA8">
        <w:rPr>
          <w:lang w:val="en-GB"/>
        </w:rPr>
        <w:t>All patients with dehydration must be rehydrated.</w:t>
      </w:r>
    </w:p>
    <w:p w14:paraId="16B0918A" w14:textId="2FA74F67" w:rsidR="000A3AA8" w:rsidRPr="000A3AA8" w:rsidRDefault="000A3AA8" w:rsidP="000A3AA8">
      <w:pPr>
        <w:rPr>
          <w:lang w:val="en-GB" w:bidi="th-TH"/>
        </w:rPr>
      </w:pPr>
      <w:r w:rsidRPr="000A3AA8">
        <w:rPr>
          <w:b/>
          <w:i/>
          <w:lang w:val="en-GB" w:bidi="th-TH"/>
        </w:rPr>
        <w:t>Treat all patients with severe dehydration with iv fluids.</w:t>
      </w:r>
      <w:r w:rsidRPr="000A3AA8">
        <w:rPr>
          <w:lang w:val="en-GB" w:bidi="th-TH"/>
        </w:rPr>
        <w:t xml:space="preserve"> ORS should be started at the same time unless the patient is vomiting. Give a 30 ml/kg bolus of Ringer’s lactate over 30 minutes. Follow this in children with a further 70 ml/kg infusion of Ringer’s lactate over 2.5 hours. Give adults a further 100 ml/kg over the next 4 hours.</w:t>
      </w:r>
    </w:p>
    <w:p w14:paraId="0ECC0865" w14:textId="6CDB8E9D" w:rsidR="000A3AA8" w:rsidRDefault="000A3AA8" w:rsidP="000A3AA8">
      <w:pPr>
        <w:rPr>
          <w:lang w:val="en-GB" w:bidi="th-TH"/>
        </w:rPr>
      </w:pPr>
      <w:r w:rsidRPr="000A3AA8">
        <w:rPr>
          <w:lang w:val="en-GB" w:bidi="th-TH"/>
        </w:rPr>
        <w:t xml:space="preserve">Treat patients with some dehydration with ORS. Give 50-100 ml/kg over 4 hours to replace the existing deficit. Add extra fluid by measuring ongoing losses and replacing ml for ml. </w:t>
      </w:r>
    </w:p>
    <w:p w14:paraId="3DFB09D5" w14:textId="4EB43BD3" w:rsidR="008328D4" w:rsidRDefault="008328D4" w:rsidP="008328D4">
      <w:pPr>
        <w:pStyle w:val="Heading3"/>
        <w:rPr>
          <w:lang w:val="en-GB"/>
        </w:rPr>
      </w:pPr>
      <w:r>
        <w:rPr>
          <w:lang w:val="en-GB"/>
        </w:rPr>
        <w:t>Acute watery diarrhoea or dysentery with or without vomiting</w:t>
      </w:r>
    </w:p>
    <w:p w14:paraId="7367E098" w14:textId="44AC4DD5" w:rsidR="008328D4" w:rsidRPr="000A3AA8" w:rsidRDefault="008328D4" w:rsidP="000A3AA8">
      <w:pPr>
        <w:rPr>
          <w:szCs w:val="22"/>
          <w:lang w:val="en-GB"/>
        </w:rPr>
      </w:pPr>
      <w:r>
        <w:rPr>
          <w:szCs w:val="22"/>
          <w:lang w:val="en-GB"/>
        </w:rPr>
        <w:t>Treat as described for Gate clinic above</w:t>
      </w:r>
    </w:p>
    <w:p w14:paraId="0D8E1BF6" w14:textId="1FD35EDF" w:rsidR="000A3AA8" w:rsidRPr="000A3AA8" w:rsidRDefault="000A3AA8" w:rsidP="000A3AA8">
      <w:pPr>
        <w:pStyle w:val="Heading3"/>
        <w:rPr>
          <w:lang w:val="en-GB" w:bidi="th-TH"/>
        </w:rPr>
      </w:pPr>
      <w:r w:rsidRPr="000A3AA8">
        <w:rPr>
          <w:lang w:val="en-GB" w:bidi="th-TH"/>
        </w:rPr>
        <w:t>Persistent diarrhoea and vomiting in patients with HIV</w:t>
      </w:r>
    </w:p>
    <w:p w14:paraId="7BE05A30" w14:textId="784A863E" w:rsidR="000A3AA8" w:rsidRPr="000A3AA8" w:rsidRDefault="000A3AA8" w:rsidP="000A3AA8">
      <w:pPr>
        <w:rPr>
          <w:lang w:val="en-GB" w:bidi="th-TH"/>
        </w:rPr>
      </w:pPr>
      <w:r w:rsidRPr="000A3AA8">
        <w:rPr>
          <w:lang w:val="en-GB" w:bidi="th-TH"/>
        </w:rPr>
        <w:t>This is most commonly caused by an infection, although other possibilities should be considered. Infectious causes include all the usual enteric bacteria, viruses and protozoa such as cryptosporidium. Abdominal TB and HIV itself can cause diarrhoea, as can infiltrative conditions such as lymphoma and Kaposi’s sarcoma.</w:t>
      </w:r>
    </w:p>
    <w:p w14:paraId="68F0E8A8" w14:textId="54367E8B" w:rsidR="000A3AA8" w:rsidRPr="000A3AA8" w:rsidRDefault="000A3AA8" w:rsidP="000A3AA8">
      <w:pPr>
        <w:rPr>
          <w:lang w:val="en-GB" w:bidi="th-TH"/>
        </w:rPr>
      </w:pPr>
      <w:r w:rsidRPr="000A3AA8">
        <w:rPr>
          <w:lang w:val="en-GB" w:bidi="th-TH"/>
        </w:rPr>
        <w:t>Begin by assuming a bacterial or parasitic cause. After sending a stool culture, treat with Metronidazole 10 mg/kg up to 500 mg TDS for 7 days and Chloramphenicol 12.5</w:t>
      </w:r>
      <w:r>
        <w:rPr>
          <w:lang w:val="en-GB" w:bidi="th-TH"/>
        </w:rPr>
        <w:t xml:space="preserve"> </w:t>
      </w:r>
      <w:r w:rsidRPr="000A3AA8">
        <w:rPr>
          <w:lang w:val="en-GB" w:bidi="th-TH"/>
        </w:rPr>
        <w:t>mg/kg up to 500</w:t>
      </w:r>
      <w:r>
        <w:rPr>
          <w:lang w:val="en-GB" w:bidi="th-TH"/>
        </w:rPr>
        <w:t xml:space="preserve"> </w:t>
      </w:r>
      <w:r w:rsidRPr="000A3AA8">
        <w:rPr>
          <w:lang w:val="en-GB" w:bidi="th-TH"/>
        </w:rPr>
        <w:t>mg QDS for 7 days. High dose septrin can be used as an alternative to Chloramphenicol for patients not on septrin prophylaxis. The dose is 48</w:t>
      </w:r>
      <w:r>
        <w:rPr>
          <w:lang w:val="en-GB" w:bidi="th-TH"/>
        </w:rPr>
        <w:t xml:space="preserve"> </w:t>
      </w:r>
      <w:r w:rsidRPr="000A3AA8">
        <w:rPr>
          <w:lang w:val="en-GB" w:bidi="th-TH"/>
        </w:rPr>
        <w:t>mg/kg (max 1920</w:t>
      </w:r>
      <w:r>
        <w:rPr>
          <w:lang w:val="en-GB" w:bidi="th-TH"/>
        </w:rPr>
        <w:t xml:space="preserve"> </w:t>
      </w:r>
      <w:r w:rsidRPr="000A3AA8">
        <w:rPr>
          <w:lang w:val="en-GB" w:bidi="th-TH"/>
        </w:rPr>
        <w:t>mg) BD for 2 weeks, followed by 24</w:t>
      </w:r>
      <w:r>
        <w:rPr>
          <w:lang w:val="en-GB" w:bidi="th-TH"/>
        </w:rPr>
        <w:t xml:space="preserve"> </w:t>
      </w:r>
      <w:r w:rsidRPr="000A3AA8">
        <w:rPr>
          <w:lang w:val="en-GB" w:bidi="th-TH"/>
        </w:rPr>
        <w:t>mg/kg (max 960</w:t>
      </w:r>
      <w:r>
        <w:rPr>
          <w:lang w:val="en-GB" w:bidi="th-TH"/>
        </w:rPr>
        <w:t xml:space="preserve"> </w:t>
      </w:r>
      <w:r w:rsidRPr="000A3AA8">
        <w:rPr>
          <w:lang w:val="en-GB" w:bidi="th-TH"/>
        </w:rPr>
        <w:t>mg) BD for another 3 weeks.</w:t>
      </w:r>
    </w:p>
    <w:p w14:paraId="7D1A73BB" w14:textId="51663F82" w:rsidR="000A3AA8" w:rsidRPr="000A3AA8" w:rsidRDefault="000A3AA8" w:rsidP="000A3AA8">
      <w:pPr>
        <w:rPr>
          <w:lang w:val="en-GB" w:bidi="th-TH"/>
        </w:rPr>
      </w:pPr>
      <w:r w:rsidRPr="000A3AA8">
        <w:rPr>
          <w:lang w:val="en-GB" w:bidi="th-TH"/>
        </w:rPr>
        <w:t>If the diarrhoea has been present for more than 2 weeks, then also add albendazole 7.5</w:t>
      </w:r>
      <w:r>
        <w:rPr>
          <w:lang w:val="en-GB" w:bidi="th-TH"/>
        </w:rPr>
        <w:t xml:space="preserve"> </w:t>
      </w:r>
      <w:r w:rsidRPr="000A3AA8">
        <w:rPr>
          <w:lang w:val="en-GB" w:bidi="th-TH"/>
        </w:rPr>
        <w:t>mg/kg up to 400</w:t>
      </w:r>
      <w:r>
        <w:rPr>
          <w:lang w:val="en-GB" w:bidi="th-TH"/>
        </w:rPr>
        <w:t xml:space="preserve"> </w:t>
      </w:r>
      <w:r w:rsidRPr="000A3AA8">
        <w:rPr>
          <w:lang w:val="en-GB" w:bidi="th-TH"/>
        </w:rPr>
        <w:t>mg BD for 3 days. Then repeat this treatment after 2 weeks.</w:t>
      </w:r>
    </w:p>
    <w:p w14:paraId="7AD6D30D" w14:textId="5A9F49F9" w:rsidR="000A3AA8" w:rsidRPr="000A3AA8" w:rsidRDefault="000A3AA8" w:rsidP="000A3AA8">
      <w:pPr>
        <w:rPr>
          <w:lang w:val="en-GB" w:bidi="th-TH"/>
        </w:rPr>
      </w:pPr>
      <w:r w:rsidRPr="000A3AA8">
        <w:rPr>
          <w:lang w:val="en-GB" w:bidi="th-TH"/>
        </w:rPr>
        <w:t>Refer the patient to an ART centre to ensure they are assessed and started on treatment. Encourage the patient to eat nutritious meals on a frequent basis.</w:t>
      </w:r>
    </w:p>
    <w:p w14:paraId="1E6B9F52" w14:textId="77777777" w:rsidR="000A3AA8" w:rsidRPr="000A3AA8" w:rsidRDefault="000A3AA8" w:rsidP="000A3AA8">
      <w:pPr>
        <w:rPr>
          <w:lang w:val="en-GB" w:bidi="th-TH"/>
        </w:rPr>
      </w:pPr>
      <w:r w:rsidRPr="000A3AA8">
        <w:rPr>
          <w:lang w:val="en-GB" w:bidi="th-TH"/>
        </w:rPr>
        <w:t xml:space="preserve">If diarrhoea persists after this, consider an alternative cause. Is there evidence of abdominal TB, lymphoma or KS? </w:t>
      </w:r>
    </w:p>
    <w:p w14:paraId="21CBE189" w14:textId="77777777" w:rsidR="000A3AA8" w:rsidRPr="000A3AA8" w:rsidRDefault="000A3AA8" w:rsidP="000A3AA8">
      <w:pPr>
        <w:rPr>
          <w:lang w:val="en-GB" w:bidi="th-TH"/>
        </w:rPr>
      </w:pPr>
      <w:r w:rsidRPr="000A3AA8">
        <w:rPr>
          <w:lang w:val="en-GB" w:bidi="th-TH"/>
        </w:rPr>
        <w:t>Refer to a gastroenterologist for further management.</w:t>
      </w:r>
    </w:p>
    <w:p w14:paraId="15587C65" w14:textId="77777777" w:rsidR="000A3AA8" w:rsidRDefault="000A3AA8" w:rsidP="000A3AA8">
      <w:pPr>
        <w:pStyle w:val="Heading3"/>
        <w:rPr>
          <w:lang w:val="en-GB" w:bidi="th-TH"/>
        </w:rPr>
      </w:pPr>
      <w:r w:rsidRPr="000A3AA8">
        <w:rPr>
          <w:lang w:val="en-GB" w:bidi="th-TH"/>
        </w:rPr>
        <w:lastRenderedPageBreak/>
        <w:t>Persistent diarrh</w:t>
      </w:r>
      <w:r>
        <w:rPr>
          <w:lang w:val="en-GB" w:bidi="th-TH"/>
        </w:rPr>
        <w:t>o</w:t>
      </w:r>
      <w:r w:rsidRPr="000A3AA8">
        <w:rPr>
          <w:lang w:val="en-GB" w:bidi="th-TH"/>
        </w:rPr>
        <w:t xml:space="preserve">ea and vomiting in children </w:t>
      </w:r>
    </w:p>
    <w:p w14:paraId="259808F5" w14:textId="6A4D8957" w:rsidR="000A3AA8" w:rsidRPr="000A3AA8" w:rsidRDefault="000A3AA8" w:rsidP="000A3AA8">
      <w:pPr>
        <w:rPr>
          <w:lang w:val="en-GB" w:bidi="th-TH"/>
        </w:rPr>
      </w:pPr>
      <w:r>
        <w:rPr>
          <w:lang w:val="en-GB" w:bidi="th-TH"/>
        </w:rPr>
        <w:t xml:space="preserve">This </w:t>
      </w:r>
      <w:r w:rsidRPr="000A3AA8">
        <w:rPr>
          <w:lang w:val="en-GB" w:bidi="th-TH"/>
        </w:rPr>
        <w:t>is most commonly infectious in origin. There are a number of different mechanisms</w:t>
      </w:r>
      <w:r>
        <w:rPr>
          <w:lang w:val="en-GB" w:bidi="th-TH"/>
        </w:rPr>
        <w:t xml:space="preserve"> for the persistence</w:t>
      </w:r>
      <w:r w:rsidRPr="000A3AA8">
        <w:rPr>
          <w:lang w:val="en-GB" w:bidi="th-TH"/>
        </w:rPr>
        <w:t>:</w:t>
      </w:r>
    </w:p>
    <w:p w14:paraId="549C5DB8" w14:textId="77777777" w:rsidR="000A3AA8" w:rsidRPr="000A3AA8" w:rsidRDefault="000A3AA8" w:rsidP="000A3AA8">
      <w:pPr>
        <w:pStyle w:val="ListParagraph"/>
        <w:numPr>
          <w:ilvl w:val="0"/>
          <w:numId w:val="36"/>
        </w:numPr>
        <w:rPr>
          <w:lang w:val="en-GB" w:bidi="th-TH"/>
        </w:rPr>
      </w:pPr>
      <w:r w:rsidRPr="000A3AA8">
        <w:rPr>
          <w:lang w:val="en-GB" w:bidi="th-TH"/>
        </w:rPr>
        <w:t>the infection is difficult to clear</w:t>
      </w:r>
    </w:p>
    <w:p w14:paraId="0DC436F6" w14:textId="77777777" w:rsidR="000A3AA8" w:rsidRPr="000A3AA8" w:rsidRDefault="000A3AA8" w:rsidP="000A3AA8">
      <w:pPr>
        <w:pStyle w:val="ListParagraph"/>
        <w:numPr>
          <w:ilvl w:val="0"/>
          <w:numId w:val="36"/>
        </w:numPr>
        <w:rPr>
          <w:lang w:val="en-GB" w:bidi="th-TH"/>
        </w:rPr>
      </w:pPr>
      <w:r w:rsidRPr="000A3AA8">
        <w:rPr>
          <w:lang w:val="en-GB" w:bidi="th-TH"/>
        </w:rPr>
        <w:t>there is secondary damage to the intestine such as lactulose intolerance or antibiotic-associated diarrhoea</w:t>
      </w:r>
    </w:p>
    <w:p w14:paraId="3B7D2A0C" w14:textId="77777777" w:rsidR="000A3AA8" w:rsidRPr="000A3AA8" w:rsidRDefault="000A3AA8" w:rsidP="000A3AA8">
      <w:pPr>
        <w:pStyle w:val="ListParagraph"/>
        <w:numPr>
          <w:ilvl w:val="0"/>
          <w:numId w:val="36"/>
        </w:numPr>
        <w:rPr>
          <w:lang w:val="en-GB" w:bidi="th-TH"/>
        </w:rPr>
      </w:pPr>
      <w:r w:rsidRPr="000A3AA8">
        <w:rPr>
          <w:lang w:val="en-GB" w:bidi="th-TH"/>
        </w:rPr>
        <w:t>intestinal healing is delayed by specific deficiencies or malnutrition</w:t>
      </w:r>
    </w:p>
    <w:p w14:paraId="4BC2EE6B" w14:textId="77777777" w:rsidR="000A3AA8" w:rsidRPr="000A3AA8" w:rsidRDefault="000A3AA8" w:rsidP="000A3AA8">
      <w:pPr>
        <w:pStyle w:val="ListParagraph"/>
        <w:numPr>
          <w:ilvl w:val="0"/>
          <w:numId w:val="36"/>
        </w:numPr>
        <w:rPr>
          <w:lang w:val="en-GB" w:bidi="th-TH"/>
        </w:rPr>
      </w:pPr>
      <w:r w:rsidRPr="000A3AA8">
        <w:rPr>
          <w:lang w:val="en-GB" w:bidi="th-TH"/>
        </w:rPr>
        <w:t>there are multiple acute infections with different agents mimicking persistent diarrhoea.</w:t>
      </w:r>
    </w:p>
    <w:p w14:paraId="10415378" w14:textId="77777777" w:rsidR="000A3AA8" w:rsidRPr="000A3AA8" w:rsidRDefault="000A3AA8" w:rsidP="000A3AA8">
      <w:pPr>
        <w:rPr>
          <w:lang w:val="en-GB" w:bidi="th-TH"/>
        </w:rPr>
      </w:pPr>
      <w:r w:rsidRPr="000A3AA8">
        <w:rPr>
          <w:lang w:val="en-GB" w:bidi="th-TH"/>
        </w:rPr>
        <w:t>Malnutrition may also itself cause chronic diarrhoea which may be associated with allergic enteropathy and small bowel bacterial overgrowth.</w:t>
      </w:r>
    </w:p>
    <w:p w14:paraId="352BD8D8" w14:textId="77777777" w:rsidR="000A3AA8" w:rsidRPr="000A3AA8" w:rsidRDefault="000A3AA8" w:rsidP="000A3AA8">
      <w:pPr>
        <w:rPr>
          <w:lang w:val="en-GB" w:bidi="th-TH"/>
        </w:rPr>
      </w:pPr>
      <w:r w:rsidRPr="000A3AA8">
        <w:rPr>
          <w:lang w:val="en-GB" w:bidi="th-TH"/>
        </w:rPr>
        <w:t>Treat as for acute watery diarrhoea, but with extra concern for nutritional status. Give multivitamins for 2 weeks. Advise the carer to avoid giving milk-based products until the diarrhoea has resolved and to feed the child little and often.</w:t>
      </w:r>
    </w:p>
    <w:p w14:paraId="6E2A9D6C" w14:textId="77777777" w:rsidR="000A3AA8" w:rsidRPr="000A3AA8" w:rsidRDefault="000A3AA8" w:rsidP="000A3AA8">
      <w:pPr>
        <w:rPr>
          <w:lang w:val="en-GB" w:bidi="th-TH"/>
        </w:rPr>
      </w:pPr>
      <w:r w:rsidRPr="000A3AA8">
        <w:rPr>
          <w:lang w:val="en-GB" w:bidi="th-TH"/>
        </w:rPr>
        <w:t>If the diarrhoea fails to respond to these measures, do not use loperamide or other anti-diarrhoeal agents. Refer to a paediatrician for further assessment.</w:t>
      </w:r>
    </w:p>
    <w:p w14:paraId="6E2D976A" w14:textId="77777777" w:rsidR="000A3AA8" w:rsidRDefault="000A3AA8" w:rsidP="000A3AA8">
      <w:pPr>
        <w:pStyle w:val="Heading3"/>
        <w:rPr>
          <w:lang w:val="en-GB" w:bidi="th-TH"/>
        </w:rPr>
      </w:pPr>
      <w:r w:rsidRPr="000A3AA8">
        <w:rPr>
          <w:lang w:val="en-GB" w:bidi="th-TH"/>
        </w:rPr>
        <w:t xml:space="preserve">Persistent diarrhoea and vomiting in adults </w:t>
      </w:r>
    </w:p>
    <w:p w14:paraId="73E638F5" w14:textId="51852CAD" w:rsidR="000A3AA8" w:rsidRPr="000A3AA8" w:rsidRDefault="000A3AA8" w:rsidP="000A3AA8">
      <w:pPr>
        <w:rPr>
          <w:lang w:val="en-GB" w:bidi="th-TH"/>
        </w:rPr>
      </w:pPr>
      <w:r>
        <w:rPr>
          <w:lang w:val="en-GB" w:bidi="th-TH"/>
        </w:rPr>
        <w:t xml:space="preserve">This </w:t>
      </w:r>
      <w:r w:rsidRPr="000A3AA8">
        <w:rPr>
          <w:lang w:val="en-GB" w:bidi="th-TH"/>
        </w:rPr>
        <w:t>may also be caused by a persistent pathogen, however, other causes may need to be considered – most patients are likely to have been treated with antibiotics prior to presenting to us.</w:t>
      </w:r>
    </w:p>
    <w:p w14:paraId="6224119A" w14:textId="7D0FD8DD" w:rsidR="000A3AA8" w:rsidRPr="000A3AA8" w:rsidRDefault="000A3AA8" w:rsidP="000A3AA8">
      <w:pPr>
        <w:rPr>
          <w:lang w:val="en-GB" w:bidi="th-TH"/>
        </w:rPr>
      </w:pPr>
      <w:r w:rsidRPr="000A3AA8">
        <w:rPr>
          <w:lang w:val="en-GB" w:bidi="th-TH"/>
        </w:rPr>
        <w:t>Consider the possibility of difficult to treat infections and send stools for MC&amp;S prior to further treatment. If the patient has been given many courses of antibiotics, antibiotic-associated diarrhoea may be the cause. This is best treated with a 2 week course of metronidazole (500</w:t>
      </w:r>
      <w:r>
        <w:rPr>
          <w:lang w:val="en-GB" w:bidi="th-TH"/>
        </w:rPr>
        <w:t xml:space="preserve"> </w:t>
      </w:r>
      <w:r w:rsidRPr="000A3AA8">
        <w:rPr>
          <w:lang w:val="en-GB" w:bidi="th-TH"/>
        </w:rPr>
        <w:t>mg TDS).</w:t>
      </w:r>
    </w:p>
    <w:p w14:paraId="1CC431DD" w14:textId="77777777" w:rsidR="000A3AA8" w:rsidRPr="000A3AA8" w:rsidRDefault="000A3AA8" w:rsidP="000A3AA8">
      <w:pPr>
        <w:rPr>
          <w:lang w:val="en-GB" w:bidi="th-TH"/>
        </w:rPr>
      </w:pPr>
      <w:r w:rsidRPr="000A3AA8">
        <w:rPr>
          <w:lang w:val="en-GB" w:bidi="th-TH"/>
        </w:rPr>
        <w:t>In other cases, refer to a gastroenterologist for further assessment.</w:t>
      </w:r>
    </w:p>
    <w:p w14:paraId="7EAFB7EC" w14:textId="23235129" w:rsidR="00243C1A" w:rsidRDefault="00243C1A" w:rsidP="008328D4">
      <w:pPr>
        <w:rPr>
          <w:lang w:val="en-GB"/>
        </w:rPr>
      </w:pPr>
      <w:r>
        <w:rPr>
          <w:noProof/>
          <w:lang w:val="en-GB" w:eastAsia="en-GB"/>
        </w:rPr>
        <w:lastRenderedPageBreak/>
        <w:drawing>
          <wp:anchor distT="0" distB="0" distL="114300" distR="114300" simplePos="0" relativeHeight="251659264" behindDoc="0" locked="0" layoutInCell="1" allowOverlap="0" wp14:anchorId="42D132CE" wp14:editId="0E145BC0">
            <wp:simplePos x="1143000" y="4667250"/>
            <wp:positionH relativeFrom="margin">
              <wp:align>center</wp:align>
            </wp:positionH>
            <wp:positionV relativeFrom="margin">
              <wp:align>top</wp:align>
            </wp:positionV>
            <wp:extent cx="5490746" cy="6444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stro_image001.png"/>
                    <pic:cNvPicPr/>
                  </pic:nvPicPr>
                  <pic:blipFill>
                    <a:blip r:embed="rId7">
                      <a:extLst>
                        <a:ext uri="{28A0092B-C50C-407E-A947-70E740481C1C}">
                          <a14:useLocalDpi xmlns:a14="http://schemas.microsoft.com/office/drawing/2010/main" val="0"/>
                        </a:ext>
                      </a:extLst>
                    </a:blip>
                    <a:stretch>
                      <a:fillRect/>
                    </a:stretch>
                  </pic:blipFill>
                  <pic:spPr>
                    <a:xfrm>
                      <a:off x="0" y="0"/>
                      <a:ext cx="5490746" cy="644400"/>
                    </a:xfrm>
                    <a:prstGeom prst="rect">
                      <a:avLst/>
                    </a:prstGeom>
                  </pic:spPr>
                </pic:pic>
              </a:graphicData>
            </a:graphic>
            <wp14:sizeRelH relativeFrom="margin">
              <wp14:pctWidth>0</wp14:pctWidth>
            </wp14:sizeRelH>
            <wp14:sizeRelV relativeFrom="margin">
              <wp14:pctHeight>0</wp14:pctHeight>
            </wp14:sizeRelV>
          </wp:anchor>
        </w:drawing>
      </w:r>
      <w:r>
        <w:rPr>
          <w:noProof/>
          <w:lang w:val="en-GB" w:eastAsia="en-GB"/>
        </w:rPr>
        <w:drawing>
          <wp:inline distT="0" distB="0" distL="0" distR="0" wp14:anchorId="6DF374B5" wp14:editId="6D9D8237">
            <wp:extent cx="5486400" cy="3558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stro_image002.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558540"/>
                    </a:xfrm>
                    <a:prstGeom prst="rect">
                      <a:avLst/>
                    </a:prstGeom>
                  </pic:spPr>
                </pic:pic>
              </a:graphicData>
            </a:graphic>
          </wp:inline>
        </w:drawing>
      </w:r>
      <w:r>
        <w:rPr>
          <w:noProof/>
          <w:lang w:val="en-GB" w:eastAsia="en-GB"/>
        </w:rPr>
        <w:drawing>
          <wp:inline distT="0" distB="0" distL="0" distR="0" wp14:anchorId="03089F34" wp14:editId="57551A26">
            <wp:extent cx="5486400" cy="3525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stro_image003.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525520"/>
                    </a:xfrm>
                    <a:prstGeom prst="rect">
                      <a:avLst/>
                    </a:prstGeom>
                  </pic:spPr>
                </pic:pic>
              </a:graphicData>
            </a:graphic>
          </wp:inline>
        </w:drawing>
      </w:r>
    </w:p>
    <w:p w14:paraId="1CED4659" w14:textId="77777777" w:rsidR="00243C1A" w:rsidRDefault="00243C1A">
      <w:pPr>
        <w:spacing w:after="0"/>
        <w:outlineLvl w:val="9"/>
        <w:rPr>
          <w:lang w:val="en-GB"/>
        </w:rPr>
      </w:pPr>
      <w:r>
        <w:rPr>
          <w:lang w:val="en-GB"/>
        </w:rPr>
        <w:br w:type="page"/>
      </w:r>
    </w:p>
    <w:p w14:paraId="05AEEF69" w14:textId="77777777" w:rsidR="008328D4" w:rsidRDefault="008328D4" w:rsidP="008328D4">
      <w:pPr>
        <w:rPr>
          <w:lang w:val="en-GB"/>
        </w:rPr>
      </w:pPr>
      <w:bookmarkStart w:id="0" w:name="_GoBack"/>
      <w:bookmarkEnd w:id="0"/>
    </w:p>
    <w:p w14:paraId="7A67A79E" w14:textId="2132B561" w:rsidR="00F03F25" w:rsidRPr="000A3AA8" w:rsidRDefault="00F03F25" w:rsidP="00F03F25">
      <w:pPr>
        <w:pStyle w:val="Heading2"/>
        <w:rPr>
          <w:rFonts w:cs="Arial"/>
          <w:szCs w:val="22"/>
          <w:lang w:val="en-GB"/>
        </w:rPr>
      </w:pPr>
      <w:r w:rsidRPr="000A3AA8">
        <w:rPr>
          <w:rFonts w:cs="Arial"/>
          <w:szCs w:val="22"/>
          <w:lang w:val="en-GB"/>
        </w:rPr>
        <w:t>Key Issues for Nursing care</w:t>
      </w:r>
    </w:p>
    <w:p w14:paraId="01FEC987" w14:textId="2D1ECADE" w:rsidR="000A3AA8" w:rsidRDefault="000A3AA8" w:rsidP="000A3AA8">
      <w:pPr>
        <w:pStyle w:val="ListParagraph"/>
        <w:numPr>
          <w:ilvl w:val="0"/>
          <w:numId w:val="38"/>
        </w:numPr>
        <w:rPr>
          <w:lang w:bidi="th-TH"/>
        </w:rPr>
      </w:pPr>
      <w:r>
        <w:rPr>
          <w:lang w:bidi="th-TH"/>
        </w:rPr>
        <w:t>Ensure the patient is receiving the right fluid replacement and is taking everything as prescribed.</w:t>
      </w:r>
    </w:p>
    <w:p w14:paraId="2685F4F2" w14:textId="77777777" w:rsidR="000A3AA8" w:rsidRDefault="000A3AA8" w:rsidP="000A3AA8">
      <w:pPr>
        <w:pStyle w:val="ListParagraph"/>
        <w:numPr>
          <w:ilvl w:val="0"/>
          <w:numId w:val="38"/>
        </w:numPr>
        <w:rPr>
          <w:lang w:bidi="th-TH"/>
        </w:rPr>
      </w:pPr>
      <w:r>
        <w:rPr>
          <w:lang w:bidi="th-TH"/>
        </w:rPr>
        <w:t>Ensure that the patient or their carer informs you of all episodes of diarrhoea and vomiting and record losses – either by weighing nappies or estimating quantities.</w:t>
      </w:r>
    </w:p>
    <w:p w14:paraId="7C12A488" w14:textId="77777777" w:rsidR="000A3AA8" w:rsidRDefault="000A3AA8" w:rsidP="000A3AA8">
      <w:pPr>
        <w:pStyle w:val="ListParagraph"/>
        <w:numPr>
          <w:ilvl w:val="0"/>
          <w:numId w:val="38"/>
        </w:numPr>
        <w:rPr>
          <w:lang w:bidi="th-TH"/>
        </w:rPr>
      </w:pPr>
      <w:r>
        <w:rPr>
          <w:lang w:bidi="th-TH"/>
        </w:rPr>
        <w:t>Send stool samples prior to starting antibiotics wherever possible.</w:t>
      </w:r>
    </w:p>
    <w:p w14:paraId="723EE439" w14:textId="77777777" w:rsidR="000A3AA8" w:rsidRPr="000A3AA8" w:rsidRDefault="000A3AA8" w:rsidP="000A3AA8">
      <w:pPr>
        <w:pStyle w:val="ListParagraph"/>
        <w:numPr>
          <w:ilvl w:val="0"/>
          <w:numId w:val="38"/>
        </w:numPr>
        <w:rPr>
          <w:lang w:val="en-GB"/>
        </w:rPr>
      </w:pPr>
      <w:r w:rsidRPr="000A3AA8">
        <w:rPr>
          <w:lang w:val="en-GB"/>
        </w:rPr>
        <w:t xml:space="preserve">Ensure meticulous hand washing to decrease transmission. </w:t>
      </w:r>
    </w:p>
    <w:p w14:paraId="71C6516B" w14:textId="11596F42" w:rsidR="000A3AA8" w:rsidRPr="000A3AA8" w:rsidRDefault="000A3AA8" w:rsidP="000A3AA8">
      <w:pPr>
        <w:pStyle w:val="ListParagraph"/>
        <w:numPr>
          <w:ilvl w:val="0"/>
          <w:numId w:val="38"/>
        </w:numPr>
        <w:rPr>
          <w:lang w:val="en-GB"/>
        </w:rPr>
      </w:pPr>
      <w:r w:rsidRPr="000A3AA8">
        <w:rPr>
          <w:lang w:val="en-GB"/>
        </w:rPr>
        <w:t xml:space="preserve">If the patient is diapered and/or incontinent, tell the patient or caregiver to adhere strictly to contact precautions. </w:t>
      </w:r>
    </w:p>
    <w:p w14:paraId="602E79AB" w14:textId="2F0DEAD4" w:rsidR="000A3AA8" w:rsidRPr="000A3AA8" w:rsidRDefault="000A3AA8" w:rsidP="000A3AA8">
      <w:pPr>
        <w:pStyle w:val="ListParagraph"/>
        <w:numPr>
          <w:ilvl w:val="0"/>
          <w:numId w:val="38"/>
        </w:numPr>
        <w:rPr>
          <w:lang w:val="en-GB"/>
        </w:rPr>
      </w:pPr>
      <w:r w:rsidRPr="000A3AA8">
        <w:rPr>
          <w:lang w:val="en-GB"/>
        </w:rPr>
        <w:t>Diaper changing areas should be separate from food preparation areas.</w:t>
      </w:r>
    </w:p>
    <w:p w14:paraId="2023081D" w14:textId="03399A4C" w:rsidR="00D13825" w:rsidRPr="008328D4" w:rsidRDefault="000A3AA8" w:rsidP="008328D4">
      <w:pPr>
        <w:pStyle w:val="ListParagraph"/>
        <w:numPr>
          <w:ilvl w:val="0"/>
          <w:numId w:val="38"/>
        </w:numPr>
        <w:rPr>
          <w:lang w:val="en-GB"/>
        </w:rPr>
      </w:pPr>
      <w:r w:rsidRPr="000A3AA8">
        <w:rPr>
          <w:lang w:val="en-GB"/>
        </w:rPr>
        <w:t>Chlorine­based disinfectants inactivate rotavirus and may prevent disease transmission from contact with environmental surfaces.</w:t>
      </w:r>
    </w:p>
    <w:p w14:paraId="7AFB0398" w14:textId="77777777" w:rsidR="00F03F25" w:rsidRPr="000A3AA8" w:rsidRDefault="00F03F25" w:rsidP="00F03F25">
      <w:pPr>
        <w:pStyle w:val="Heading2"/>
        <w:rPr>
          <w:rFonts w:cs="Arial"/>
          <w:szCs w:val="22"/>
          <w:lang w:val="en-GB"/>
        </w:rPr>
      </w:pPr>
      <w:r w:rsidRPr="000A3AA8">
        <w:rPr>
          <w:rFonts w:cs="Arial"/>
          <w:szCs w:val="22"/>
          <w:lang w:val="en-GB"/>
        </w:rPr>
        <w:t>References</w:t>
      </w:r>
    </w:p>
    <w:p w14:paraId="0A977575" w14:textId="77777777" w:rsidR="000A3AA8" w:rsidRPr="000A3AA8" w:rsidRDefault="000A3AA8" w:rsidP="000A3AA8">
      <w:pPr>
        <w:rPr>
          <w:sz w:val="20"/>
          <w:szCs w:val="20"/>
        </w:rPr>
      </w:pPr>
      <w:r w:rsidRPr="000A3AA8">
        <w:rPr>
          <w:sz w:val="20"/>
          <w:szCs w:val="20"/>
        </w:rPr>
        <w:t>LaRocque and Pietroni 2017. Approach to the adult with acute diarrhea in resource-limited countries. UpToDate May 2017.</w:t>
      </w:r>
    </w:p>
    <w:p w14:paraId="6F81BC4D" w14:textId="77777777" w:rsidR="000A3AA8" w:rsidRPr="000A3AA8" w:rsidRDefault="000A3AA8" w:rsidP="000A3AA8">
      <w:pPr>
        <w:rPr>
          <w:sz w:val="20"/>
          <w:szCs w:val="20"/>
        </w:rPr>
      </w:pPr>
      <w:r w:rsidRPr="000A3AA8">
        <w:rPr>
          <w:sz w:val="20"/>
          <w:szCs w:val="20"/>
        </w:rPr>
        <w:t>Harris and Pietroni 2017. Approach to the child with acute diarrhea in resource-limited countries. UpToDate Mar 2017.</w:t>
      </w:r>
    </w:p>
    <w:p w14:paraId="5F21DC05" w14:textId="77777777" w:rsidR="000A3AA8" w:rsidRPr="000A3AA8" w:rsidRDefault="000A3AA8" w:rsidP="000A3AA8">
      <w:pPr>
        <w:rPr>
          <w:sz w:val="20"/>
          <w:szCs w:val="20"/>
        </w:rPr>
      </w:pPr>
      <w:r w:rsidRPr="000A3AA8">
        <w:rPr>
          <w:sz w:val="20"/>
          <w:szCs w:val="20"/>
        </w:rPr>
        <w:t>Moore 2016. Persistent diarrhoea in children in resource-limited countries. UpToDate Dec 2016.</w:t>
      </w:r>
    </w:p>
    <w:p w14:paraId="31028402" w14:textId="77777777" w:rsidR="000A3AA8" w:rsidRPr="000A3AA8" w:rsidRDefault="000A3AA8" w:rsidP="000A3AA8">
      <w:pPr>
        <w:rPr>
          <w:sz w:val="20"/>
          <w:szCs w:val="20"/>
        </w:rPr>
      </w:pPr>
      <w:r w:rsidRPr="000A3AA8">
        <w:rPr>
          <w:sz w:val="20"/>
          <w:szCs w:val="20"/>
        </w:rPr>
        <w:t>Bonis and Lamont 2017. Approach to the adult with chronic diarrhea in resource-rich settings. UpToDate Jun 2017.</w:t>
      </w:r>
    </w:p>
    <w:p w14:paraId="488F128C" w14:textId="77777777" w:rsidR="000A3AA8" w:rsidRPr="000A3AA8" w:rsidRDefault="000A3AA8" w:rsidP="000A3AA8">
      <w:pPr>
        <w:rPr>
          <w:sz w:val="20"/>
          <w:szCs w:val="20"/>
        </w:rPr>
      </w:pPr>
      <w:r w:rsidRPr="000A3AA8">
        <w:rPr>
          <w:sz w:val="20"/>
          <w:szCs w:val="20"/>
        </w:rPr>
        <w:t>The Gambia HIV treatment manual 2011. Banjul, The Gambia: National Aids Secretariat; 2011.</w:t>
      </w:r>
    </w:p>
    <w:p w14:paraId="33C76C30" w14:textId="77777777" w:rsidR="000A3AA8" w:rsidRPr="000A3AA8" w:rsidRDefault="000A3AA8" w:rsidP="000A3AA8">
      <w:pPr>
        <w:rPr>
          <w:sz w:val="20"/>
          <w:szCs w:val="20"/>
          <w:lang w:val="en-GB"/>
        </w:rPr>
      </w:pPr>
      <w:r w:rsidRPr="000A3AA8">
        <w:rPr>
          <w:sz w:val="20"/>
          <w:szCs w:val="20"/>
          <w:lang w:val="en-GB"/>
        </w:rPr>
        <w:t>Centers for Disease Control and Prevention: www.cdc.gov</w:t>
      </w:r>
    </w:p>
    <w:p w14:paraId="617763A3" w14:textId="77777777" w:rsidR="00F03F25" w:rsidRPr="000A3AA8" w:rsidRDefault="00F03F25" w:rsidP="005638D0">
      <w:pPr>
        <w:rPr>
          <w:sz w:val="20"/>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4C4442" w:rsidRPr="000A3AA8" w14:paraId="4C441B67" w14:textId="77777777" w:rsidTr="00515546">
        <w:trPr>
          <w:trHeight w:val="20"/>
        </w:trPr>
        <w:tc>
          <w:tcPr>
            <w:tcW w:w="2139" w:type="dxa"/>
            <w:shd w:val="clear" w:color="auto" w:fill="auto"/>
            <w:vAlign w:val="bottom"/>
          </w:tcPr>
          <w:p w14:paraId="3C364193" w14:textId="77777777" w:rsidR="004C4442" w:rsidRPr="000A3AA8" w:rsidRDefault="004C4442" w:rsidP="00522C6C">
            <w:pPr>
              <w:spacing w:after="0"/>
              <w:rPr>
                <w:b/>
                <w:szCs w:val="22"/>
                <w:lang w:val="en-GB"/>
              </w:rPr>
            </w:pPr>
            <w:r w:rsidRPr="000A3AA8">
              <w:rPr>
                <w:b/>
                <w:szCs w:val="22"/>
                <w:lang w:val="en-GB"/>
              </w:rPr>
              <w:t>Written by:</w:t>
            </w:r>
          </w:p>
        </w:tc>
        <w:tc>
          <w:tcPr>
            <w:tcW w:w="3622" w:type="dxa"/>
            <w:shd w:val="clear" w:color="auto" w:fill="auto"/>
            <w:vAlign w:val="bottom"/>
          </w:tcPr>
          <w:p w14:paraId="087E8AAF" w14:textId="4429D01D" w:rsidR="004C4442" w:rsidRPr="000A3AA8" w:rsidRDefault="004C4442" w:rsidP="00522C6C">
            <w:pPr>
              <w:spacing w:after="0"/>
              <w:rPr>
                <w:szCs w:val="22"/>
                <w:lang w:val="en-GB"/>
              </w:rPr>
            </w:pPr>
            <w:r w:rsidRPr="000A3AA8">
              <w:rPr>
                <w:szCs w:val="22"/>
                <w:lang w:val="en-GB"/>
              </w:rPr>
              <w:t>Name</w:t>
            </w:r>
            <w:r w:rsidR="005638D0" w:rsidRPr="000A3AA8">
              <w:rPr>
                <w:szCs w:val="22"/>
                <w:lang w:val="en-GB"/>
              </w:rPr>
              <w:t xml:space="preserve">: </w:t>
            </w:r>
            <w:r w:rsidR="00BF3226">
              <w:rPr>
                <w:szCs w:val="22"/>
                <w:lang w:val="en-GB"/>
              </w:rPr>
              <w:t>Amie Secka</w:t>
            </w:r>
          </w:p>
        </w:tc>
        <w:tc>
          <w:tcPr>
            <w:tcW w:w="2869" w:type="dxa"/>
            <w:shd w:val="clear" w:color="auto" w:fill="auto"/>
            <w:vAlign w:val="bottom"/>
          </w:tcPr>
          <w:p w14:paraId="799B0CB9" w14:textId="30CD1B32" w:rsidR="004C4442" w:rsidRPr="000A3AA8" w:rsidRDefault="004C4442" w:rsidP="00522C6C">
            <w:pPr>
              <w:spacing w:after="0"/>
              <w:rPr>
                <w:szCs w:val="22"/>
                <w:lang w:val="en-GB"/>
              </w:rPr>
            </w:pPr>
            <w:r w:rsidRPr="000A3AA8">
              <w:rPr>
                <w:szCs w:val="22"/>
                <w:lang w:val="en-GB"/>
              </w:rPr>
              <w:t xml:space="preserve">Date: </w:t>
            </w:r>
            <w:r w:rsidR="00BF3226">
              <w:rPr>
                <w:szCs w:val="22"/>
                <w:lang w:val="en-GB"/>
              </w:rPr>
              <w:t>16 July 2018</w:t>
            </w:r>
          </w:p>
        </w:tc>
      </w:tr>
      <w:tr w:rsidR="004C4442" w:rsidRPr="000A3AA8" w14:paraId="17BC65F6" w14:textId="77777777" w:rsidTr="00515546">
        <w:trPr>
          <w:trHeight w:val="20"/>
        </w:trPr>
        <w:tc>
          <w:tcPr>
            <w:tcW w:w="2139" w:type="dxa"/>
            <w:shd w:val="clear" w:color="auto" w:fill="auto"/>
            <w:vAlign w:val="bottom"/>
          </w:tcPr>
          <w:p w14:paraId="6BDC248B" w14:textId="77777777" w:rsidR="004C4442" w:rsidRPr="000A3AA8" w:rsidRDefault="004C4442" w:rsidP="00522C6C">
            <w:pPr>
              <w:spacing w:after="0"/>
              <w:rPr>
                <w:b/>
                <w:szCs w:val="22"/>
                <w:lang w:val="en-GB"/>
              </w:rPr>
            </w:pPr>
            <w:r w:rsidRPr="000A3AA8">
              <w:rPr>
                <w:b/>
                <w:szCs w:val="22"/>
                <w:lang w:val="en-GB"/>
              </w:rPr>
              <w:t>Reviewed by:</w:t>
            </w:r>
          </w:p>
        </w:tc>
        <w:tc>
          <w:tcPr>
            <w:tcW w:w="3622" w:type="dxa"/>
            <w:shd w:val="clear" w:color="auto" w:fill="auto"/>
            <w:vAlign w:val="bottom"/>
          </w:tcPr>
          <w:p w14:paraId="7772D870" w14:textId="3E46C84A" w:rsidR="004C4442" w:rsidRPr="000A3AA8" w:rsidRDefault="004C4442" w:rsidP="00522C6C">
            <w:pPr>
              <w:spacing w:after="0"/>
              <w:rPr>
                <w:szCs w:val="22"/>
                <w:lang w:val="en-GB"/>
              </w:rPr>
            </w:pPr>
            <w:r w:rsidRPr="000A3AA8">
              <w:rPr>
                <w:szCs w:val="22"/>
                <w:lang w:val="en-GB"/>
              </w:rPr>
              <w:t xml:space="preserve">Name: </w:t>
            </w:r>
            <w:r w:rsidR="00BF3226">
              <w:rPr>
                <w:szCs w:val="22"/>
                <w:lang w:val="en-GB"/>
              </w:rPr>
              <w:t>Baderinwa Abatan</w:t>
            </w:r>
          </w:p>
        </w:tc>
        <w:tc>
          <w:tcPr>
            <w:tcW w:w="2869" w:type="dxa"/>
            <w:shd w:val="clear" w:color="auto" w:fill="auto"/>
            <w:vAlign w:val="bottom"/>
          </w:tcPr>
          <w:p w14:paraId="0BE628EB" w14:textId="76EA1873" w:rsidR="004C4442" w:rsidRPr="000A3AA8" w:rsidRDefault="004C4442" w:rsidP="00522C6C">
            <w:pPr>
              <w:spacing w:after="0"/>
              <w:rPr>
                <w:szCs w:val="22"/>
                <w:lang w:val="en-GB"/>
              </w:rPr>
            </w:pPr>
            <w:r w:rsidRPr="000A3AA8">
              <w:rPr>
                <w:szCs w:val="22"/>
                <w:lang w:val="en-GB"/>
              </w:rPr>
              <w:t xml:space="preserve">Date: </w:t>
            </w:r>
            <w:r w:rsidR="00BF3226">
              <w:rPr>
                <w:szCs w:val="22"/>
                <w:lang w:val="en-GB"/>
              </w:rPr>
              <w:t>01 August 2018</w:t>
            </w:r>
          </w:p>
        </w:tc>
      </w:tr>
      <w:tr w:rsidR="004C4442" w:rsidRPr="000A3AA8" w14:paraId="7EF2AD63" w14:textId="77777777" w:rsidTr="00515546">
        <w:trPr>
          <w:trHeight w:val="20"/>
        </w:trPr>
        <w:tc>
          <w:tcPr>
            <w:tcW w:w="2139" w:type="dxa"/>
            <w:shd w:val="clear" w:color="auto" w:fill="auto"/>
            <w:vAlign w:val="bottom"/>
          </w:tcPr>
          <w:p w14:paraId="31A056C0" w14:textId="77777777" w:rsidR="004C4442" w:rsidRPr="000A3AA8" w:rsidRDefault="004C4442" w:rsidP="00522C6C">
            <w:pPr>
              <w:spacing w:after="0"/>
              <w:rPr>
                <w:szCs w:val="22"/>
                <w:lang w:val="en-GB"/>
              </w:rPr>
            </w:pPr>
            <w:r w:rsidRPr="000A3AA8">
              <w:rPr>
                <w:b/>
                <w:szCs w:val="22"/>
                <w:lang w:val="en-GB"/>
              </w:rPr>
              <w:t>Version:</w:t>
            </w:r>
          </w:p>
        </w:tc>
        <w:tc>
          <w:tcPr>
            <w:tcW w:w="3622" w:type="dxa"/>
            <w:shd w:val="clear" w:color="auto" w:fill="auto"/>
            <w:vAlign w:val="bottom"/>
          </w:tcPr>
          <w:p w14:paraId="6F2CC90E" w14:textId="77777777" w:rsidR="004C4442" w:rsidRPr="000A3AA8" w:rsidRDefault="004C4442" w:rsidP="00522C6C">
            <w:pPr>
              <w:spacing w:after="0"/>
              <w:rPr>
                <w:szCs w:val="22"/>
                <w:lang w:val="en-GB"/>
              </w:rPr>
            </w:pPr>
            <w:r w:rsidRPr="000A3AA8">
              <w:rPr>
                <w:b/>
                <w:szCs w:val="22"/>
                <w:lang w:val="en-GB"/>
              </w:rPr>
              <w:t>Change history:</w:t>
            </w:r>
          </w:p>
        </w:tc>
        <w:tc>
          <w:tcPr>
            <w:tcW w:w="2869" w:type="dxa"/>
            <w:shd w:val="clear" w:color="auto" w:fill="auto"/>
            <w:vAlign w:val="bottom"/>
          </w:tcPr>
          <w:p w14:paraId="242A1EF7" w14:textId="77777777" w:rsidR="004C4442" w:rsidRPr="000A3AA8" w:rsidRDefault="004C4442" w:rsidP="00522C6C">
            <w:pPr>
              <w:spacing w:after="0"/>
              <w:rPr>
                <w:b/>
                <w:szCs w:val="22"/>
                <w:lang w:val="en-GB"/>
              </w:rPr>
            </w:pPr>
            <w:r w:rsidRPr="000A3AA8">
              <w:rPr>
                <w:b/>
                <w:szCs w:val="22"/>
                <w:lang w:val="en-GB"/>
              </w:rPr>
              <w:t>Review due date:</w:t>
            </w:r>
          </w:p>
        </w:tc>
      </w:tr>
      <w:tr w:rsidR="004C4442" w:rsidRPr="000A3AA8" w14:paraId="0F09859B" w14:textId="77777777" w:rsidTr="00515546">
        <w:trPr>
          <w:trHeight w:val="20"/>
        </w:trPr>
        <w:tc>
          <w:tcPr>
            <w:tcW w:w="2139" w:type="dxa"/>
            <w:shd w:val="clear" w:color="auto" w:fill="auto"/>
            <w:vAlign w:val="bottom"/>
          </w:tcPr>
          <w:p w14:paraId="3EF2AFFE" w14:textId="77777777" w:rsidR="004C4442" w:rsidRPr="000A3AA8" w:rsidRDefault="004C4442" w:rsidP="00522C6C">
            <w:pPr>
              <w:spacing w:after="0"/>
              <w:rPr>
                <w:szCs w:val="22"/>
                <w:lang w:val="en-GB"/>
              </w:rPr>
            </w:pPr>
            <w:r w:rsidRPr="000A3AA8">
              <w:rPr>
                <w:szCs w:val="22"/>
                <w:lang w:val="en-GB"/>
              </w:rPr>
              <w:t>1.0</w:t>
            </w:r>
          </w:p>
        </w:tc>
        <w:tc>
          <w:tcPr>
            <w:tcW w:w="3622" w:type="dxa"/>
            <w:shd w:val="clear" w:color="auto" w:fill="auto"/>
            <w:vAlign w:val="bottom"/>
          </w:tcPr>
          <w:p w14:paraId="7F567504" w14:textId="77777777" w:rsidR="004C4442" w:rsidRPr="000A3AA8" w:rsidRDefault="004C4442" w:rsidP="00522C6C">
            <w:pPr>
              <w:spacing w:after="0"/>
              <w:rPr>
                <w:szCs w:val="22"/>
                <w:lang w:val="en-GB"/>
              </w:rPr>
            </w:pPr>
            <w:r w:rsidRPr="000A3AA8">
              <w:rPr>
                <w:szCs w:val="22"/>
                <w:lang w:val="en-GB"/>
              </w:rPr>
              <w:t>New document</w:t>
            </w:r>
          </w:p>
        </w:tc>
        <w:tc>
          <w:tcPr>
            <w:tcW w:w="2869" w:type="dxa"/>
            <w:shd w:val="clear" w:color="auto" w:fill="auto"/>
            <w:vAlign w:val="bottom"/>
          </w:tcPr>
          <w:p w14:paraId="32D4212D" w14:textId="77777777" w:rsidR="004C4442" w:rsidRPr="000A3AA8" w:rsidRDefault="004C4442" w:rsidP="00522C6C">
            <w:pPr>
              <w:spacing w:after="0"/>
              <w:rPr>
                <w:szCs w:val="22"/>
                <w:lang w:val="en-GB"/>
              </w:rPr>
            </w:pPr>
          </w:p>
        </w:tc>
      </w:tr>
      <w:tr w:rsidR="000A3AA8" w:rsidRPr="000A3AA8" w14:paraId="02C8D915" w14:textId="77777777" w:rsidTr="00515546">
        <w:trPr>
          <w:trHeight w:val="20"/>
        </w:trPr>
        <w:tc>
          <w:tcPr>
            <w:tcW w:w="2139" w:type="dxa"/>
            <w:shd w:val="clear" w:color="auto" w:fill="auto"/>
            <w:vAlign w:val="bottom"/>
          </w:tcPr>
          <w:p w14:paraId="36B60DB4" w14:textId="055CAC89" w:rsidR="000A3AA8" w:rsidRPr="000A3AA8" w:rsidRDefault="000A3AA8" w:rsidP="00522C6C">
            <w:pPr>
              <w:spacing w:after="0"/>
              <w:rPr>
                <w:szCs w:val="22"/>
                <w:lang w:val="en-GB"/>
              </w:rPr>
            </w:pPr>
            <w:r>
              <w:rPr>
                <w:szCs w:val="22"/>
                <w:lang w:val="en-GB"/>
              </w:rPr>
              <w:t>2.0</w:t>
            </w:r>
          </w:p>
        </w:tc>
        <w:tc>
          <w:tcPr>
            <w:tcW w:w="3622" w:type="dxa"/>
            <w:shd w:val="clear" w:color="auto" w:fill="auto"/>
            <w:vAlign w:val="bottom"/>
          </w:tcPr>
          <w:p w14:paraId="0138953A" w14:textId="129CF6A1" w:rsidR="000A3AA8" w:rsidRPr="000A3AA8" w:rsidRDefault="000A3AA8" w:rsidP="00522C6C">
            <w:pPr>
              <w:spacing w:after="0"/>
              <w:rPr>
                <w:szCs w:val="22"/>
                <w:lang w:val="en-GB"/>
              </w:rPr>
            </w:pPr>
            <w:r>
              <w:rPr>
                <w:szCs w:val="22"/>
                <w:lang w:val="en-GB"/>
              </w:rPr>
              <w:t>Adapted from previous guideline on diarrhoea</w:t>
            </w:r>
          </w:p>
        </w:tc>
        <w:tc>
          <w:tcPr>
            <w:tcW w:w="2869" w:type="dxa"/>
            <w:shd w:val="clear" w:color="auto" w:fill="auto"/>
            <w:vAlign w:val="bottom"/>
          </w:tcPr>
          <w:p w14:paraId="72C17595" w14:textId="75CFCF0B" w:rsidR="000A3AA8" w:rsidRPr="000A3AA8" w:rsidRDefault="00BF3226" w:rsidP="00522C6C">
            <w:pPr>
              <w:spacing w:after="0"/>
              <w:rPr>
                <w:szCs w:val="22"/>
                <w:lang w:val="en-GB"/>
              </w:rPr>
            </w:pPr>
            <w:r>
              <w:rPr>
                <w:szCs w:val="22"/>
                <w:lang w:val="en-GB"/>
              </w:rPr>
              <w:t>15 August 2020</w:t>
            </w:r>
          </w:p>
        </w:tc>
      </w:tr>
      <w:tr w:rsidR="00B24B0C" w:rsidRPr="000A3AA8" w14:paraId="2C499B21" w14:textId="77777777" w:rsidTr="00515546">
        <w:trPr>
          <w:trHeight w:val="20"/>
        </w:trPr>
        <w:tc>
          <w:tcPr>
            <w:tcW w:w="2139" w:type="dxa"/>
            <w:shd w:val="clear" w:color="auto" w:fill="auto"/>
            <w:vAlign w:val="bottom"/>
          </w:tcPr>
          <w:p w14:paraId="42C61501" w14:textId="17AAB660" w:rsidR="00B24B0C" w:rsidRDefault="00B24B0C" w:rsidP="00522C6C">
            <w:pPr>
              <w:spacing w:after="0"/>
              <w:rPr>
                <w:szCs w:val="22"/>
                <w:lang w:val="en-GB"/>
              </w:rPr>
            </w:pPr>
            <w:r>
              <w:rPr>
                <w:szCs w:val="22"/>
                <w:lang w:val="en-GB"/>
              </w:rPr>
              <w:t>2.1</w:t>
            </w:r>
          </w:p>
        </w:tc>
        <w:tc>
          <w:tcPr>
            <w:tcW w:w="3622" w:type="dxa"/>
            <w:shd w:val="clear" w:color="auto" w:fill="auto"/>
            <w:vAlign w:val="bottom"/>
          </w:tcPr>
          <w:p w14:paraId="4420A506" w14:textId="02EDC989" w:rsidR="00B24B0C" w:rsidRDefault="00B24B0C" w:rsidP="00522C6C">
            <w:pPr>
              <w:spacing w:after="0"/>
              <w:rPr>
                <w:szCs w:val="22"/>
                <w:lang w:val="en-GB"/>
              </w:rPr>
            </w:pPr>
            <w:r>
              <w:rPr>
                <w:szCs w:val="22"/>
                <w:lang w:val="en-GB"/>
              </w:rPr>
              <w:t>Executive summary added</w:t>
            </w:r>
          </w:p>
        </w:tc>
        <w:tc>
          <w:tcPr>
            <w:tcW w:w="2869" w:type="dxa"/>
            <w:shd w:val="clear" w:color="auto" w:fill="auto"/>
            <w:vAlign w:val="bottom"/>
          </w:tcPr>
          <w:p w14:paraId="3367B2F8" w14:textId="33B81CF2" w:rsidR="00B24B0C" w:rsidRDefault="00B24B0C" w:rsidP="00522C6C">
            <w:pPr>
              <w:spacing w:after="0"/>
              <w:rPr>
                <w:szCs w:val="22"/>
                <w:lang w:val="en-GB"/>
              </w:rPr>
            </w:pPr>
            <w:r>
              <w:rPr>
                <w:szCs w:val="22"/>
                <w:lang w:val="en-GB"/>
              </w:rPr>
              <w:t>15 August 2020</w:t>
            </w:r>
          </w:p>
        </w:tc>
      </w:tr>
      <w:tr w:rsidR="005638D0" w:rsidRPr="000A3AA8" w14:paraId="1D814E02" w14:textId="77777777" w:rsidTr="00515546">
        <w:trPr>
          <w:trHeight w:val="20"/>
        </w:trPr>
        <w:tc>
          <w:tcPr>
            <w:tcW w:w="2139" w:type="dxa"/>
            <w:shd w:val="clear" w:color="auto" w:fill="auto"/>
            <w:vAlign w:val="bottom"/>
          </w:tcPr>
          <w:p w14:paraId="7B573F01" w14:textId="77777777" w:rsidR="005638D0" w:rsidRPr="000A3AA8" w:rsidRDefault="005638D0" w:rsidP="005638D0">
            <w:pPr>
              <w:spacing w:after="0"/>
              <w:rPr>
                <w:szCs w:val="22"/>
                <w:lang w:val="en-GB"/>
              </w:rPr>
            </w:pPr>
            <w:r w:rsidRPr="000A3AA8">
              <w:rPr>
                <w:szCs w:val="22"/>
                <w:lang w:val="en-GB"/>
              </w:rPr>
              <w:t>Review Comments (</w:t>
            </w:r>
            <w:r w:rsidRPr="000A3AA8">
              <w:rPr>
                <w:i/>
                <w:szCs w:val="22"/>
                <w:lang w:val="en-GB"/>
              </w:rPr>
              <w:t>if applicable)</w:t>
            </w:r>
          </w:p>
        </w:tc>
        <w:tc>
          <w:tcPr>
            <w:tcW w:w="3622" w:type="dxa"/>
            <w:shd w:val="clear" w:color="auto" w:fill="auto"/>
            <w:vAlign w:val="bottom"/>
          </w:tcPr>
          <w:p w14:paraId="5D19164D" w14:textId="77777777" w:rsidR="005638D0" w:rsidRPr="000A3AA8" w:rsidRDefault="005638D0" w:rsidP="005638D0">
            <w:pPr>
              <w:spacing w:after="0"/>
              <w:rPr>
                <w:szCs w:val="22"/>
                <w:lang w:val="en-GB"/>
              </w:rPr>
            </w:pPr>
          </w:p>
        </w:tc>
        <w:tc>
          <w:tcPr>
            <w:tcW w:w="2869" w:type="dxa"/>
            <w:shd w:val="clear" w:color="auto" w:fill="auto"/>
            <w:vAlign w:val="bottom"/>
          </w:tcPr>
          <w:p w14:paraId="26797B70" w14:textId="77777777" w:rsidR="005638D0" w:rsidRPr="000A3AA8" w:rsidRDefault="005638D0" w:rsidP="005638D0">
            <w:pPr>
              <w:spacing w:after="0"/>
              <w:rPr>
                <w:b/>
                <w:szCs w:val="22"/>
                <w:lang w:val="en-GB"/>
              </w:rPr>
            </w:pPr>
          </w:p>
        </w:tc>
      </w:tr>
    </w:tbl>
    <w:p w14:paraId="049A5FCC" w14:textId="77777777" w:rsidR="00975A60" w:rsidRPr="000A3AA8" w:rsidRDefault="00975A60" w:rsidP="00975A60">
      <w:pPr>
        <w:rPr>
          <w:szCs w:val="22"/>
          <w:lang w:val="en-GB"/>
        </w:rPr>
      </w:pPr>
    </w:p>
    <w:sectPr w:rsidR="00975A60" w:rsidRPr="000A3AA8" w:rsidSect="00D13825">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85D919" w14:textId="77777777" w:rsidR="00EA6BFF" w:rsidRDefault="00EA6BFF" w:rsidP="00975A60">
      <w:pPr>
        <w:spacing w:after="0"/>
      </w:pPr>
      <w:r>
        <w:separator/>
      </w:r>
    </w:p>
  </w:endnote>
  <w:endnote w:type="continuationSeparator" w:id="0">
    <w:p w14:paraId="6D2A1954" w14:textId="77777777" w:rsidR="00EA6BFF" w:rsidRDefault="00EA6BFF"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altName w:val="Arial"/>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E9E00C" w14:textId="77777777" w:rsidR="005D1877" w:rsidRDefault="005D1877"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244F68A" w14:textId="77777777" w:rsidR="005D1877" w:rsidRDefault="005D1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A9EC5" w14:textId="7CDADD0B" w:rsidR="005D1877" w:rsidRPr="003A02A5" w:rsidRDefault="005D1877"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243C1A">
      <w:rPr>
        <w:rStyle w:val="PageNumber"/>
        <w:noProof/>
      </w:rPr>
      <w:t>7</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243C1A">
      <w:rPr>
        <w:rStyle w:val="PageNumber"/>
        <w:noProof/>
      </w:rPr>
      <w:t>7</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AC6883" w14:textId="6725CEF0" w:rsidR="00D13825" w:rsidRDefault="00D13825"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243C1A">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243C1A">
      <w:rPr>
        <w:rStyle w:val="PageNumber"/>
        <w:noProof/>
      </w:rPr>
      <w:t>7</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0DD215" w14:textId="77777777" w:rsidR="00EA6BFF" w:rsidRDefault="00EA6BFF" w:rsidP="00975A60">
      <w:pPr>
        <w:spacing w:after="0"/>
      </w:pPr>
      <w:r>
        <w:separator/>
      </w:r>
    </w:p>
  </w:footnote>
  <w:footnote w:type="continuationSeparator" w:id="0">
    <w:p w14:paraId="2FAF5DA6" w14:textId="77777777" w:rsidR="00EA6BFF" w:rsidRDefault="00EA6BFF"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AF23A3" w14:textId="77777777" w:rsidR="00B24B0C" w:rsidRDefault="00B24B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C5EA2C" w14:textId="77777777" w:rsidR="00BF3226" w:rsidRPr="00BF3226" w:rsidRDefault="00BF3226" w:rsidP="00BF3226">
    <w:pPr>
      <w:pStyle w:val="Header"/>
    </w:pPr>
    <w:r w:rsidRPr="00BF3226">
      <w:t>Identification code: MeG-CLS-033</w:t>
    </w:r>
    <w:r w:rsidRPr="00BF3226">
      <w:tab/>
    </w:r>
  </w:p>
  <w:p w14:paraId="16B58A3B" w14:textId="564FE0DE" w:rsidR="00BF3226" w:rsidRPr="00BF3226" w:rsidRDefault="00BF3226" w:rsidP="00BF3226">
    <w:pPr>
      <w:pStyle w:val="Header"/>
    </w:pPr>
    <w:r w:rsidRPr="00BF3226">
      <w:t>Version: 2.</w:t>
    </w:r>
    <w:r w:rsidR="00B24B0C">
      <w:t>1</w:t>
    </w:r>
    <w:r w:rsidRPr="00BF3226">
      <w:t xml:space="preserve"> 15 August 2018</w:t>
    </w:r>
  </w:p>
  <w:p w14:paraId="063908DC" w14:textId="4CC2FF38" w:rsidR="005D1877" w:rsidRPr="00BF3226" w:rsidRDefault="005D1877" w:rsidP="00BF32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D0F38" w14:textId="77777777" w:rsidR="00D13825" w:rsidRDefault="00D13825" w:rsidP="00D13825">
    <w:pPr>
      <w:pStyle w:val="Header"/>
      <w:ind w:firstLine="2880"/>
      <w:rPr>
        <w:rFonts w:cs="Arial"/>
        <w:b/>
      </w:rPr>
    </w:pPr>
    <w:r>
      <w:rPr>
        <w:rFonts w:cs="Arial"/>
        <w:b/>
        <w:noProof/>
        <w:lang w:val="en-GB" w:eastAsia="en-GB"/>
      </w:rPr>
      <w:drawing>
        <wp:anchor distT="0" distB="0" distL="114300" distR="114300" simplePos="0" relativeHeight="251660288" behindDoc="1" locked="0" layoutInCell="1" allowOverlap="1" wp14:anchorId="40B4BCC9" wp14:editId="70BB3545">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55FD86C6" w14:textId="77777777" w:rsidR="00D13825" w:rsidRDefault="00D13825"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7A2832F1" w14:textId="77777777" w:rsidR="00D13825" w:rsidRPr="003C0800" w:rsidRDefault="00D13825" w:rsidP="00D13825">
    <w:pPr>
      <w:pStyle w:val="Header"/>
      <w:ind w:firstLine="2880"/>
      <w:rPr>
        <w:rFonts w:cs="Arial"/>
        <w:b/>
      </w:rPr>
    </w:pPr>
  </w:p>
  <w:p w14:paraId="73373FA8" w14:textId="01E77722" w:rsidR="00D13825" w:rsidRPr="00BF3226" w:rsidRDefault="00D13825" w:rsidP="00D13825">
    <w:pPr>
      <w:pStyle w:val="Header"/>
    </w:pPr>
    <w:r w:rsidRPr="00BF3226">
      <w:t>Identification code: MeG-CLS</w:t>
    </w:r>
    <w:r w:rsidR="000A3AA8" w:rsidRPr="00BF3226">
      <w:t>-033</w:t>
    </w:r>
    <w:r w:rsidRPr="00BF3226">
      <w:tab/>
    </w:r>
  </w:p>
  <w:p w14:paraId="299216D4" w14:textId="30265630" w:rsidR="00D13825" w:rsidRPr="00BF3226" w:rsidRDefault="00D13825" w:rsidP="00D13825">
    <w:pPr>
      <w:pStyle w:val="Header"/>
    </w:pPr>
    <w:r w:rsidRPr="00BF3226">
      <w:t xml:space="preserve">Version: </w:t>
    </w:r>
    <w:r w:rsidR="000A3AA8" w:rsidRPr="00BF3226">
      <w:t>2.</w:t>
    </w:r>
    <w:r w:rsidR="00B24B0C">
      <w:t>1</w:t>
    </w:r>
    <w:r w:rsidR="000A3AA8" w:rsidRPr="00BF3226">
      <w:t xml:space="preserve"> </w:t>
    </w:r>
    <w:r w:rsidR="00BF3226" w:rsidRPr="00BF3226">
      <w:t>15 August 2018</w:t>
    </w:r>
  </w:p>
  <w:p w14:paraId="64829429" w14:textId="77777777" w:rsidR="00D13825" w:rsidRDefault="00D13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260FA18"/>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8CA07AE2"/>
    <w:lvl w:ilvl="0">
      <w:start w:val="1"/>
      <w:numFmt w:val="decimal"/>
      <w:lvlText w:val="%1."/>
      <w:lvlJc w:val="left"/>
      <w:pPr>
        <w:tabs>
          <w:tab w:val="num" w:pos="643"/>
        </w:tabs>
        <w:ind w:left="643" w:hanging="360"/>
      </w:pPr>
    </w:lvl>
  </w:abstractNum>
  <w:abstractNum w:abstractNumId="2" w15:restartNumberingAfterBreak="0">
    <w:nsid w:val="00353087"/>
    <w:multiLevelType w:val="hybridMultilevel"/>
    <w:tmpl w:val="B6AED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1E41CA"/>
    <w:multiLevelType w:val="hybridMultilevel"/>
    <w:tmpl w:val="50FEB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AA67B7"/>
    <w:multiLevelType w:val="hybridMultilevel"/>
    <w:tmpl w:val="40FC8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7A212AA"/>
    <w:multiLevelType w:val="hybridMultilevel"/>
    <w:tmpl w:val="F9B2D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F52731"/>
    <w:multiLevelType w:val="hybridMultilevel"/>
    <w:tmpl w:val="7B2A739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B9C5BBC"/>
    <w:multiLevelType w:val="hybridMultilevel"/>
    <w:tmpl w:val="F6640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7471BF"/>
    <w:multiLevelType w:val="hybridMultilevel"/>
    <w:tmpl w:val="1F1CB9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DB5D90"/>
    <w:multiLevelType w:val="hybridMultilevel"/>
    <w:tmpl w:val="42623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F63667"/>
    <w:multiLevelType w:val="hybridMultilevel"/>
    <w:tmpl w:val="875A1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3A62937"/>
    <w:multiLevelType w:val="hybridMultilevel"/>
    <w:tmpl w:val="43CC3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F96080"/>
    <w:multiLevelType w:val="hybridMultilevel"/>
    <w:tmpl w:val="D41006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672022B"/>
    <w:multiLevelType w:val="hybridMultilevel"/>
    <w:tmpl w:val="D56E8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022F25"/>
    <w:multiLevelType w:val="hybridMultilevel"/>
    <w:tmpl w:val="CA9409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3B8B0916"/>
    <w:multiLevelType w:val="hybridMultilevel"/>
    <w:tmpl w:val="9A7AE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B9A3A6C"/>
    <w:multiLevelType w:val="hybridMultilevel"/>
    <w:tmpl w:val="1B945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A144FF"/>
    <w:multiLevelType w:val="hybridMultilevel"/>
    <w:tmpl w:val="407E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23704CD"/>
    <w:multiLevelType w:val="hybridMultilevel"/>
    <w:tmpl w:val="98FA4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2796325"/>
    <w:multiLevelType w:val="hybridMultilevel"/>
    <w:tmpl w:val="A69E9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14630D"/>
    <w:multiLevelType w:val="hybridMultilevel"/>
    <w:tmpl w:val="7538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8871E75"/>
    <w:multiLevelType w:val="hybridMultilevel"/>
    <w:tmpl w:val="6B1C6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94278C"/>
    <w:multiLevelType w:val="hybridMultilevel"/>
    <w:tmpl w:val="B3100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9B0CF2"/>
    <w:multiLevelType w:val="hybridMultilevel"/>
    <w:tmpl w:val="ADDE9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9C1400B"/>
    <w:multiLevelType w:val="hybridMultilevel"/>
    <w:tmpl w:val="129C7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ABC4387"/>
    <w:multiLevelType w:val="hybridMultilevel"/>
    <w:tmpl w:val="4CCE0D82"/>
    <w:lvl w:ilvl="0" w:tplc="08090001">
      <w:start w:val="1"/>
      <w:numFmt w:val="bullet"/>
      <w:lvlText w:val=""/>
      <w:lvlJc w:val="left"/>
      <w:pPr>
        <w:ind w:left="720" w:hanging="360"/>
      </w:pPr>
      <w:rPr>
        <w:rFonts w:ascii="Symbol" w:hAnsi="Symbol" w:hint="default"/>
      </w:rPr>
    </w:lvl>
    <w:lvl w:ilvl="1" w:tplc="91DE9384">
      <w:start w:val="1"/>
      <w:numFmt w:val="bullet"/>
      <w:lvlText w:val="o"/>
      <w:lvlJc w:val="left"/>
      <w:pPr>
        <w:ind w:left="1353"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AC65086"/>
    <w:multiLevelType w:val="hybridMultilevel"/>
    <w:tmpl w:val="F2DEF5D0"/>
    <w:lvl w:ilvl="0" w:tplc="04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27" w15:restartNumberingAfterBreak="0">
    <w:nsid w:val="50D67994"/>
    <w:multiLevelType w:val="hybridMultilevel"/>
    <w:tmpl w:val="04EC3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5FB3A68"/>
    <w:multiLevelType w:val="hybridMultilevel"/>
    <w:tmpl w:val="C150A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1F13405"/>
    <w:multiLevelType w:val="hybridMultilevel"/>
    <w:tmpl w:val="C4C66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36F5987"/>
    <w:multiLevelType w:val="hybridMultilevel"/>
    <w:tmpl w:val="C8C6C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46662A1"/>
    <w:multiLevelType w:val="hybridMultilevel"/>
    <w:tmpl w:val="EE6C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4764D9C"/>
    <w:multiLevelType w:val="hybridMultilevel"/>
    <w:tmpl w:val="5764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360F1F"/>
    <w:multiLevelType w:val="hybridMultilevel"/>
    <w:tmpl w:val="70B0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5605712"/>
    <w:multiLevelType w:val="hybridMultilevel"/>
    <w:tmpl w:val="1DD25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5FF43D4"/>
    <w:multiLevelType w:val="hybridMultilevel"/>
    <w:tmpl w:val="79B48C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66983098"/>
    <w:multiLevelType w:val="hybridMultilevel"/>
    <w:tmpl w:val="C550139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6F0A20B6"/>
    <w:multiLevelType w:val="hybridMultilevel"/>
    <w:tmpl w:val="2F3A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8402B0"/>
    <w:multiLevelType w:val="hybridMultilevel"/>
    <w:tmpl w:val="84A6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8BC1BC2"/>
    <w:multiLevelType w:val="hybridMultilevel"/>
    <w:tmpl w:val="75026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ACA7371"/>
    <w:multiLevelType w:val="hybridMultilevel"/>
    <w:tmpl w:val="FCD88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D5B5495"/>
    <w:multiLevelType w:val="hybridMultilevel"/>
    <w:tmpl w:val="2A789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E5E3E4C"/>
    <w:multiLevelType w:val="hybridMultilevel"/>
    <w:tmpl w:val="789A4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33"/>
  </w:num>
  <w:num w:numId="3">
    <w:abstractNumId w:val="15"/>
  </w:num>
  <w:num w:numId="4">
    <w:abstractNumId w:val="1"/>
  </w:num>
  <w:num w:numId="5">
    <w:abstractNumId w:val="0"/>
  </w:num>
  <w:num w:numId="6">
    <w:abstractNumId w:val="6"/>
  </w:num>
  <w:num w:numId="7">
    <w:abstractNumId w:val="25"/>
  </w:num>
  <w:num w:numId="8">
    <w:abstractNumId w:val="2"/>
  </w:num>
  <w:num w:numId="9">
    <w:abstractNumId w:val="41"/>
  </w:num>
  <w:num w:numId="10">
    <w:abstractNumId w:val="5"/>
  </w:num>
  <w:num w:numId="11">
    <w:abstractNumId w:val="17"/>
  </w:num>
  <w:num w:numId="12">
    <w:abstractNumId w:val="32"/>
  </w:num>
  <w:num w:numId="13">
    <w:abstractNumId w:val="37"/>
  </w:num>
  <w:num w:numId="14">
    <w:abstractNumId w:val="35"/>
  </w:num>
  <w:num w:numId="15">
    <w:abstractNumId w:val="40"/>
  </w:num>
  <w:num w:numId="16">
    <w:abstractNumId w:val="20"/>
  </w:num>
  <w:num w:numId="17">
    <w:abstractNumId w:val="10"/>
  </w:num>
  <w:num w:numId="18">
    <w:abstractNumId w:val="36"/>
  </w:num>
  <w:num w:numId="19">
    <w:abstractNumId w:val="21"/>
  </w:num>
  <w:num w:numId="20">
    <w:abstractNumId w:val="38"/>
  </w:num>
  <w:num w:numId="21">
    <w:abstractNumId w:val="23"/>
  </w:num>
  <w:num w:numId="22">
    <w:abstractNumId w:val="14"/>
  </w:num>
  <w:num w:numId="23">
    <w:abstractNumId w:val="31"/>
  </w:num>
  <w:num w:numId="24">
    <w:abstractNumId w:val="34"/>
  </w:num>
  <w:num w:numId="25">
    <w:abstractNumId w:val="9"/>
  </w:num>
  <w:num w:numId="26">
    <w:abstractNumId w:val="42"/>
  </w:num>
  <w:num w:numId="27">
    <w:abstractNumId w:val="39"/>
  </w:num>
  <w:num w:numId="28">
    <w:abstractNumId w:val="24"/>
  </w:num>
  <w:num w:numId="29">
    <w:abstractNumId w:val="8"/>
  </w:num>
  <w:num w:numId="30">
    <w:abstractNumId w:val="28"/>
  </w:num>
  <w:num w:numId="31">
    <w:abstractNumId w:val="30"/>
  </w:num>
  <w:num w:numId="32">
    <w:abstractNumId w:val="3"/>
  </w:num>
  <w:num w:numId="33">
    <w:abstractNumId w:val="11"/>
  </w:num>
  <w:num w:numId="34">
    <w:abstractNumId w:val="12"/>
  </w:num>
  <w:num w:numId="35">
    <w:abstractNumId w:val="4"/>
  </w:num>
  <w:num w:numId="36">
    <w:abstractNumId w:val="16"/>
  </w:num>
  <w:num w:numId="37">
    <w:abstractNumId w:val="26"/>
  </w:num>
  <w:num w:numId="38">
    <w:abstractNumId w:val="27"/>
  </w:num>
  <w:num w:numId="39">
    <w:abstractNumId w:val="19"/>
  </w:num>
  <w:num w:numId="40">
    <w:abstractNumId w:val="29"/>
  </w:num>
  <w:num w:numId="41">
    <w:abstractNumId w:val="13"/>
  </w:num>
  <w:num w:numId="42">
    <w:abstractNumId w:val="7"/>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activeWritingStyle w:appName="MSWord" w:lang="en-GB" w:vendorID="64" w:dllVersion="131078" w:nlCheck="1" w:checkStyle="1"/>
  <w:activeWritingStyle w:appName="MSWord" w:lang="en-US" w:vendorID="64" w:dllVersion="131078" w:nlCheck="1" w:checkStyle="1"/>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I1szQyMjEwtjQytrRQ0lEKTi0uzszPAykwrAUAjfSoNiwAAAA="/>
  </w:docVars>
  <w:rsids>
    <w:rsidRoot w:val="00AA46AD"/>
    <w:rsid w:val="000039D9"/>
    <w:rsid w:val="0007147C"/>
    <w:rsid w:val="00081642"/>
    <w:rsid w:val="000A3AA8"/>
    <w:rsid w:val="00114AAF"/>
    <w:rsid w:val="001203AE"/>
    <w:rsid w:val="00175153"/>
    <w:rsid w:val="001905DE"/>
    <w:rsid w:val="001C1450"/>
    <w:rsid w:val="00223920"/>
    <w:rsid w:val="00243C1A"/>
    <w:rsid w:val="00252A11"/>
    <w:rsid w:val="0029357D"/>
    <w:rsid w:val="002A2856"/>
    <w:rsid w:val="003020A2"/>
    <w:rsid w:val="003038D3"/>
    <w:rsid w:val="003225CD"/>
    <w:rsid w:val="00371BC8"/>
    <w:rsid w:val="003C0595"/>
    <w:rsid w:val="003C0800"/>
    <w:rsid w:val="003F70CA"/>
    <w:rsid w:val="004A25F0"/>
    <w:rsid w:val="004A4C93"/>
    <w:rsid w:val="004C4442"/>
    <w:rsid w:val="005151D8"/>
    <w:rsid w:val="00515546"/>
    <w:rsid w:val="005638D0"/>
    <w:rsid w:val="005D1877"/>
    <w:rsid w:val="00633320"/>
    <w:rsid w:val="007067BE"/>
    <w:rsid w:val="007B26B1"/>
    <w:rsid w:val="00812E83"/>
    <w:rsid w:val="008328D4"/>
    <w:rsid w:val="00857027"/>
    <w:rsid w:val="008A4EA9"/>
    <w:rsid w:val="009165E9"/>
    <w:rsid w:val="009325A7"/>
    <w:rsid w:val="00975A60"/>
    <w:rsid w:val="009956F9"/>
    <w:rsid w:val="009B44BE"/>
    <w:rsid w:val="009F5B1B"/>
    <w:rsid w:val="00A312D8"/>
    <w:rsid w:val="00A41080"/>
    <w:rsid w:val="00AA46AD"/>
    <w:rsid w:val="00B24B0C"/>
    <w:rsid w:val="00B31AC4"/>
    <w:rsid w:val="00B844E8"/>
    <w:rsid w:val="00BD08AB"/>
    <w:rsid w:val="00BF3226"/>
    <w:rsid w:val="00C150E9"/>
    <w:rsid w:val="00C472DF"/>
    <w:rsid w:val="00C67021"/>
    <w:rsid w:val="00C7419A"/>
    <w:rsid w:val="00CC3CF5"/>
    <w:rsid w:val="00CD4A1D"/>
    <w:rsid w:val="00D03AB2"/>
    <w:rsid w:val="00D13825"/>
    <w:rsid w:val="00DA20ED"/>
    <w:rsid w:val="00DC1CC5"/>
    <w:rsid w:val="00DC590C"/>
    <w:rsid w:val="00DE3D6D"/>
    <w:rsid w:val="00DF345F"/>
    <w:rsid w:val="00E162DA"/>
    <w:rsid w:val="00E43FA5"/>
    <w:rsid w:val="00EA6BFF"/>
    <w:rsid w:val="00F03F25"/>
    <w:rsid w:val="00F53968"/>
    <w:rsid w:val="00F71F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A20080"/>
  <w15:docId w15:val="{87B60125-0BA8-4EAD-A334-EEF2311EF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MS Mincho" w:hAnsi="Tahoma" w:cs="Arial"/>
        <w:lang w:val="en-GB" w:eastAsia="en-US" w:bidi="ar-SA"/>
      </w:rPr>
    </w:rPrDefault>
    <w:pPrDefault/>
  </w:docDefaults>
  <w:latentStyles w:defLockedState="0" w:defUIPriority="0" w:defSemiHidden="0" w:defUnhideWhenUsed="0" w:defQFormat="0" w:count="371">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F11"/>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71F11"/>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71F11"/>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uiPriority w:val="34"/>
    <w:qFormat/>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rsid w:val="001203AE"/>
    <w:rPr>
      <w:color w:val="0000FF" w:themeColor="hyperlink"/>
      <w:u w:val="single"/>
    </w:rPr>
  </w:style>
  <w:style w:type="character" w:customStyle="1" w:styleId="UnresolvedMention1">
    <w:name w:val="Unresolved Mention1"/>
    <w:basedOn w:val="DefaultParagraphFont"/>
    <w:rsid w:val="001203AE"/>
    <w:rPr>
      <w:color w:val="605E5C"/>
      <w:shd w:val="clear" w:color="auto" w:fill="E1DFDD"/>
    </w:rPr>
  </w:style>
  <w:style w:type="paragraph" w:styleId="NoSpacing">
    <w:name w:val="No Spacing"/>
    <w:rsid w:val="000A3AA8"/>
    <w:pPr>
      <w:outlineLvl w:val="0"/>
    </w:pPr>
    <w:rPr>
      <w:rFonts w:ascii="Arial" w:hAnsi="Arial"/>
      <w:sz w:val="22"/>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forrest\Documents\Custom%20Office%20Templates\Clinical%20guideline%20template%20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Clinical guideline template 2018.dotx</Template>
  <TotalTime>12</TotalTime>
  <Pages>7</Pages>
  <Words>1603</Words>
  <Characters>9143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10725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Karen</dc:creator>
  <cp:keywords/>
  <dc:description/>
  <cp:lastModifiedBy>misan Agboghoroma</cp:lastModifiedBy>
  <cp:revision>12</cp:revision>
  <cp:lastPrinted>2019-05-17T12:26:00Z</cp:lastPrinted>
  <dcterms:created xsi:type="dcterms:W3CDTF">2018-08-16T16:01:00Z</dcterms:created>
  <dcterms:modified xsi:type="dcterms:W3CDTF">2020-05-18T22:38:00Z</dcterms:modified>
</cp:coreProperties>
</file>