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FFD6" w14:textId="751A60DB" w:rsidR="001203AE" w:rsidRPr="003C0800" w:rsidRDefault="00EE4D6E" w:rsidP="001203AE">
      <w:pPr>
        <w:pStyle w:val="Heading1"/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 xml:space="preserve">Hyperthyroidism and </w:t>
      </w:r>
      <w:proofErr w:type="spellStart"/>
      <w:r>
        <w:rPr>
          <w:rFonts w:cs="Arial"/>
          <w:szCs w:val="22"/>
        </w:rPr>
        <w:t>goitre</w:t>
      </w:r>
      <w:proofErr w:type="spellEnd"/>
    </w:p>
    <w:p w14:paraId="68C27367" w14:textId="2E5C3EB4" w:rsidR="00935120" w:rsidRPr="00935120" w:rsidRDefault="00935120" w:rsidP="00975A60">
      <w:pPr>
        <w:pStyle w:val="Heading2"/>
        <w:rPr>
          <w:rFonts w:cs="Arial"/>
          <w:i/>
          <w:szCs w:val="22"/>
        </w:rPr>
      </w:pPr>
      <w:r w:rsidRPr="00935120">
        <w:rPr>
          <w:rFonts w:cs="Arial"/>
          <w:i/>
          <w:szCs w:val="22"/>
        </w:rPr>
        <w:t>Executive review</w:t>
      </w:r>
    </w:p>
    <w:p w14:paraId="67198AE8" w14:textId="633E5151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48C9290A" w14:textId="77777777" w:rsidR="00EE4D6E" w:rsidRPr="00A55BE5" w:rsidRDefault="00EE4D6E" w:rsidP="00EE4D6E">
      <w:pPr>
        <w:rPr>
          <w:b/>
        </w:rPr>
      </w:pPr>
      <w:r>
        <w:t xml:space="preserve">Hyperthyroidism and </w:t>
      </w:r>
      <w:proofErr w:type="spellStart"/>
      <w:r>
        <w:t>goitre</w:t>
      </w:r>
      <w:proofErr w:type="spellEnd"/>
      <w:r>
        <w:t xml:space="preserve"> in The Gambia are most often caused either by Grave’s disease or by nodular disease. As everywhere, thyroid disease is more common in women than in men. </w:t>
      </w:r>
    </w:p>
    <w:p w14:paraId="68383F38" w14:textId="23DE4E5E" w:rsidR="00EE4D6E" w:rsidRDefault="00EE4D6E" w:rsidP="00EE4D6E">
      <w:r>
        <w:t>Nodular disease is probably linked to chronic iodine deficiency and is more common in older patients. It may or may not be associated with hyperthyroidism.</w:t>
      </w:r>
    </w:p>
    <w:p w14:paraId="3BC19082" w14:textId="77777777" w:rsidR="00D550DC" w:rsidRDefault="00D550DC" w:rsidP="00D550DC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>Target User</w:t>
      </w:r>
    </w:p>
    <w:p w14:paraId="0BD1A06C" w14:textId="4F1EFC05" w:rsidR="00D550DC" w:rsidRDefault="00D550DC" w:rsidP="00D550DC">
      <w:pPr>
        <w:pStyle w:val="ListParagraph"/>
        <w:numPr>
          <w:ilvl w:val="0"/>
          <w:numId w:val="33"/>
        </w:numPr>
      </w:pPr>
      <w:r>
        <w:t>Nurses</w:t>
      </w:r>
    </w:p>
    <w:p w14:paraId="040416DF" w14:textId="2E1CCF51" w:rsidR="00D550DC" w:rsidRPr="00612AEE" w:rsidRDefault="00D550DC" w:rsidP="00D550DC">
      <w:pPr>
        <w:pStyle w:val="ListParagraph"/>
        <w:numPr>
          <w:ilvl w:val="0"/>
          <w:numId w:val="33"/>
        </w:numPr>
      </w:pPr>
      <w:r>
        <w:t>Doctors</w:t>
      </w:r>
    </w:p>
    <w:p w14:paraId="2BEE0F00" w14:textId="77777777" w:rsidR="00D550DC" w:rsidRDefault="00D550DC" w:rsidP="00D550DC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area of use </w:t>
      </w:r>
    </w:p>
    <w:p w14:paraId="66C2505C" w14:textId="0E95A725" w:rsidR="00D550DC" w:rsidRDefault="00D550DC" w:rsidP="00D550DC">
      <w:pPr>
        <w:pStyle w:val="ListParagraph"/>
        <w:numPr>
          <w:ilvl w:val="0"/>
          <w:numId w:val="34"/>
        </w:numPr>
      </w:pPr>
      <w:r>
        <w:t>Outpatient department</w:t>
      </w:r>
    </w:p>
    <w:p w14:paraId="3D740D8B" w14:textId="668AC004" w:rsidR="00D550DC" w:rsidRPr="00612AEE" w:rsidRDefault="00D550DC" w:rsidP="00D550DC">
      <w:pPr>
        <w:pStyle w:val="ListParagraph"/>
        <w:numPr>
          <w:ilvl w:val="0"/>
          <w:numId w:val="34"/>
        </w:numPr>
      </w:pPr>
      <w:r>
        <w:t>Ward</w:t>
      </w:r>
    </w:p>
    <w:p w14:paraId="28386D55" w14:textId="77777777" w:rsidR="00D550DC" w:rsidRDefault="00D550DC" w:rsidP="00D550DC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>
        <w:rPr>
          <w:rFonts w:eastAsia="MS Mincho" w:cs="Arial"/>
          <w:bCs w:val="0"/>
          <w:sz w:val="24"/>
          <w:szCs w:val="22"/>
          <w:u w:val="none"/>
        </w:rPr>
        <w:t xml:space="preserve">Key areas of focus / 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New additions / </w:t>
      </w:r>
      <w:r>
        <w:rPr>
          <w:rFonts w:eastAsia="MS Mincho" w:cs="Arial"/>
          <w:bCs w:val="0"/>
          <w:sz w:val="24"/>
          <w:szCs w:val="22"/>
          <w:u w:val="none"/>
        </w:rPr>
        <w:t>C</w:t>
      </w:r>
      <w:r w:rsidRPr="00612AEE">
        <w:rPr>
          <w:rFonts w:eastAsia="MS Mincho" w:cs="Arial"/>
          <w:bCs w:val="0"/>
          <w:sz w:val="24"/>
          <w:szCs w:val="22"/>
          <w:u w:val="none"/>
        </w:rPr>
        <w:t>hanges</w:t>
      </w:r>
      <w:r>
        <w:rPr>
          <w:rFonts w:eastAsia="MS Mincho" w:cs="Arial"/>
          <w:bCs w:val="0"/>
          <w:sz w:val="24"/>
          <w:szCs w:val="22"/>
          <w:u w:val="none"/>
        </w:rPr>
        <w:t>.</w:t>
      </w:r>
    </w:p>
    <w:p w14:paraId="4B9344A6" w14:textId="3E52FC67" w:rsidR="00D550DC" w:rsidRPr="001846BB" w:rsidRDefault="00F44F1E" w:rsidP="00D550DC">
      <w:r>
        <w:t xml:space="preserve">This guideline addresses the </w:t>
      </w:r>
      <w:r w:rsidR="00EB736B">
        <w:t xml:space="preserve">diagnosis and </w:t>
      </w:r>
      <w:r>
        <w:t xml:space="preserve">management of hyperthyroidism and </w:t>
      </w:r>
      <w:r w:rsidR="00EB736B">
        <w:t>goitre.</w:t>
      </w:r>
    </w:p>
    <w:p w14:paraId="6BBD8080" w14:textId="77777777" w:rsidR="00D550DC" w:rsidRDefault="00D550DC" w:rsidP="00D550DC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Limitations </w:t>
      </w:r>
    </w:p>
    <w:p w14:paraId="5FF7936D" w14:textId="33DE547E" w:rsidR="00D550DC" w:rsidRDefault="00EB736B" w:rsidP="00D550DC">
      <w:r>
        <w:t>There is l</w:t>
      </w:r>
      <w:r w:rsidR="00D550DC">
        <w:t xml:space="preserve">imited availability of an alternative to </w:t>
      </w:r>
      <w:proofErr w:type="spellStart"/>
      <w:r w:rsidR="00D550DC">
        <w:t>carbimazole</w:t>
      </w:r>
      <w:proofErr w:type="spellEnd"/>
      <w:r w:rsidR="00D550DC">
        <w:t xml:space="preserve"> in the country.</w:t>
      </w:r>
    </w:p>
    <w:p w14:paraId="227130DC" w14:textId="5FA9A747" w:rsidR="00935120" w:rsidRPr="006134B4" w:rsidRDefault="00EB736B" w:rsidP="00EE4D6E">
      <w:pPr>
        <w:rPr>
          <w:b/>
        </w:rPr>
      </w:pPr>
      <w:r>
        <w:t xml:space="preserve">Thyroidectomy is only available </w:t>
      </w:r>
      <w:r w:rsidR="004A5EFD">
        <w:t>when skilled surgeons visit The Gambia. There is no access to radioiodine treatment.</w:t>
      </w:r>
    </w:p>
    <w:p w14:paraId="30916F29" w14:textId="77777777" w:rsidR="00D550DC" w:rsidRDefault="00D550DC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55DA3C38" w14:textId="77FFEF6F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260CD2BF" w14:textId="177D1305" w:rsidR="00EE4D6E" w:rsidRDefault="00EE4D6E" w:rsidP="00EE4D6E">
      <w:proofErr w:type="spellStart"/>
      <w:r>
        <w:t>Goitre</w:t>
      </w:r>
      <w:proofErr w:type="spellEnd"/>
      <w:r>
        <w:t xml:space="preserve"> is a common presenting symptom of thyroid disease. </w:t>
      </w:r>
    </w:p>
    <w:p w14:paraId="74E0AE7E" w14:textId="77777777" w:rsidR="00EE4D6E" w:rsidRDefault="00EE4D6E" w:rsidP="00EE4D6E">
      <w:r>
        <w:t>Other symptoms related to hyperthyroidism include:</w:t>
      </w:r>
    </w:p>
    <w:p w14:paraId="3DE8AF4B" w14:textId="7E216883" w:rsidR="00EE4D6E" w:rsidRPr="00EE4D6E" w:rsidRDefault="00EE4D6E" w:rsidP="00EE4D6E">
      <w:pPr>
        <w:pStyle w:val="ListParagraph"/>
        <w:numPr>
          <w:ilvl w:val="0"/>
          <w:numId w:val="25"/>
        </w:numPr>
        <w:rPr>
          <w:lang w:val="en-GB"/>
        </w:rPr>
      </w:pPr>
      <w:r>
        <w:t>Unintentional weight loss (despite increased appetite)</w:t>
      </w:r>
      <w:r w:rsidRPr="00EE4D6E">
        <w:rPr>
          <w:lang w:val="en-GB"/>
        </w:rPr>
        <w:t xml:space="preserve"> (although a few patients may gain weight, if excessive intake outstrips weight loss)</w:t>
      </w:r>
    </w:p>
    <w:p w14:paraId="54FDBEF4" w14:textId="53A12AC0" w:rsidR="00EE4D6E" w:rsidRDefault="00EE4D6E" w:rsidP="00EE4D6E">
      <w:pPr>
        <w:pStyle w:val="ListParagraph"/>
        <w:numPr>
          <w:ilvl w:val="0"/>
          <w:numId w:val="25"/>
        </w:numPr>
      </w:pPr>
      <w:r>
        <w:t>Shakiness</w:t>
      </w:r>
    </w:p>
    <w:p w14:paraId="7CBD6C9E" w14:textId="77777777" w:rsidR="00EE4D6E" w:rsidRDefault="00EE4D6E" w:rsidP="00EE4D6E">
      <w:pPr>
        <w:pStyle w:val="ListParagraph"/>
        <w:numPr>
          <w:ilvl w:val="0"/>
          <w:numId w:val="25"/>
        </w:numPr>
      </w:pPr>
      <w:r w:rsidRPr="0068141F">
        <w:t>Nervousness</w:t>
      </w:r>
    </w:p>
    <w:p w14:paraId="3A994CE8" w14:textId="77777777" w:rsidR="00EE4D6E" w:rsidRDefault="00EE4D6E" w:rsidP="00EE4D6E">
      <w:pPr>
        <w:pStyle w:val="ListParagraph"/>
        <w:numPr>
          <w:ilvl w:val="0"/>
          <w:numId w:val="25"/>
        </w:numPr>
      </w:pPr>
      <w:r w:rsidRPr="0068141F">
        <w:t>Anxiety</w:t>
      </w:r>
    </w:p>
    <w:p w14:paraId="1E2462E1" w14:textId="6D482B97" w:rsidR="00EE4D6E" w:rsidRDefault="00EE4D6E" w:rsidP="00EE4D6E">
      <w:pPr>
        <w:pStyle w:val="ListParagraph"/>
        <w:numPr>
          <w:ilvl w:val="0"/>
          <w:numId w:val="25"/>
        </w:numPr>
      </w:pPr>
      <w:r w:rsidRPr="0068141F">
        <w:t>Increased perspiration</w:t>
      </w:r>
    </w:p>
    <w:p w14:paraId="0BE6A894" w14:textId="6A079FF0" w:rsidR="00EE4D6E" w:rsidRDefault="00EE4D6E" w:rsidP="00EE4D6E">
      <w:pPr>
        <w:pStyle w:val="ListParagraph"/>
        <w:numPr>
          <w:ilvl w:val="0"/>
          <w:numId w:val="25"/>
        </w:numPr>
      </w:pPr>
      <w:r w:rsidRPr="0068141F">
        <w:t>Heat intolerance</w:t>
      </w:r>
    </w:p>
    <w:p w14:paraId="3C7E9330" w14:textId="3E92E6AB" w:rsidR="00EE4D6E" w:rsidRPr="00EE4D6E" w:rsidRDefault="00EE4D6E" w:rsidP="00EE4D6E">
      <w:pPr>
        <w:pStyle w:val="ListParagraph"/>
        <w:numPr>
          <w:ilvl w:val="0"/>
          <w:numId w:val="25"/>
        </w:numPr>
        <w:rPr>
          <w:lang w:val="en-GB"/>
        </w:rPr>
      </w:pPr>
      <w:r w:rsidRPr="0068141F">
        <w:t>Palpitations</w:t>
      </w:r>
    </w:p>
    <w:p w14:paraId="3355AE36" w14:textId="232F35F1" w:rsidR="00EE4D6E" w:rsidRPr="0068141F" w:rsidRDefault="00EE4D6E" w:rsidP="00EE4D6E">
      <w:pPr>
        <w:pStyle w:val="ListParagraph"/>
        <w:numPr>
          <w:ilvl w:val="0"/>
          <w:numId w:val="25"/>
        </w:numPr>
      </w:pPr>
      <w:r w:rsidRPr="00EE4D6E">
        <w:rPr>
          <w:lang w:val="en-GB"/>
        </w:rPr>
        <w:t>Chest pain – often occurs in the absence of cardiovascular disease</w:t>
      </w:r>
    </w:p>
    <w:p w14:paraId="790913AC" w14:textId="592EDF74" w:rsidR="00EE4D6E" w:rsidRDefault="00EE4D6E" w:rsidP="00EE4D6E">
      <w:pPr>
        <w:pStyle w:val="ListParagraph"/>
        <w:numPr>
          <w:ilvl w:val="0"/>
          <w:numId w:val="25"/>
        </w:numPr>
        <w:rPr>
          <w:lang w:val="en-GB"/>
        </w:rPr>
      </w:pPr>
      <w:r w:rsidRPr="00EE4D6E">
        <w:rPr>
          <w:lang w:val="en-GB"/>
        </w:rPr>
        <w:t>Frequent bowel movements</w:t>
      </w:r>
    </w:p>
    <w:p w14:paraId="763F3F0D" w14:textId="3ECDBEA7" w:rsidR="00EE4D6E" w:rsidRPr="00EE4D6E" w:rsidRDefault="00EE4D6E" w:rsidP="00EE4D6E">
      <w:pPr>
        <w:pStyle w:val="ListParagraph"/>
        <w:numPr>
          <w:ilvl w:val="0"/>
          <w:numId w:val="25"/>
        </w:numPr>
        <w:rPr>
          <w:lang w:val="en-GB"/>
        </w:rPr>
      </w:pPr>
      <w:r>
        <w:t>Reduction in menstrual flow or oligomenorrhea</w:t>
      </w:r>
    </w:p>
    <w:p w14:paraId="400F186E" w14:textId="1E28F8D3" w:rsidR="00EE4D6E" w:rsidRDefault="00EE4D6E" w:rsidP="00EE4D6E">
      <w:r>
        <w:t>Elderly patients may have only cardiovascular symptoms, commonly new onset atrial fibrillation</w:t>
      </w:r>
      <w:r>
        <w:rPr>
          <w:lang w:val="en-GB"/>
        </w:rPr>
        <w:t>.</w:t>
      </w:r>
    </w:p>
    <w:p w14:paraId="2593811E" w14:textId="55E151E1" w:rsidR="00EE4D6E" w:rsidRPr="00A55BE5" w:rsidRDefault="00EE4D6E" w:rsidP="00EE4D6E">
      <w:r>
        <w:t xml:space="preserve">Patients with Grave’s disease may also present with eye disease (proptosis, periorbital </w:t>
      </w:r>
      <w:proofErr w:type="spellStart"/>
      <w:r>
        <w:t>oedema</w:t>
      </w:r>
      <w:proofErr w:type="spellEnd"/>
      <w:r>
        <w:t xml:space="preserve">, diplopia) and may have a past medical history of autoimmune disease (such as rheumatoid arthritis, vitiligo </w:t>
      </w:r>
      <w:proofErr w:type="spellStart"/>
      <w:r>
        <w:t>etc</w:t>
      </w:r>
      <w:proofErr w:type="spellEnd"/>
      <w:r>
        <w:t>).</w:t>
      </w:r>
    </w:p>
    <w:p w14:paraId="776D9287" w14:textId="77777777" w:rsidR="00975A60" w:rsidRPr="00DC590C" w:rsidRDefault="00975A60" w:rsidP="00EE4D6E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77AF4134" w14:textId="77777777" w:rsidR="00EE4D6E" w:rsidRPr="00EE4D6E" w:rsidRDefault="00EE4D6E" w:rsidP="00EE4D6E">
      <w:pPr>
        <w:pStyle w:val="Heading3"/>
      </w:pPr>
      <w:r w:rsidRPr="00EE4D6E">
        <w:t>General examination</w:t>
      </w:r>
    </w:p>
    <w:p w14:paraId="034F01D6" w14:textId="77777777" w:rsidR="00EE4D6E" w:rsidRPr="00EE4D6E" w:rsidRDefault="00EE4D6E" w:rsidP="00EE4D6E">
      <w:pPr>
        <w:pStyle w:val="ListParagraph"/>
        <w:numPr>
          <w:ilvl w:val="0"/>
          <w:numId w:val="26"/>
        </w:numPr>
      </w:pPr>
      <w:r w:rsidRPr="00EE4D6E">
        <w:t>Raised HR or AF</w:t>
      </w:r>
    </w:p>
    <w:p w14:paraId="218C0A0D" w14:textId="06DB73C1" w:rsidR="00EE4D6E" w:rsidRPr="00EE4D6E" w:rsidRDefault="00EE4D6E" w:rsidP="00EE4D6E">
      <w:pPr>
        <w:pStyle w:val="ListParagraph"/>
        <w:numPr>
          <w:ilvl w:val="0"/>
          <w:numId w:val="26"/>
        </w:numPr>
      </w:pPr>
      <w:r w:rsidRPr="00EE4D6E">
        <w:t>Hypertension – with wide pulse pressure</w:t>
      </w:r>
    </w:p>
    <w:p w14:paraId="627E0E38" w14:textId="77777777" w:rsidR="00EE4D6E" w:rsidRPr="00EE4D6E" w:rsidRDefault="00EE4D6E" w:rsidP="00EE4D6E">
      <w:pPr>
        <w:pStyle w:val="ListParagraph"/>
        <w:numPr>
          <w:ilvl w:val="0"/>
          <w:numId w:val="26"/>
        </w:numPr>
      </w:pPr>
      <w:r w:rsidRPr="00EE4D6E">
        <w:t xml:space="preserve">Warm moist, smooth skin, </w:t>
      </w:r>
    </w:p>
    <w:p w14:paraId="38018238" w14:textId="40F4E7C3" w:rsidR="00EE4D6E" w:rsidRPr="00EE4D6E" w:rsidRDefault="00EE4D6E" w:rsidP="00EE4D6E">
      <w:pPr>
        <w:pStyle w:val="ListParagraph"/>
        <w:numPr>
          <w:ilvl w:val="0"/>
          <w:numId w:val="26"/>
        </w:numPr>
      </w:pPr>
      <w:r w:rsidRPr="00EE4D6E">
        <w:t>Lid lag, staring appearance</w:t>
      </w:r>
    </w:p>
    <w:p w14:paraId="11D46F6D" w14:textId="0E6BF6DD" w:rsidR="00EE4D6E" w:rsidRPr="00EE4D6E" w:rsidRDefault="00EE4D6E" w:rsidP="00EE4D6E">
      <w:pPr>
        <w:pStyle w:val="ListParagraph"/>
        <w:numPr>
          <w:ilvl w:val="0"/>
          <w:numId w:val="26"/>
        </w:numPr>
      </w:pPr>
      <w:r w:rsidRPr="00EE4D6E">
        <w:t>Tremor</w:t>
      </w:r>
    </w:p>
    <w:p w14:paraId="5EEA39A6" w14:textId="7B47C8F2" w:rsidR="00EE4D6E" w:rsidRPr="00EE4D6E" w:rsidRDefault="00EE4D6E" w:rsidP="00EE4D6E">
      <w:pPr>
        <w:pStyle w:val="ListParagraph"/>
        <w:numPr>
          <w:ilvl w:val="0"/>
          <w:numId w:val="26"/>
        </w:numPr>
      </w:pPr>
      <w:r w:rsidRPr="00EE4D6E">
        <w:t>Muscle weakness</w:t>
      </w:r>
    </w:p>
    <w:p w14:paraId="62C46D8D" w14:textId="1ABEB42D" w:rsidR="00EE4D6E" w:rsidRPr="00C261EB" w:rsidRDefault="00EE4D6E" w:rsidP="00EE4D6E">
      <w:pPr>
        <w:pStyle w:val="Heading3"/>
      </w:pPr>
      <w:r w:rsidRPr="00C261EB">
        <w:t>Thyroid</w:t>
      </w:r>
    </w:p>
    <w:p w14:paraId="772C3A83" w14:textId="2F2A9CB0" w:rsidR="00EE4D6E" w:rsidRDefault="00EE4D6E" w:rsidP="00EE4D6E">
      <w:r>
        <w:t>In Grave’s disease, the thyroid is typically diffusely enlarged and firm.</w:t>
      </w:r>
      <w:r w:rsidR="00896E01">
        <w:t xml:space="preserve"> </w:t>
      </w:r>
      <w:r>
        <w:t xml:space="preserve">Multinodular </w:t>
      </w:r>
      <w:proofErr w:type="spellStart"/>
      <w:r>
        <w:t>goitres</w:t>
      </w:r>
      <w:proofErr w:type="spellEnd"/>
      <w:r>
        <w:t xml:space="preserve"> are </w:t>
      </w:r>
      <w:proofErr w:type="gramStart"/>
      <w:r>
        <w:t>softer, but</w:t>
      </w:r>
      <w:proofErr w:type="gramEnd"/>
      <w:r>
        <w:t xml:space="preserve"> may be much larger. Pain is very unusual.</w:t>
      </w:r>
    </w:p>
    <w:p w14:paraId="1187E11D" w14:textId="59CBA3DC" w:rsidR="00EE4D6E" w:rsidRDefault="00EE4D6E" w:rsidP="00EE4D6E">
      <w:pPr>
        <w:pStyle w:val="Heading2"/>
      </w:pPr>
      <w:r>
        <w:t>Differential diagnoses</w:t>
      </w:r>
    </w:p>
    <w:p w14:paraId="5A3FDAAE" w14:textId="77777777" w:rsidR="00EE4D6E" w:rsidRDefault="00EE4D6E" w:rsidP="00EE4D6E">
      <w:pPr>
        <w:pStyle w:val="ListParagraph"/>
        <w:numPr>
          <w:ilvl w:val="0"/>
          <w:numId w:val="28"/>
        </w:numPr>
      </w:pPr>
      <w:r w:rsidRPr="0068141F">
        <w:t>Anxiety Disorders</w:t>
      </w:r>
    </w:p>
    <w:p w14:paraId="5EB531DB" w14:textId="77777777" w:rsidR="00EE4D6E" w:rsidRDefault="00EE4D6E" w:rsidP="00EE4D6E">
      <w:pPr>
        <w:pStyle w:val="ListParagraph"/>
        <w:numPr>
          <w:ilvl w:val="0"/>
          <w:numId w:val="28"/>
        </w:numPr>
      </w:pPr>
      <w:r w:rsidRPr="0068141F">
        <w:t>Panic Disorder</w:t>
      </w:r>
    </w:p>
    <w:p w14:paraId="684686EE" w14:textId="77777777" w:rsidR="00EE4D6E" w:rsidRDefault="00EE4D6E" w:rsidP="00EE4D6E">
      <w:pPr>
        <w:pStyle w:val="ListParagraph"/>
        <w:numPr>
          <w:ilvl w:val="0"/>
          <w:numId w:val="28"/>
        </w:numPr>
      </w:pPr>
      <w:r w:rsidRPr="0068141F">
        <w:t>Withdrawal Syndromes</w:t>
      </w:r>
    </w:p>
    <w:p w14:paraId="74B359A2" w14:textId="013C9600" w:rsidR="00EE4D6E" w:rsidRDefault="00EE4D6E" w:rsidP="00EE4D6E">
      <w:pPr>
        <w:pStyle w:val="ListParagraph"/>
        <w:numPr>
          <w:ilvl w:val="0"/>
          <w:numId w:val="28"/>
        </w:numPr>
      </w:pPr>
      <w:r w:rsidRPr="0068141F">
        <w:t>Delirium Tremens (DTs)</w:t>
      </w:r>
    </w:p>
    <w:p w14:paraId="14ED6975" w14:textId="77777777" w:rsidR="00896E01" w:rsidRDefault="00896E01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0C5321AB" w14:textId="4A009F55" w:rsidR="00BC69C0" w:rsidRDefault="00BC69C0" w:rsidP="00BC69C0">
      <w:pPr>
        <w:pStyle w:val="Heading2"/>
      </w:pPr>
      <w:r>
        <w:lastRenderedPageBreak/>
        <w:t>Investigations</w:t>
      </w:r>
    </w:p>
    <w:p w14:paraId="2BBDDB5E" w14:textId="28B4A34F" w:rsidR="00BC69C0" w:rsidRDefault="00BC69C0" w:rsidP="00BC69C0">
      <w:r>
        <w:t>US of neck is essential to identify nodules.</w:t>
      </w:r>
    </w:p>
    <w:p w14:paraId="47B105E6" w14:textId="77777777" w:rsidR="00BC69C0" w:rsidRDefault="00BC69C0" w:rsidP="00BC69C0">
      <w:pPr>
        <w:rPr>
          <w:lang w:val="en-GB"/>
        </w:rPr>
      </w:pPr>
      <w:r>
        <w:t xml:space="preserve">ECG </w:t>
      </w:r>
      <w:r>
        <w:rPr>
          <w:lang w:val="en-GB"/>
        </w:rPr>
        <w:t>may show sinus tachycardia or atrial fibrillation (especially in elderly patients).</w:t>
      </w:r>
    </w:p>
    <w:p w14:paraId="3D6AAB71" w14:textId="442EA28F" w:rsidR="00BC69C0" w:rsidRDefault="00BC69C0" w:rsidP="00BC69C0">
      <w:r>
        <w:t>The most reliable screening measure of thyroid function is the thyroid-stimulating hormone (TSH) level. Hyperthyroidism is confirmed by the presence of a TSH level which is</w:t>
      </w:r>
      <w:r>
        <w:rPr>
          <w:lang w:val="en-GB"/>
        </w:rPr>
        <w:t xml:space="preserve"> low or </w:t>
      </w:r>
      <w:r>
        <w:t>suppressed to</w:t>
      </w:r>
      <w:r>
        <w:rPr>
          <w:lang w:val="en-GB"/>
        </w:rPr>
        <w:t xml:space="preserve"> </w:t>
      </w:r>
      <w:r>
        <w:t>unmeasurable levels (except in the case of secondary hyperthyroidism due to pituitary disease, which is not considered in this guideline).</w:t>
      </w:r>
    </w:p>
    <w:p w14:paraId="6CDB5C94" w14:textId="37A20DDE" w:rsidR="00BC69C0" w:rsidRDefault="00BC69C0" w:rsidP="00BC69C0">
      <w:r>
        <w:t>If the TSH is low, then order free T</w:t>
      </w:r>
      <w:r w:rsidRPr="00BC69C0">
        <w:rPr>
          <w:vertAlign w:val="subscript"/>
        </w:rPr>
        <w:t>3</w:t>
      </w:r>
      <w:r>
        <w:t xml:space="preserve"> and free T</w:t>
      </w:r>
      <w:r w:rsidRPr="00BC69C0">
        <w:rPr>
          <w:vertAlign w:val="subscript"/>
        </w:rPr>
        <w:t>4</w:t>
      </w:r>
      <w:r>
        <w:t xml:space="preserve"> at the next appointment. The diagnosis is confirmed if these are </w:t>
      </w:r>
      <w:r w:rsidRPr="00BC69C0">
        <w:t xml:space="preserve">raised. Sub-clinical hyperthyroidism is defined as a decreased but not undetectable TSH level (&lt; 0.5 </w:t>
      </w:r>
      <w:proofErr w:type="spellStart"/>
      <w:r w:rsidRPr="00BC69C0">
        <w:t>μIU</w:t>
      </w:r>
      <w:proofErr w:type="spellEnd"/>
      <w:r w:rsidRPr="00BC69C0">
        <w:t>/mL) in combination with serum concentrations of T</w:t>
      </w:r>
      <w:r w:rsidRPr="00BC69C0">
        <w:rPr>
          <w:vertAlign w:val="subscript"/>
        </w:rPr>
        <w:t>3</w:t>
      </w:r>
      <w:r w:rsidRPr="00BC69C0">
        <w:t xml:space="preserve"> and T</w:t>
      </w:r>
      <w:r w:rsidRPr="00BC69C0">
        <w:rPr>
          <w:vertAlign w:val="subscript"/>
        </w:rPr>
        <w:t>4</w:t>
      </w:r>
      <w:r w:rsidRPr="00BC69C0">
        <w:t xml:space="preserve"> that are within the reference range.</w:t>
      </w:r>
    </w:p>
    <w:p w14:paraId="7B88C165" w14:textId="77777777" w:rsidR="00F03F25" w:rsidRPr="00BC69C0" w:rsidRDefault="001203AE" w:rsidP="00BC69C0">
      <w:pPr>
        <w:pStyle w:val="Heading2"/>
      </w:pPr>
      <w:r w:rsidRPr="00BC69C0">
        <w:t xml:space="preserve">Management </w:t>
      </w:r>
    </w:p>
    <w:p w14:paraId="0D83F1E5" w14:textId="77777777" w:rsidR="00BC69C0" w:rsidRPr="00A8021F" w:rsidRDefault="00BC69C0" w:rsidP="00BC69C0">
      <w:pPr>
        <w:pStyle w:val="Heading2"/>
        <w:rPr>
          <w:szCs w:val="24"/>
          <w:u w:val="single"/>
        </w:rPr>
      </w:pPr>
      <w:r w:rsidRPr="00A8021F">
        <w:rPr>
          <w:szCs w:val="24"/>
          <w:u w:val="single"/>
        </w:rPr>
        <w:t xml:space="preserve">Non-toxic </w:t>
      </w:r>
      <w:proofErr w:type="spellStart"/>
      <w:r w:rsidRPr="00A8021F">
        <w:rPr>
          <w:szCs w:val="24"/>
          <w:u w:val="single"/>
        </w:rPr>
        <w:t>goitre</w:t>
      </w:r>
      <w:proofErr w:type="spellEnd"/>
    </w:p>
    <w:p w14:paraId="19E39C76" w14:textId="5311B4BC" w:rsidR="00BC69C0" w:rsidRDefault="00BC69C0" w:rsidP="00BC69C0">
      <w:r>
        <w:t xml:space="preserve">This does not usually need any immediate treatment. Encourage the patient to use </w:t>
      </w:r>
      <w:proofErr w:type="spellStart"/>
      <w:r>
        <w:t>iodised</w:t>
      </w:r>
      <w:proofErr w:type="spellEnd"/>
      <w:r>
        <w:t xml:space="preserve"> salt. If the </w:t>
      </w:r>
      <w:proofErr w:type="spellStart"/>
      <w:r>
        <w:t>goitre</w:t>
      </w:r>
      <w:proofErr w:type="spellEnd"/>
      <w:r>
        <w:t xml:space="preserve"> is large or the patient is distressed, then consider referral to the surgeons at KGH as they sometimes have a team of visiting thyroid surgeons.</w:t>
      </w:r>
    </w:p>
    <w:p w14:paraId="4BF60C2B" w14:textId="77777777" w:rsidR="00BC69C0" w:rsidRPr="00A8021F" w:rsidRDefault="00BC69C0" w:rsidP="00BC69C0">
      <w:pPr>
        <w:rPr>
          <w:b/>
          <w:u w:val="single"/>
        </w:rPr>
      </w:pPr>
      <w:r w:rsidRPr="00A8021F">
        <w:rPr>
          <w:b/>
          <w:u w:val="single"/>
        </w:rPr>
        <w:t>Hyperthyroidism.</w:t>
      </w:r>
    </w:p>
    <w:p w14:paraId="393DBB64" w14:textId="77777777" w:rsidR="00BC69C0" w:rsidRDefault="00BC69C0" w:rsidP="00BC69C0">
      <w:r>
        <w:t>Once hyperthyroidism is confirmed by a low TSH, it becomes necessary to check free T</w:t>
      </w:r>
      <w:r w:rsidRPr="00A8021F">
        <w:rPr>
          <w:vertAlign w:val="subscript"/>
        </w:rPr>
        <w:t>4</w:t>
      </w:r>
      <w:r>
        <w:t xml:space="preserve"> and T</w:t>
      </w:r>
      <w:r w:rsidRPr="00A8021F">
        <w:rPr>
          <w:vertAlign w:val="subscript"/>
        </w:rPr>
        <w:t>3</w:t>
      </w:r>
      <w:r>
        <w:t xml:space="preserve"> (fT</w:t>
      </w:r>
      <w:r w:rsidRPr="00A8021F">
        <w:rPr>
          <w:vertAlign w:val="subscript"/>
        </w:rPr>
        <w:t>3</w:t>
      </w:r>
      <w:r>
        <w:t>, fT</w:t>
      </w:r>
      <w:r w:rsidRPr="00A8021F">
        <w:rPr>
          <w:vertAlign w:val="subscript"/>
        </w:rPr>
        <w:t>4</w:t>
      </w:r>
      <w:r>
        <w:t>). Also check FBC and LFTs.</w:t>
      </w:r>
    </w:p>
    <w:p w14:paraId="104AC924" w14:textId="77777777" w:rsidR="00BC69C0" w:rsidRPr="00D3766C" w:rsidRDefault="00BC69C0" w:rsidP="00BC69C0">
      <w:pPr>
        <w:rPr>
          <w:u w:val="single"/>
        </w:rPr>
      </w:pPr>
      <w:r w:rsidRPr="00D3766C">
        <w:rPr>
          <w:u w:val="single"/>
        </w:rPr>
        <w:t>Initial treatment</w:t>
      </w:r>
    </w:p>
    <w:p w14:paraId="20132D71" w14:textId="77777777" w:rsidR="00BC69C0" w:rsidRDefault="00BC69C0" w:rsidP="00BC69C0">
      <w:r>
        <w:t xml:space="preserve">Start </w:t>
      </w:r>
    </w:p>
    <w:p w14:paraId="1AC306D8" w14:textId="5F38CA71" w:rsidR="00BC69C0" w:rsidRDefault="00BC69C0" w:rsidP="00BC69C0">
      <w:pPr>
        <w:pStyle w:val="ListParagraph"/>
        <w:numPr>
          <w:ilvl w:val="0"/>
          <w:numId w:val="29"/>
        </w:numPr>
      </w:pPr>
      <w:r>
        <w:t>adults with HR &gt; 90 on Propranolol 40</w:t>
      </w:r>
      <w:r w:rsidR="00D53639">
        <w:t xml:space="preserve"> </w:t>
      </w:r>
      <w:r>
        <w:t>mg TDS.</w:t>
      </w:r>
    </w:p>
    <w:p w14:paraId="46EA4830" w14:textId="20BB46FD" w:rsidR="00BC69C0" w:rsidRDefault="00BC69C0" w:rsidP="00BC69C0">
      <w:pPr>
        <w:pStyle w:val="ListParagraph"/>
        <w:numPr>
          <w:ilvl w:val="0"/>
          <w:numId w:val="29"/>
        </w:numPr>
      </w:pPr>
      <w:r>
        <w:t>children with HR &gt; 100 and cardiovascular symptoms on Propranolol 0.5-1.0</w:t>
      </w:r>
      <w:r w:rsidR="00D53639">
        <w:t xml:space="preserve"> </w:t>
      </w:r>
      <w:r>
        <w:t>mg/kg TDS.</w:t>
      </w:r>
    </w:p>
    <w:p w14:paraId="24E02A5D" w14:textId="6AA1D152" w:rsidR="00BC69C0" w:rsidRDefault="00BC69C0" w:rsidP="00BC69C0">
      <w:r>
        <w:t>Once the fT</w:t>
      </w:r>
      <w:r w:rsidRPr="00A8021F">
        <w:rPr>
          <w:vertAlign w:val="subscript"/>
        </w:rPr>
        <w:t>4</w:t>
      </w:r>
      <w:r>
        <w:t xml:space="preserve"> is available, start </w:t>
      </w:r>
      <w:proofErr w:type="spellStart"/>
      <w:r>
        <w:t>Carbimazole</w:t>
      </w:r>
      <w:proofErr w:type="spellEnd"/>
      <w:r>
        <w:t xml:space="preserve"> as outlined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C69C0" w14:paraId="0F9B9FC1" w14:textId="77777777" w:rsidTr="00090C1B">
        <w:tc>
          <w:tcPr>
            <w:tcW w:w="2876" w:type="dxa"/>
          </w:tcPr>
          <w:p w14:paraId="46C5EBDB" w14:textId="77777777" w:rsidR="00BC69C0" w:rsidRPr="003C2E21" w:rsidRDefault="00BC69C0" w:rsidP="00090C1B">
            <w:pPr>
              <w:rPr>
                <w:b/>
              </w:rPr>
            </w:pPr>
            <w:r w:rsidRPr="003C2E21">
              <w:rPr>
                <w:b/>
              </w:rPr>
              <w:t>fT</w:t>
            </w:r>
            <w:r w:rsidRPr="003C2E21">
              <w:rPr>
                <w:b/>
                <w:vertAlign w:val="subscript"/>
              </w:rPr>
              <w:t>4</w:t>
            </w:r>
          </w:p>
        </w:tc>
        <w:tc>
          <w:tcPr>
            <w:tcW w:w="2877" w:type="dxa"/>
          </w:tcPr>
          <w:p w14:paraId="31F601A2" w14:textId="77777777" w:rsidR="00BC69C0" w:rsidRPr="003C2E21" w:rsidRDefault="00BC69C0" w:rsidP="00090C1B">
            <w:pPr>
              <w:rPr>
                <w:b/>
              </w:rPr>
            </w:pPr>
            <w:r w:rsidRPr="003C2E21">
              <w:rPr>
                <w:b/>
              </w:rPr>
              <w:t>Adult dose</w:t>
            </w:r>
          </w:p>
        </w:tc>
        <w:tc>
          <w:tcPr>
            <w:tcW w:w="2877" w:type="dxa"/>
          </w:tcPr>
          <w:p w14:paraId="45A96BDC" w14:textId="77777777" w:rsidR="00BC69C0" w:rsidRPr="003C2E21" w:rsidRDefault="00BC69C0" w:rsidP="00090C1B">
            <w:pPr>
              <w:rPr>
                <w:b/>
              </w:rPr>
            </w:pPr>
            <w:r w:rsidRPr="003C2E21">
              <w:rPr>
                <w:b/>
              </w:rPr>
              <w:t>Children’s dose</w:t>
            </w:r>
          </w:p>
        </w:tc>
      </w:tr>
      <w:tr w:rsidR="00BC69C0" w14:paraId="63CF1A35" w14:textId="77777777" w:rsidTr="00090C1B">
        <w:tc>
          <w:tcPr>
            <w:tcW w:w="2876" w:type="dxa"/>
          </w:tcPr>
          <w:p w14:paraId="604C77DE" w14:textId="77777777" w:rsidR="00BC69C0" w:rsidRDefault="00BC69C0" w:rsidP="00090C1B">
            <w:r>
              <w:t>1.85 – 2.78 ng/dl</w:t>
            </w:r>
          </w:p>
        </w:tc>
        <w:tc>
          <w:tcPr>
            <w:tcW w:w="2877" w:type="dxa"/>
          </w:tcPr>
          <w:p w14:paraId="709F67CC" w14:textId="1CC7743B" w:rsidR="00BC69C0" w:rsidRDefault="00BC69C0" w:rsidP="00090C1B">
            <w:r>
              <w:t>5-10</w:t>
            </w:r>
            <w:r w:rsidR="00D53639">
              <w:t xml:space="preserve"> </w:t>
            </w:r>
            <w:r>
              <w:t>mg OD</w:t>
            </w:r>
          </w:p>
        </w:tc>
        <w:tc>
          <w:tcPr>
            <w:tcW w:w="2877" w:type="dxa"/>
          </w:tcPr>
          <w:p w14:paraId="2E5DE962" w14:textId="3863942E" w:rsidR="00BC69C0" w:rsidRDefault="00BC69C0" w:rsidP="00090C1B">
            <w:r>
              <w:t>0.25</w:t>
            </w:r>
            <w:r w:rsidR="00D53639">
              <w:t xml:space="preserve"> </w:t>
            </w:r>
            <w:r>
              <w:t>mg/kg OD</w:t>
            </w:r>
          </w:p>
        </w:tc>
      </w:tr>
      <w:tr w:rsidR="00BC69C0" w14:paraId="19258A53" w14:textId="77777777" w:rsidTr="00090C1B">
        <w:tc>
          <w:tcPr>
            <w:tcW w:w="2876" w:type="dxa"/>
          </w:tcPr>
          <w:p w14:paraId="1B2D59A5" w14:textId="77777777" w:rsidR="00BC69C0" w:rsidRDefault="00BC69C0" w:rsidP="00090C1B">
            <w:r>
              <w:t>2.78 – 3.7 ng/dl</w:t>
            </w:r>
          </w:p>
        </w:tc>
        <w:tc>
          <w:tcPr>
            <w:tcW w:w="2877" w:type="dxa"/>
          </w:tcPr>
          <w:p w14:paraId="35D4C21E" w14:textId="2AC2B4D5" w:rsidR="00BC69C0" w:rsidRDefault="00BC69C0" w:rsidP="00090C1B">
            <w:r>
              <w:t>10-20</w:t>
            </w:r>
            <w:r w:rsidR="00D53639">
              <w:t xml:space="preserve"> </w:t>
            </w:r>
            <w:r>
              <w:t>mg OD</w:t>
            </w:r>
          </w:p>
        </w:tc>
        <w:tc>
          <w:tcPr>
            <w:tcW w:w="2877" w:type="dxa"/>
          </w:tcPr>
          <w:p w14:paraId="3E27D510" w14:textId="5F386E2B" w:rsidR="00BC69C0" w:rsidRDefault="00BC69C0" w:rsidP="00090C1B">
            <w:r>
              <w:t>0.5</w:t>
            </w:r>
            <w:r w:rsidR="00D53639">
              <w:t xml:space="preserve"> </w:t>
            </w:r>
            <w:r>
              <w:t>mg/kg OD</w:t>
            </w:r>
          </w:p>
        </w:tc>
      </w:tr>
      <w:tr w:rsidR="00BC69C0" w14:paraId="24D4F414" w14:textId="77777777" w:rsidTr="00090C1B">
        <w:tc>
          <w:tcPr>
            <w:tcW w:w="2876" w:type="dxa"/>
          </w:tcPr>
          <w:p w14:paraId="50385EE1" w14:textId="77777777" w:rsidR="00BC69C0" w:rsidRDefault="00BC69C0" w:rsidP="00090C1B">
            <w:r>
              <w:t>3.7 – 5.55 ng/dl</w:t>
            </w:r>
          </w:p>
        </w:tc>
        <w:tc>
          <w:tcPr>
            <w:tcW w:w="2877" w:type="dxa"/>
          </w:tcPr>
          <w:p w14:paraId="1D9CB794" w14:textId="0AA0081A" w:rsidR="00BC69C0" w:rsidRDefault="00BC69C0" w:rsidP="00090C1B">
            <w:r>
              <w:t>30-40</w:t>
            </w:r>
            <w:r w:rsidR="00D53639">
              <w:t xml:space="preserve"> </w:t>
            </w:r>
            <w:r>
              <w:t>mg OD</w:t>
            </w:r>
          </w:p>
        </w:tc>
        <w:tc>
          <w:tcPr>
            <w:tcW w:w="2877" w:type="dxa"/>
          </w:tcPr>
          <w:p w14:paraId="203B7A71" w14:textId="12E75013" w:rsidR="00BC69C0" w:rsidRDefault="00BC69C0" w:rsidP="00090C1B">
            <w:r>
              <w:t>0.75</w:t>
            </w:r>
            <w:r w:rsidR="00D53639">
              <w:t xml:space="preserve"> </w:t>
            </w:r>
            <w:r>
              <w:t>mg/kg OD</w:t>
            </w:r>
          </w:p>
        </w:tc>
      </w:tr>
    </w:tbl>
    <w:p w14:paraId="18A4717E" w14:textId="77777777" w:rsidR="00BC69C0" w:rsidRDefault="00BC69C0" w:rsidP="00BC69C0"/>
    <w:p w14:paraId="77A2BA86" w14:textId="77777777" w:rsidR="00BC69C0" w:rsidRDefault="00BC69C0" w:rsidP="00BC69C0">
      <w:r>
        <w:t>Recheck fT</w:t>
      </w:r>
      <w:r w:rsidRPr="00A8021F">
        <w:rPr>
          <w:vertAlign w:val="subscript"/>
        </w:rPr>
        <w:t>3</w:t>
      </w:r>
      <w:r>
        <w:t xml:space="preserve"> and fT</w:t>
      </w:r>
      <w:r w:rsidRPr="00A8021F">
        <w:rPr>
          <w:vertAlign w:val="subscript"/>
        </w:rPr>
        <w:t>4</w:t>
      </w:r>
      <w:r>
        <w:rPr>
          <w:vertAlign w:val="subscript"/>
        </w:rPr>
        <w:t xml:space="preserve"> </w:t>
      </w:r>
      <w:r w:rsidRPr="00A8021F">
        <w:t>(but not TSH</w:t>
      </w:r>
      <w:r>
        <w:t xml:space="preserve"> which is slow to normalize) 1 month after starting treatment. Once the levels of both are normal, reduce </w:t>
      </w:r>
      <w:proofErr w:type="spellStart"/>
      <w:r>
        <w:t>Carbimazole</w:t>
      </w:r>
      <w:proofErr w:type="spellEnd"/>
      <w:r>
        <w:t xml:space="preserve"> dose by 50% and then recheck again in 6/52. </w:t>
      </w:r>
    </w:p>
    <w:p w14:paraId="38DA9905" w14:textId="77777777" w:rsidR="00BC69C0" w:rsidRPr="00D3766C" w:rsidRDefault="00BC69C0" w:rsidP="00BC69C0">
      <w:pPr>
        <w:rPr>
          <w:u w:val="single"/>
        </w:rPr>
      </w:pPr>
      <w:r w:rsidRPr="00D3766C">
        <w:rPr>
          <w:u w:val="single"/>
        </w:rPr>
        <w:t>Maintenance</w:t>
      </w:r>
    </w:p>
    <w:p w14:paraId="352D35D9" w14:textId="5BAD273F" w:rsidR="00BC69C0" w:rsidRDefault="00BC69C0" w:rsidP="00BC69C0">
      <w:r>
        <w:t xml:space="preserve">Once the patient is euthyroid and stable on a maintenance dose of </w:t>
      </w:r>
      <w:proofErr w:type="spellStart"/>
      <w:r>
        <w:t>Carbimazole</w:t>
      </w:r>
      <w:proofErr w:type="spellEnd"/>
      <w:r>
        <w:t xml:space="preserve"> (typically 10</w:t>
      </w:r>
      <w:r w:rsidR="00D53639">
        <w:t xml:space="preserve"> </w:t>
      </w:r>
      <w:r>
        <w:t>mg OD in adults), check the fT</w:t>
      </w:r>
      <w:r w:rsidRPr="00A8021F">
        <w:rPr>
          <w:vertAlign w:val="subscript"/>
        </w:rPr>
        <w:t>3</w:t>
      </w:r>
      <w:r>
        <w:t>, fT</w:t>
      </w:r>
      <w:r w:rsidRPr="00A8021F">
        <w:rPr>
          <w:vertAlign w:val="subscript"/>
        </w:rPr>
        <w:t>4</w:t>
      </w:r>
      <w:r>
        <w:t xml:space="preserve"> every 3/12. Stop the propranolol. </w:t>
      </w:r>
    </w:p>
    <w:p w14:paraId="2277A84A" w14:textId="77777777" w:rsidR="00BC69C0" w:rsidRDefault="00BC69C0" w:rsidP="00BC69C0">
      <w:proofErr w:type="spellStart"/>
      <w:r>
        <w:t>Carbimazole</w:t>
      </w:r>
      <w:proofErr w:type="spellEnd"/>
      <w:r>
        <w:t xml:space="preserve"> is associated with a 1 in 1000 risk of agranulocytosis and a 3 in 10000 risk of liver failure. </w:t>
      </w:r>
    </w:p>
    <w:p w14:paraId="637FEC48" w14:textId="77777777" w:rsidR="00BC69C0" w:rsidRDefault="00BC69C0" w:rsidP="00BC69C0">
      <w:pPr>
        <w:pStyle w:val="ListParagraph"/>
        <w:numPr>
          <w:ilvl w:val="0"/>
          <w:numId w:val="31"/>
        </w:numPr>
      </w:pPr>
      <w:r>
        <w:lastRenderedPageBreak/>
        <w:t xml:space="preserve">Warn the patient to return urgently if they develop a febrile illness, pharyngitis, itchy rash, jaundice, change of </w:t>
      </w:r>
      <w:proofErr w:type="spellStart"/>
      <w:r>
        <w:t>colour</w:t>
      </w:r>
      <w:proofErr w:type="spellEnd"/>
      <w:r>
        <w:t xml:space="preserve"> of stool or urine, abdominal pain or bloating, anorexia, nausea or vomiting. </w:t>
      </w:r>
    </w:p>
    <w:p w14:paraId="3D987859" w14:textId="77777777" w:rsidR="00BC69C0" w:rsidRDefault="00BC69C0" w:rsidP="00BC69C0">
      <w:pPr>
        <w:pStyle w:val="ListParagraph"/>
        <w:numPr>
          <w:ilvl w:val="0"/>
          <w:numId w:val="31"/>
        </w:numPr>
      </w:pPr>
      <w:r>
        <w:t xml:space="preserve">Check the FBC or LFTs as appropriate in any patient presenting with these symptoms. </w:t>
      </w:r>
    </w:p>
    <w:p w14:paraId="1D4DC148" w14:textId="77777777" w:rsidR="00BC69C0" w:rsidRPr="00917A1D" w:rsidRDefault="00BC69C0" w:rsidP="00BC69C0">
      <w:pPr>
        <w:pStyle w:val="ListParagraph"/>
        <w:numPr>
          <w:ilvl w:val="0"/>
          <w:numId w:val="31"/>
        </w:numPr>
        <w:rPr>
          <w:u w:val="single"/>
        </w:rPr>
      </w:pPr>
      <w:r>
        <w:t xml:space="preserve">If either have changed from baseline, then you may need to stop the </w:t>
      </w:r>
      <w:proofErr w:type="spellStart"/>
      <w:r>
        <w:t>carbimazole</w:t>
      </w:r>
      <w:proofErr w:type="spellEnd"/>
      <w:r>
        <w:t xml:space="preserve"> – remembering that there is no alternative treatment easily available in the Gambia. </w:t>
      </w:r>
    </w:p>
    <w:p w14:paraId="4AFC9D8E" w14:textId="77777777" w:rsidR="00BC69C0" w:rsidRPr="00D3766C" w:rsidRDefault="00BC69C0" w:rsidP="00BC69C0">
      <w:pPr>
        <w:rPr>
          <w:u w:val="single"/>
        </w:rPr>
      </w:pPr>
      <w:r w:rsidRPr="00D3766C">
        <w:rPr>
          <w:u w:val="single"/>
        </w:rPr>
        <w:t>Further treatment</w:t>
      </w:r>
    </w:p>
    <w:p w14:paraId="5835257B" w14:textId="77777777" w:rsidR="00BC69C0" w:rsidRDefault="00BC69C0" w:rsidP="00BC69C0">
      <w:r>
        <w:t xml:space="preserve">Patients with a toxic nodular </w:t>
      </w:r>
      <w:proofErr w:type="spellStart"/>
      <w:r>
        <w:t>goitre</w:t>
      </w:r>
      <w:proofErr w:type="spellEnd"/>
      <w:r>
        <w:t xml:space="preserve"> are very likely to need surgery once they are euthyroid and should be referred for this.</w:t>
      </w:r>
    </w:p>
    <w:p w14:paraId="09EBB1CF" w14:textId="77777777" w:rsidR="00BC69C0" w:rsidRDefault="00BC69C0" w:rsidP="00BC69C0">
      <w:r>
        <w:t xml:space="preserve">Patients with Grave’s disease who have been on treatment for 18 months or more may be able to stop treatment and remain in remission. </w:t>
      </w:r>
    </w:p>
    <w:p w14:paraId="321108AC" w14:textId="77777777" w:rsidR="00BC69C0" w:rsidRDefault="00BC69C0" w:rsidP="00BC69C0">
      <w:pPr>
        <w:pStyle w:val="ListParagraph"/>
        <w:numPr>
          <w:ilvl w:val="0"/>
          <w:numId w:val="30"/>
        </w:numPr>
      </w:pPr>
      <w:r>
        <w:t>Review the patient clinically 1/12 after stopping treatment. If they are well, review 3 monthly and check TSH, fT</w:t>
      </w:r>
      <w:r w:rsidRPr="00917A1D">
        <w:rPr>
          <w:vertAlign w:val="subscript"/>
        </w:rPr>
        <w:t>3</w:t>
      </w:r>
      <w:r>
        <w:t>, fT</w:t>
      </w:r>
      <w:r w:rsidRPr="00917A1D">
        <w:rPr>
          <w:vertAlign w:val="subscript"/>
        </w:rPr>
        <w:t>4</w:t>
      </w:r>
      <w:r>
        <w:t xml:space="preserve"> at each appointment until they have been euthyroid off treatment for 1 year. Then discharge the patient. </w:t>
      </w:r>
    </w:p>
    <w:p w14:paraId="52868A58" w14:textId="77777777" w:rsidR="00BC69C0" w:rsidRPr="00C261EB" w:rsidRDefault="00BC69C0" w:rsidP="00BC69C0">
      <w:pPr>
        <w:pStyle w:val="ListParagraph"/>
        <w:numPr>
          <w:ilvl w:val="0"/>
          <w:numId w:val="30"/>
        </w:numPr>
      </w:pPr>
      <w:r>
        <w:t>If they develop hyperthyroidism once again, then reestablish on treatment and, once they are euthyroid, refer for surgery.</w:t>
      </w:r>
    </w:p>
    <w:p w14:paraId="0EEA0531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Key Issues for Nursing care</w:t>
      </w:r>
    </w:p>
    <w:p w14:paraId="42D5D229" w14:textId="1883DF07" w:rsidR="002A2856" w:rsidRDefault="00BC69C0" w:rsidP="002A2856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Refer all patients with possible thyroid disease to the doctor. </w:t>
      </w:r>
    </w:p>
    <w:p w14:paraId="48361461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4D9AD0DF" w14:textId="77777777" w:rsidR="00BC69C0" w:rsidRPr="00BC69C0" w:rsidRDefault="00BC69C0" w:rsidP="00BC69C0">
      <w:pPr>
        <w:rPr>
          <w:b/>
          <w:sz w:val="20"/>
          <w:szCs w:val="20"/>
        </w:rPr>
      </w:pPr>
      <w:r w:rsidRPr="00BC69C0">
        <w:rPr>
          <w:sz w:val="20"/>
          <w:szCs w:val="20"/>
        </w:rPr>
        <w:t xml:space="preserve">Erik D </w:t>
      </w:r>
      <w:proofErr w:type="spellStart"/>
      <w:r w:rsidRPr="00BC69C0">
        <w:rPr>
          <w:sz w:val="20"/>
          <w:szCs w:val="20"/>
        </w:rPr>
        <w:t>Schraga</w:t>
      </w:r>
      <w:proofErr w:type="spellEnd"/>
      <w:r w:rsidRPr="00BC69C0">
        <w:rPr>
          <w:sz w:val="20"/>
          <w:szCs w:val="20"/>
        </w:rPr>
        <w:t xml:space="preserve"> (30 May 2014). "Hyperthyroidism, Thyroid Storm, and </w:t>
      </w:r>
      <w:proofErr w:type="spellStart"/>
      <w:r w:rsidRPr="00BC69C0">
        <w:rPr>
          <w:sz w:val="20"/>
          <w:szCs w:val="20"/>
        </w:rPr>
        <w:t>Graves</w:t>
      </w:r>
      <w:proofErr w:type="spellEnd"/>
      <w:r w:rsidRPr="00BC69C0">
        <w:rPr>
          <w:sz w:val="20"/>
          <w:szCs w:val="20"/>
        </w:rPr>
        <w:t xml:space="preserve"> Disease". Archived from the original on 5 April 2015. Retrieved 20 April 2015.</w:t>
      </w:r>
    </w:p>
    <w:p w14:paraId="474BDE37" w14:textId="77777777" w:rsidR="00BC69C0" w:rsidRPr="00BC69C0" w:rsidRDefault="00BC69C0" w:rsidP="00BC69C0">
      <w:pPr>
        <w:rPr>
          <w:rFonts w:cs="Times New Roman"/>
          <w:sz w:val="20"/>
          <w:szCs w:val="20"/>
        </w:rPr>
      </w:pPr>
      <w:r w:rsidRPr="00BC69C0">
        <w:rPr>
          <w:rFonts w:cs="Times New Roman"/>
          <w:sz w:val="20"/>
          <w:szCs w:val="20"/>
        </w:rPr>
        <w:t>Hyperthyroidism". www.niddk.nih.gov. July 2012. Archived from the original on 4 April 2015. Retrieved 2 April 2015.</w:t>
      </w:r>
    </w:p>
    <w:p w14:paraId="4498D0B4" w14:textId="77777777" w:rsidR="00BC69C0" w:rsidRPr="00BC69C0" w:rsidRDefault="00BC69C0" w:rsidP="00BC69C0">
      <w:pPr>
        <w:rPr>
          <w:b/>
          <w:sz w:val="20"/>
          <w:szCs w:val="20"/>
        </w:rPr>
      </w:pPr>
      <w:r w:rsidRPr="00BC69C0">
        <w:rPr>
          <w:sz w:val="20"/>
          <w:szCs w:val="20"/>
        </w:rPr>
        <w:t>Ross et al. 2016 American Thyroid Association Guidelines for Diagnosis and Management of Hyperthyroidism and Other Causes of Thyrotoxicosis. Thyroid (2016) 26:1343-1421.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3D18065F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C71BE5D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2A0E655" w14:textId="71245BEA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BC69C0">
              <w:rPr>
                <w:szCs w:val="22"/>
              </w:rPr>
              <w:t>Chibuike Okpara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1B0F79C" w14:textId="7D6E6192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BC69C0">
              <w:rPr>
                <w:szCs w:val="22"/>
              </w:rPr>
              <w:t>9 June 2018</w:t>
            </w:r>
          </w:p>
        </w:tc>
      </w:tr>
      <w:tr w:rsidR="004C4442" w:rsidRPr="00515546" w14:paraId="31E8BDA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DB93729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5861921" w14:textId="296A54CB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BC69C0">
              <w:rPr>
                <w:szCs w:val="22"/>
              </w:rPr>
              <w:t>Babatunde Awokola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47EDCC8" w14:textId="6FAEE5C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BC69C0">
              <w:rPr>
                <w:szCs w:val="22"/>
              </w:rPr>
              <w:t>2 July 2018</w:t>
            </w:r>
          </w:p>
        </w:tc>
      </w:tr>
      <w:tr w:rsidR="004C4442" w:rsidRPr="00515546" w14:paraId="3273AC5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8C1413B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8F054CB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6F1B9D9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414EDA85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AA6B49C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86B90F4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1A490AC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</w:p>
        </w:tc>
      </w:tr>
      <w:tr w:rsidR="00BC69C0" w:rsidRPr="00515546" w14:paraId="1DBC6FAF" w14:textId="77777777" w:rsidTr="000A7D55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D891EA" w14:textId="2EC7F13A" w:rsidR="00BC69C0" w:rsidRPr="00515546" w:rsidRDefault="00BC69C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62845D" w14:textId="73394FED" w:rsidR="00BC69C0" w:rsidRPr="00515546" w:rsidRDefault="00BC69C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Updated and transferred to new template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7CD321" w14:textId="3046FDA0" w:rsidR="00BC69C0" w:rsidRPr="00515546" w:rsidRDefault="00BC69C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0A7D55" w:rsidRPr="00515546" w14:paraId="23B8C031" w14:textId="77777777" w:rsidTr="000A7D55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BEC172" w14:textId="256931FE" w:rsidR="000A7D55" w:rsidRPr="00515546" w:rsidRDefault="000A7D55" w:rsidP="000A7D55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100A02" w14:textId="6B2B6213" w:rsidR="000A7D55" w:rsidRPr="00515546" w:rsidRDefault="000A7D55" w:rsidP="000A7D55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5CAF2A" w14:textId="404987E8" w:rsidR="000A7D55" w:rsidRPr="00515546" w:rsidRDefault="000A7D55" w:rsidP="000A7D55">
            <w:pPr>
              <w:spacing w:after="0"/>
              <w:rPr>
                <w:b/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0A7D55" w:rsidRPr="00515546" w14:paraId="27831729" w14:textId="77777777" w:rsidTr="000A7D55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21F776" w14:textId="77777777" w:rsidR="000A7D55" w:rsidRPr="00515546" w:rsidRDefault="000A7D55" w:rsidP="000A7D55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1F26DB" w14:textId="77777777" w:rsidR="000A7D55" w:rsidRPr="00515546" w:rsidRDefault="000A7D55" w:rsidP="000A7D55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229A38" w14:textId="77777777" w:rsidR="000A7D55" w:rsidRPr="00515546" w:rsidRDefault="000A7D55" w:rsidP="000A7D55">
            <w:pPr>
              <w:spacing w:after="0"/>
              <w:rPr>
                <w:b/>
                <w:szCs w:val="22"/>
              </w:rPr>
            </w:pPr>
          </w:p>
        </w:tc>
      </w:tr>
    </w:tbl>
    <w:p w14:paraId="6B1C37F1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4D4B1" w14:textId="77777777" w:rsidR="00EE4D6E" w:rsidRDefault="00EE4D6E" w:rsidP="00975A60">
      <w:pPr>
        <w:spacing w:after="0"/>
      </w:pPr>
      <w:r>
        <w:separator/>
      </w:r>
    </w:p>
  </w:endnote>
  <w:endnote w:type="continuationSeparator" w:id="0">
    <w:p w14:paraId="59E18593" w14:textId="77777777" w:rsidR="00EE4D6E" w:rsidRDefault="00EE4D6E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16EC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6386C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2DC24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7C273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F8CC" w14:textId="77777777" w:rsidR="00EE4D6E" w:rsidRDefault="00EE4D6E" w:rsidP="00975A60">
      <w:pPr>
        <w:spacing w:after="0"/>
      </w:pPr>
      <w:r>
        <w:separator/>
      </w:r>
    </w:p>
  </w:footnote>
  <w:footnote w:type="continuationSeparator" w:id="0">
    <w:p w14:paraId="29955ED9" w14:textId="77777777" w:rsidR="00EE4D6E" w:rsidRDefault="00EE4D6E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B1CE6" w14:textId="77777777" w:rsidR="004A5EFD" w:rsidRDefault="004A5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45462" w14:textId="77777777" w:rsidR="00EE4D6E" w:rsidRPr="00F87812" w:rsidRDefault="00EE4D6E" w:rsidP="00EE4D6E">
    <w:pPr>
      <w:pStyle w:val="Header"/>
    </w:pPr>
    <w:r w:rsidRPr="00F87812">
      <w:t>Identification code: MeG-CLS-</w:t>
    </w:r>
    <w:r>
      <w:t>027</w:t>
    </w:r>
    <w:r w:rsidRPr="00F87812">
      <w:tab/>
    </w:r>
  </w:p>
  <w:p w14:paraId="6325DC49" w14:textId="61102C69" w:rsidR="00EE4D6E" w:rsidRPr="00EE4D6E" w:rsidRDefault="00EE4D6E" w:rsidP="00EE4D6E">
    <w:pPr>
      <w:pStyle w:val="Header"/>
    </w:pPr>
    <w:r w:rsidRPr="00EE4D6E">
      <w:t>Version: 2.</w:t>
    </w:r>
    <w:r w:rsidR="009807F0">
      <w:t>1</w:t>
    </w:r>
    <w:r w:rsidRPr="00EE4D6E">
      <w:t xml:space="preserve"> – 31 July 2018</w:t>
    </w:r>
  </w:p>
  <w:p w14:paraId="4B0EF5CF" w14:textId="7A2F7765" w:rsidR="005D1877" w:rsidRPr="00EE4D6E" w:rsidRDefault="005D1877" w:rsidP="00EE4D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7089B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58240" behindDoc="1" locked="0" layoutInCell="1" allowOverlap="1" wp14:anchorId="67D1954B" wp14:editId="6E5953A8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41DA6D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056589AD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235F71EA" w14:textId="0939B315" w:rsidR="00D13825" w:rsidRPr="00F87812" w:rsidRDefault="00D13825" w:rsidP="00D13825">
    <w:pPr>
      <w:pStyle w:val="Header"/>
    </w:pPr>
    <w:r w:rsidRPr="00F87812">
      <w:t>Identification code: MeG-CLS-</w:t>
    </w:r>
    <w:r w:rsidR="00EE4D6E">
      <w:t>027</w:t>
    </w:r>
    <w:r w:rsidRPr="00F87812">
      <w:tab/>
    </w:r>
  </w:p>
  <w:p w14:paraId="1FA1DD1A" w14:textId="05958989" w:rsidR="00D13825" w:rsidRPr="00EE4D6E" w:rsidRDefault="00D13825" w:rsidP="00D13825">
    <w:pPr>
      <w:pStyle w:val="Header"/>
    </w:pPr>
    <w:r w:rsidRPr="00EE4D6E">
      <w:t xml:space="preserve">Version: </w:t>
    </w:r>
    <w:r w:rsidR="00EE4D6E" w:rsidRPr="00EE4D6E">
      <w:t>2.</w:t>
    </w:r>
    <w:r w:rsidR="00647178">
      <w:t>1</w:t>
    </w:r>
    <w:r w:rsidR="00EE4D6E" w:rsidRPr="00EE4D6E">
      <w:t xml:space="preserve"> – 31 July 2018</w:t>
    </w:r>
  </w:p>
  <w:p w14:paraId="1FABDFAD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EE1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78AAB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53FE9"/>
    <w:multiLevelType w:val="hybridMultilevel"/>
    <w:tmpl w:val="28B2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32830"/>
    <w:multiLevelType w:val="hybridMultilevel"/>
    <w:tmpl w:val="0324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442E6"/>
    <w:multiLevelType w:val="hybridMultilevel"/>
    <w:tmpl w:val="6A8E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B2B9F"/>
    <w:multiLevelType w:val="hybridMultilevel"/>
    <w:tmpl w:val="5F443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08EA"/>
    <w:multiLevelType w:val="hybridMultilevel"/>
    <w:tmpl w:val="63509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1319DB"/>
    <w:multiLevelType w:val="hybridMultilevel"/>
    <w:tmpl w:val="41E8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877D6"/>
    <w:multiLevelType w:val="hybridMultilevel"/>
    <w:tmpl w:val="C6F671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4321B"/>
    <w:multiLevelType w:val="hybridMultilevel"/>
    <w:tmpl w:val="C434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8182A"/>
    <w:multiLevelType w:val="hybridMultilevel"/>
    <w:tmpl w:val="77BE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3834E"/>
    <w:multiLevelType w:val="singleLevel"/>
    <w:tmpl w:val="7CB3834E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5"/>
  </w:num>
  <w:num w:numId="4">
    <w:abstractNumId w:val="1"/>
  </w:num>
  <w:num w:numId="5">
    <w:abstractNumId w:val="0"/>
  </w:num>
  <w:num w:numId="6">
    <w:abstractNumId w:val="9"/>
  </w:num>
  <w:num w:numId="7">
    <w:abstractNumId w:val="21"/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23"/>
  </w:num>
  <w:num w:numId="13">
    <w:abstractNumId w:val="29"/>
  </w:num>
  <w:num w:numId="14">
    <w:abstractNumId w:val="27"/>
  </w:num>
  <w:num w:numId="15">
    <w:abstractNumId w:val="31"/>
  </w:num>
  <w:num w:numId="16">
    <w:abstractNumId w:val="17"/>
  </w:num>
  <w:num w:numId="17">
    <w:abstractNumId w:val="11"/>
  </w:num>
  <w:num w:numId="18">
    <w:abstractNumId w:val="28"/>
  </w:num>
  <w:num w:numId="19">
    <w:abstractNumId w:val="18"/>
  </w:num>
  <w:num w:numId="20">
    <w:abstractNumId w:val="30"/>
  </w:num>
  <w:num w:numId="21">
    <w:abstractNumId w:val="20"/>
  </w:num>
  <w:num w:numId="22">
    <w:abstractNumId w:val="14"/>
  </w:num>
  <w:num w:numId="23">
    <w:abstractNumId w:val="22"/>
  </w:num>
  <w:num w:numId="24">
    <w:abstractNumId w:val="25"/>
  </w:num>
  <w:num w:numId="25">
    <w:abstractNumId w:val="6"/>
  </w:num>
  <w:num w:numId="26">
    <w:abstractNumId w:val="10"/>
  </w:num>
  <w:num w:numId="27">
    <w:abstractNumId w:val="12"/>
  </w:num>
  <w:num w:numId="28">
    <w:abstractNumId w:val="13"/>
  </w:num>
  <w:num w:numId="29">
    <w:abstractNumId w:val="26"/>
  </w:num>
  <w:num w:numId="30">
    <w:abstractNumId w:val="4"/>
  </w:num>
  <w:num w:numId="31">
    <w:abstractNumId w:val="5"/>
  </w:num>
  <w:num w:numId="32">
    <w:abstractNumId w:val="32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DW3NDcEsozMDJV0lIJTi4sz8/NACoxqAfjyZg4sAAAA"/>
  </w:docVars>
  <w:rsids>
    <w:rsidRoot w:val="00EE4D6E"/>
    <w:rsid w:val="000039D9"/>
    <w:rsid w:val="0007147C"/>
    <w:rsid w:val="00081642"/>
    <w:rsid w:val="000A7D55"/>
    <w:rsid w:val="00114AAF"/>
    <w:rsid w:val="001203AE"/>
    <w:rsid w:val="00175153"/>
    <w:rsid w:val="001C1450"/>
    <w:rsid w:val="00223920"/>
    <w:rsid w:val="00252A11"/>
    <w:rsid w:val="0029357D"/>
    <w:rsid w:val="002A2856"/>
    <w:rsid w:val="003020A2"/>
    <w:rsid w:val="003038D3"/>
    <w:rsid w:val="003225CD"/>
    <w:rsid w:val="003C0800"/>
    <w:rsid w:val="003F70CA"/>
    <w:rsid w:val="004A25F0"/>
    <w:rsid w:val="004A4C93"/>
    <w:rsid w:val="004A5EFD"/>
    <w:rsid w:val="004C4442"/>
    <w:rsid w:val="005151D8"/>
    <w:rsid w:val="00515546"/>
    <w:rsid w:val="005638D0"/>
    <w:rsid w:val="005D1877"/>
    <w:rsid w:val="00633320"/>
    <w:rsid w:val="00647178"/>
    <w:rsid w:val="007067BE"/>
    <w:rsid w:val="00752576"/>
    <w:rsid w:val="007B26B1"/>
    <w:rsid w:val="00857027"/>
    <w:rsid w:val="00896E01"/>
    <w:rsid w:val="009165E9"/>
    <w:rsid w:val="009325A7"/>
    <w:rsid w:val="00935120"/>
    <w:rsid w:val="0095077F"/>
    <w:rsid w:val="00975A60"/>
    <w:rsid w:val="009807F0"/>
    <w:rsid w:val="009956F9"/>
    <w:rsid w:val="009B44BE"/>
    <w:rsid w:val="009F5B1B"/>
    <w:rsid w:val="00A312D8"/>
    <w:rsid w:val="00A41080"/>
    <w:rsid w:val="00B31AC4"/>
    <w:rsid w:val="00B76073"/>
    <w:rsid w:val="00B844E8"/>
    <w:rsid w:val="00BC69C0"/>
    <w:rsid w:val="00BD08AB"/>
    <w:rsid w:val="00C67021"/>
    <w:rsid w:val="00CC3CF5"/>
    <w:rsid w:val="00CD4A1D"/>
    <w:rsid w:val="00D03AB2"/>
    <w:rsid w:val="00D13825"/>
    <w:rsid w:val="00D53639"/>
    <w:rsid w:val="00D550DC"/>
    <w:rsid w:val="00DA20ED"/>
    <w:rsid w:val="00DC1CC5"/>
    <w:rsid w:val="00DC590C"/>
    <w:rsid w:val="00DE3D6D"/>
    <w:rsid w:val="00DF345F"/>
    <w:rsid w:val="00E162DA"/>
    <w:rsid w:val="00EB736B"/>
    <w:rsid w:val="00EE4D6E"/>
    <w:rsid w:val="00F03F25"/>
    <w:rsid w:val="00F44F1E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EC0C10"/>
  <w15:docId w15:val="{E8371680-EAF7-484F-9621-2F6A5F5D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0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3</cp:revision>
  <cp:lastPrinted>2019-05-06T11:35:00Z</cp:lastPrinted>
  <dcterms:created xsi:type="dcterms:W3CDTF">2019-05-06T11:34:00Z</dcterms:created>
  <dcterms:modified xsi:type="dcterms:W3CDTF">2019-05-06T11:35:00Z</dcterms:modified>
</cp:coreProperties>
</file>