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02FE1" w14:textId="77777777" w:rsidR="00DF522C" w:rsidRPr="00BD5AB4" w:rsidRDefault="00DF522C" w:rsidP="00DF522C">
      <w:pPr>
        <w:pStyle w:val="Heading1"/>
      </w:pPr>
      <w:r w:rsidRPr="00BD5AB4">
        <w:t>Lower Back Pain</w:t>
      </w:r>
    </w:p>
    <w:p w14:paraId="19700E5D" w14:textId="77777777" w:rsidR="00A73D69" w:rsidRPr="00CE42F4" w:rsidRDefault="00A73D69" w:rsidP="00CE42F4">
      <w:pPr>
        <w:pStyle w:val="Heading2"/>
        <w:rPr>
          <w:i/>
        </w:rPr>
      </w:pPr>
      <w:r w:rsidRPr="00CE42F4">
        <w:rPr>
          <w:i/>
        </w:rPr>
        <w:t>Executive summary</w:t>
      </w:r>
    </w:p>
    <w:p w14:paraId="7AE3B86F" w14:textId="77777777" w:rsidR="00A73D69" w:rsidRDefault="00A73D69" w:rsidP="00CE42F4">
      <w:pPr>
        <w:pStyle w:val="Heading2"/>
      </w:pPr>
      <w:r w:rsidRPr="007C5955">
        <w:t xml:space="preserve">Introduction </w:t>
      </w:r>
    </w:p>
    <w:p w14:paraId="0D277270" w14:textId="77777777" w:rsidR="00A73D69" w:rsidRDefault="00A73D69" w:rsidP="00A73D69">
      <w:pPr>
        <w:ind w:right="30"/>
      </w:pPr>
      <w:r>
        <w:t>Lower back pain is a very common presentation in General Medical Practice. Up to 80-90% of people will suffer lower back pain (LBP) in their lifetime. Lower back pain is classified as acute lower back pain (duration &lt; 6 weeks), sub-acute lower back pain (6-12 weeks) and chronic lower back pain (&gt; 3 months). M</w:t>
      </w:r>
      <w:r w:rsidRPr="005A641C">
        <w:t>ost</w:t>
      </w:r>
      <w:r>
        <w:t xml:space="preserve"> lower pain results from benign acute </w:t>
      </w:r>
      <w:r w:rsidRPr="005A641C">
        <w:t>musculoskeletal conditions</w:t>
      </w:r>
      <w:r>
        <w:t>, relating to the strain put on the back during work, leisure and daily life</w:t>
      </w:r>
    </w:p>
    <w:p w14:paraId="3D5DECC2" w14:textId="77777777" w:rsidR="00A73D69" w:rsidRDefault="00A73D69" w:rsidP="00CE42F4">
      <w:pPr>
        <w:pStyle w:val="Heading2"/>
      </w:pPr>
      <w:r w:rsidRPr="007C5955">
        <w:t>Target users</w:t>
      </w:r>
    </w:p>
    <w:p w14:paraId="57509F8C" w14:textId="77777777" w:rsidR="00A73D69" w:rsidRPr="005A641C" w:rsidRDefault="00A73D69" w:rsidP="00A73D69">
      <w:pPr>
        <w:pStyle w:val="ListParagraph"/>
        <w:numPr>
          <w:ilvl w:val="0"/>
          <w:numId w:val="46"/>
        </w:numPr>
        <w:spacing w:before="120" w:after="240"/>
        <w:outlineLvl w:val="1"/>
      </w:pPr>
      <w:r w:rsidRPr="005A641C">
        <w:t>Nurses</w:t>
      </w:r>
    </w:p>
    <w:p w14:paraId="4B05AC3A" w14:textId="77777777" w:rsidR="00A73D69" w:rsidRPr="005A641C" w:rsidRDefault="00A73D69" w:rsidP="00A73D69">
      <w:pPr>
        <w:pStyle w:val="ListParagraph"/>
        <w:numPr>
          <w:ilvl w:val="0"/>
          <w:numId w:val="46"/>
        </w:numPr>
        <w:spacing w:before="120" w:after="240"/>
        <w:outlineLvl w:val="1"/>
      </w:pPr>
      <w:r w:rsidRPr="005A641C">
        <w:t>Doctors</w:t>
      </w:r>
    </w:p>
    <w:p w14:paraId="33AD1C44" w14:textId="77777777" w:rsidR="00A73D69" w:rsidRDefault="00A73D69" w:rsidP="00CE42F4">
      <w:pPr>
        <w:pStyle w:val="Heading2"/>
      </w:pPr>
      <w:r w:rsidRPr="007C5955">
        <w:t xml:space="preserve">Target area of use </w:t>
      </w:r>
    </w:p>
    <w:p w14:paraId="13222576" w14:textId="77777777" w:rsidR="00A73D69" w:rsidRDefault="00A73D69" w:rsidP="00A73D69">
      <w:pPr>
        <w:pStyle w:val="ListParagraph"/>
        <w:numPr>
          <w:ilvl w:val="0"/>
          <w:numId w:val="46"/>
        </w:numPr>
        <w:spacing w:before="120" w:after="240"/>
        <w:outlineLvl w:val="1"/>
      </w:pPr>
      <w:r>
        <w:t>Gate Clinic</w:t>
      </w:r>
    </w:p>
    <w:p w14:paraId="2003E1A8" w14:textId="77777777" w:rsidR="00A73D69" w:rsidRPr="005A641C" w:rsidRDefault="00A73D69" w:rsidP="00A73D69">
      <w:pPr>
        <w:pStyle w:val="ListParagraph"/>
        <w:numPr>
          <w:ilvl w:val="0"/>
          <w:numId w:val="46"/>
        </w:numPr>
        <w:spacing w:before="120" w:after="240"/>
        <w:outlineLvl w:val="1"/>
      </w:pPr>
      <w:r w:rsidRPr="005A641C">
        <w:t>OPD</w:t>
      </w:r>
    </w:p>
    <w:p w14:paraId="4FF4AFF0" w14:textId="77777777" w:rsidR="00A73D69" w:rsidRDefault="00A73D69" w:rsidP="00A73D69">
      <w:pPr>
        <w:spacing w:before="120" w:after="240"/>
        <w:outlineLvl w:val="1"/>
        <w:rPr>
          <w:rFonts w:eastAsia="Times New Roman"/>
          <w:b/>
          <w:bCs/>
          <w:sz w:val="24"/>
        </w:rPr>
      </w:pPr>
      <w:r w:rsidRPr="007C5955">
        <w:rPr>
          <w:rFonts w:eastAsia="Times New Roman"/>
          <w:b/>
          <w:bCs/>
          <w:sz w:val="24"/>
        </w:rPr>
        <w:t xml:space="preserve">Key areas of focus / New additions / Changes </w:t>
      </w:r>
    </w:p>
    <w:p w14:paraId="790E7615" w14:textId="77777777" w:rsidR="00A73D69" w:rsidRPr="005A641C" w:rsidRDefault="00A73D69" w:rsidP="00A73D69">
      <w:pPr>
        <w:ind w:right="30"/>
      </w:pPr>
      <w:r>
        <w:t xml:space="preserve">Features suggestive of serious or unusual causes of lower back pain should be sought for during history and physical examination. Investigations are most useful for patients with unremitting acute lower back pain and in other patients with severe or suspicious features. General measures for treatment include lifestyle changes, analgesia and physical therapy. </w:t>
      </w:r>
    </w:p>
    <w:p w14:paraId="3AD4F30C" w14:textId="77777777" w:rsidR="00A73D69" w:rsidRDefault="00A73D69" w:rsidP="00CE42F4">
      <w:pPr>
        <w:pStyle w:val="Heading2"/>
      </w:pPr>
      <w:r w:rsidRPr="007C5955">
        <w:t>Limitations</w:t>
      </w:r>
    </w:p>
    <w:p w14:paraId="167CF119" w14:textId="77777777" w:rsidR="00A73D69" w:rsidRPr="005A641C" w:rsidRDefault="00A73D69" w:rsidP="00A73D69">
      <w:pPr>
        <w:spacing w:before="120" w:after="240"/>
        <w:outlineLvl w:val="1"/>
      </w:pPr>
      <w:r>
        <w:t xml:space="preserve">Patients </w:t>
      </w:r>
      <w:r w:rsidRPr="005A641C">
        <w:t xml:space="preserve">may need referral for physiotherapy and </w:t>
      </w:r>
      <w:r>
        <w:t>specialist</w:t>
      </w:r>
      <w:r w:rsidRPr="005A641C">
        <w:t xml:space="preserve"> </w:t>
      </w:r>
      <w:r>
        <w:t>services which are not available in our facility.</w:t>
      </w:r>
    </w:p>
    <w:p w14:paraId="50569300" w14:textId="77777777" w:rsidR="00CE42F4" w:rsidRDefault="00CE42F4">
      <w:pPr>
        <w:spacing w:after="0"/>
        <w:outlineLvl w:val="9"/>
        <w:rPr>
          <w:rFonts w:cs="Times New Roman"/>
          <w:b/>
          <w:sz w:val="24"/>
          <w:szCs w:val="28"/>
        </w:rPr>
      </w:pPr>
      <w:r>
        <w:br w:type="page"/>
      </w:r>
    </w:p>
    <w:p w14:paraId="03986727" w14:textId="2944D2C5" w:rsidR="00DF522C" w:rsidRDefault="00DF522C" w:rsidP="00DF522C">
      <w:pPr>
        <w:pStyle w:val="Heading2"/>
      </w:pPr>
      <w:r>
        <w:lastRenderedPageBreak/>
        <w:t xml:space="preserve">Common causes of </w:t>
      </w:r>
      <w:r w:rsidR="00923781">
        <w:t>LBP</w:t>
      </w:r>
    </w:p>
    <w:p w14:paraId="08B9ED6E" w14:textId="494B3B76" w:rsidR="00DF522C" w:rsidRPr="00DF522C" w:rsidRDefault="00DF522C" w:rsidP="00DF522C">
      <w:pPr>
        <w:pStyle w:val="ListParagraph"/>
        <w:numPr>
          <w:ilvl w:val="0"/>
          <w:numId w:val="31"/>
        </w:numPr>
        <w:tabs>
          <w:tab w:val="left" w:pos="2196"/>
        </w:tabs>
        <w:spacing w:after="0"/>
        <w:rPr>
          <w:rFonts w:cs="Tahoma"/>
          <w:lang w:val="en-GB"/>
        </w:rPr>
      </w:pPr>
      <w:r w:rsidRPr="00DF522C">
        <w:rPr>
          <w:rFonts w:cs="Tahoma"/>
        </w:rPr>
        <w:t>Minor tissue injuries – by far the commonest. Settles easily usually</w:t>
      </w:r>
    </w:p>
    <w:p w14:paraId="5FD65985" w14:textId="525D9483" w:rsidR="00DF522C" w:rsidRPr="00DF522C" w:rsidRDefault="00DF522C" w:rsidP="00DF522C">
      <w:pPr>
        <w:pStyle w:val="ListParagraph"/>
        <w:numPr>
          <w:ilvl w:val="0"/>
          <w:numId w:val="31"/>
        </w:numPr>
        <w:tabs>
          <w:tab w:val="left" w:pos="2196"/>
        </w:tabs>
        <w:spacing w:after="0"/>
        <w:rPr>
          <w:rFonts w:cs="Tahoma"/>
          <w:lang w:val="en-GB"/>
        </w:rPr>
      </w:pPr>
      <w:r w:rsidRPr="00DF522C">
        <w:rPr>
          <w:rFonts w:cs="Tahoma"/>
          <w:lang w:val="en-GB"/>
        </w:rPr>
        <w:t xml:space="preserve">Mechanical back pain – dysfunction of elements of facet joint, intervertebral joint (with its disc) and the ligamentous and muscular attachments (also known as ‘non-specific back pain’). </w:t>
      </w:r>
    </w:p>
    <w:p w14:paraId="3D3524E0" w14:textId="77777777" w:rsidR="00DF522C" w:rsidRPr="00DF522C" w:rsidRDefault="00DF522C" w:rsidP="00DF522C">
      <w:pPr>
        <w:pStyle w:val="ListParagraph"/>
        <w:numPr>
          <w:ilvl w:val="0"/>
          <w:numId w:val="31"/>
        </w:numPr>
        <w:tabs>
          <w:tab w:val="left" w:pos="2196"/>
        </w:tabs>
        <w:spacing w:after="0"/>
        <w:rPr>
          <w:rFonts w:cs="Tahoma"/>
          <w:lang w:val="en-GB"/>
        </w:rPr>
      </w:pPr>
      <w:r w:rsidRPr="00DF522C">
        <w:rPr>
          <w:rFonts w:cs="Tahoma"/>
          <w:lang w:val="en-GB"/>
        </w:rPr>
        <w:t>Lumbar spondylosis</w:t>
      </w:r>
    </w:p>
    <w:p w14:paraId="3AD46BE2" w14:textId="77777777" w:rsidR="00DF522C" w:rsidRPr="00DF522C" w:rsidRDefault="00DF522C" w:rsidP="00DF522C">
      <w:pPr>
        <w:pStyle w:val="ListParagraph"/>
        <w:numPr>
          <w:ilvl w:val="0"/>
          <w:numId w:val="31"/>
        </w:numPr>
        <w:tabs>
          <w:tab w:val="left" w:pos="2196"/>
        </w:tabs>
        <w:spacing w:after="0"/>
        <w:rPr>
          <w:rFonts w:cs="Tahoma"/>
          <w:lang w:val="en-GB"/>
        </w:rPr>
      </w:pPr>
      <w:r w:rsidRPr="00DF522C">
        <w:rPr>
          <w:rFonts w:cs="Tahoma"/>
          <w:lang w:val="en-GB"/>
        </w:rPr>
        <w:t>Spondylolisthesis</w:t>
      </w:r>
    </w:p>
    <w:p w14:paraId="023B9406" w14:textId="4B213A25" w:rsidR="00DF522C" w:rsidRPr="00DF522C" w:rsidRDefault="00DF522C" w:rsidP="00DF522C">
      <w:pPr>
        <w:pStyle w:val="ListParagraph"/>
        <w:numPr>
          <w:ilvl w:val="0"/>
          <w:numId w:val="31"/>
        </w:numPr>
        <w:tabs>
          <w:tab w:val="left" w:pos="2196"/>
        </w:tabs>
        <w:spacing w:after="0"/>
        <w:rPr>
          <w:rFonts w:cs="Tahoma"/>
          <w:lang w:val="en-GB"/>
        </w:rPr>
      </w:pPr>
      <w:r w:rsidRPr="00DF522C">
        <w:rPr>
          <w:rFonts w:cs="Tahoma"/>
          <w:lang w:val="en-GB"/>
        </w:rPr>
        <w:t>Musculoligamentous strain/tears</w:t>
      </w:r>
    </w:p>
    <w:p w14:paraId="42AA5244" w14:textId="77777777" w:rsidR="00DF522C" w:rsidRPr="00DF522C" w:rsidRDefault="00DF522C" w:rsidP="00DF522C">
      <w:pPr>
        <w:pStyle w:val="ListParagraph"/>
        <w:numPr>
          <w:ilvl w:val="0"/>
          <w:numId w:val="31"/>
        </w:numPr>
        <w:tabs>
          <w:tab w:val="left" w:pos="2196"/>
        </w:tabs>
        <w:spacing w:after="0"/>
        <w:rPr>
          <w:rFonts w:cs="Tahoma"/>
          <w:lang w:val="en-GB"/>
        </w:rPr>
      </w:pPr>
      <w:r w:rsidRPr="00DF522C">
        <w:rPr>
          <w:rFonts w:cs="Tahoma"/>
          <w:lang w:val="en-GB"/>
        </w:rPr>
        <w:t>Spondyloarthropathies: Ankylosing spondylitis, reactive arthritis</w:t>
      </w:r>
    </w:p>
    <w:p w14:paraId="1B22DB5E" w14:textId="77777777" w:rsidR="00DF522C" w:rsidRPr="00DF522C" w:rsidRDefault="00DF522C" w:rsidP="00DF522C">
      <w:pPr>
        <w:pStyle w:val="ListParagraph"/>
        <w:numPr>
          <w:ilvl w:val="0"/>
          <w:numId w:val="31"/>
        </w:numPr>
        <w:tabs>
          <w:tab w:val="left" w:pos="2196"/>
        </w:tabs>
        <w:spacing w:after="0"/>
        <w:rPr>
          <w:rFonts w:cs="Tahoma"/>
          <w:lang w:val="en-GB"/>
        </w:rPr>
      </w:pPr>
      <w:r w:rsidRPr="00DF522C">
        <w:rPr>
          <w:rFonts w:cs="Tahoma"/>
        </w:rPr>
        <w:t>Malignant disease: Metastasis</w:t>
      </w:r>
    </w:p>
    <w:p w14:paraId="23465568" w14:textId="77777777" w:rsidR="00DF522C" w:rsidRPr="00DF522C" w:rsidRDefault="00DF522C" w:rsidP="00DF522C">
      <w:pPr>
        <w:pStyle w:val="ListParagraph"/>
        <w:numPr>
          <w:ilvl w:val="0"/>
          <w:numId w:val="31"/>
        </w:numPr>
        <w:tabs>
          <w:tab w:val="left" w:pos="2196"/>
        </w:tabs>
        <w:spacing w:after="0"/>
        <w:rPr>
          <w:rFonts w:cs="Tahoma"/>
          <w:lang w:val="en-GB"/>
        </w:rPr>
      </w:pPr>
      <w:r w:rsidRPr="00DF522C">
        <w:rPr>
          <w:rFonts w:cs="Tahoma"/>
        </w:rPr>
        <w:t>Depression</w:t>
      </w:r>
    </w:p>
    <w:p w14:paraId="5C47295B" w14:textId="77777777" w:rsidR="00DF522C" w:rsidRPr="00780ECF" w:rsidRDefault="00DF522C" w:rsidP="00DF522C">
      <w:pPr>
        <w:pStyle w:val="Heading2"/>
      </w:pPr>
      <w:r w:rsidRPr="00780ECF">
        <w:t>History</w:t>
      </w:r>
    </w:p>
    <w:p w14:paraId="310A7934" w14:textId="77777777" w:rsidR="00DF522C" w:rsidRDefault="00DF522C" w:rsidP="00DF522C">
      <w:pPr>
        <w:tabs>
          <w:tab w:val="left" w:pos="2196"/>
        </w:tabs>
        <w:rPr>
          <w:rFonts w:cs="Tahoma"/>
        </w:rPr>
      </w:pPr>
      <w:r>
        <w:rPr>
          <w:rFonts w:cs="Tahoma"/>
        </w:rPr>
        <w:t>A f</w:t>
      </w:r>
      <w:r w:rsidRPr="003C6673">
        <w:rPr>
          <w:rFonts w:cs="Tahoma"/>
        </w:rPr>
        <w:t>ocused history</w:t>
      </w:r>
      <w:r>
        <w:rPr>
          <w:rFonts w:cs="Tahoma"/>
        </w:rPr>
        <w:t xml:space="preserve"> taking</w:t>
      </w:r>
      <w:r w:rsidRPr="003C6673">
        <w:rPr>
          <w:rFonts w:cs="Tahoma"/>
        </w:rPr>
        <w:t xml:space="preserve"> should be conducted to place patient with low back pain into </w:t>
      </w:r>
      <w:r>
        <w:rPr>
          <w:rFonts w:cs="Tahoma"/>
        </w:rPr>
        <w:t>one of three</w:t>
      </w:r>
      <w:r w:rsidRPr="003C6673">
        <w:rPr>
          <w:rFonts w:cs="Tahoma"/>
        </w:rPr>
        <w:t xml:space="preserve"> categories</w:t>
      </w:r>
      <w:r>
        <w:rPr>
          <w:rFonts w:cs="Tahoma"/>
        </w:rPr>
        <w:t xml:space="preserve">: </w:t>
      </w:r>
    </w:p>
    <w:p w14:paraId="79D87E01" w14:textId="51AF1FE6" w:rsidR="00DF522C" w:rsidRPr="00DF522C" w:rsidRDefault="00DF522C" w:rsidP="00DF522C">
      <w:pPr>
        <w:pStyle w:val="ListParagraph"/>
        <w:numPr>
          <w:ilvl w:val="0"/>
          <w:numId w:val="32"/>
        </w:numPr>
        <w:tabs>
          <w:tab w:val="left" w:pos="2196"/>
        </w:tabs>
        <w:rPr>
          <w:rFonts w:cs="Tahoma"/>
          <w:lang w:val="en-GB"/>
        </w:rPr>
      </w:pPr>
      <w:r w:rsidRPr="00DF522C">
        <w:rPr>
          <w:rFonts w:cs="Tahoma"/>
        </w:rPr>
        <w:t xml:space="preserve">Non-specific low back pain: </w:t>
      </w:r>
      <w:r w:rsidRPr="00DF522C">
        <w:rPr>
          <w:rFonts w:cs="Tahoma"/>
          <w:b/>
          <w:bCs/>
        </w:rPr>
        <w:t>SOCRATES</w:t>
      </w:r>
      <w:r w:rsidRPr="00DF522C">
        <w:rPr>
          <w:rFonts w:cs="Tahoma"/>
        </w:rPr>
        <w:t xml:space="preserve">- </w:t>
      </w:r>
      <w:r w:rsidRPr="00DF522C">
        <w:rPr>
          <w:rFonts w:cs="Tahoma"/>
          <w:b/>
          <w:bCs/>
        </w:rPr>
        <w:t>S</w:t>
      </w:r>
      <w:r w:rsidRPr="00DF522C">
        <w:rPr>
          <w:rFonts w:cs="Tahoma"/>
        </w:rPr>
        <w:t xml:space="preserve">ite </w:t>
      </w:r>
      <w:r w:rsidRPr="00DF522C">
        <w:rPr>
          <w:rFonts w:cs="Tahoma"/>
          <w:b/>
          <w:bCs/>
        </w:rPr>
        <w:t>O</w:t>
      </w:r>
      <w:r w:rsidRPr="00DF522C">
        <w:rPr>
          <w:rFonts w:cs="Tahoma"/>
        </w:rPr>
        <w:t xml:space="preserve">nset </w:t>
      </w:r>
      <w:r w:rsidRPr="00DF522C">
        <w:rPr>
          <w:rFonts w:cs="Tahoma"/>
          <w:b/>
          <w:bCs/>
        </w:rPr>
        <w:t>C</w:t>
      </w:r>
      <w:r w:rsidRPr="00DF522C">
        <w:rPr>
          <w:rFonts w:cs="Tahoma"/>
        </w:rPr>
        <w:t xml:space="preserve">haracter </w:t>
      </w:r>
      <w:r w:rsidRPr="00DF522C">
        <w:rPr>
          <w:rFonts w:cs="Tahoma"/>
          <w:b/>
          <w:bCs/>
        </w:rPr>
        <w:t>R</w:t>
      </w:r>
      <w:r w:rsidRPr="00DF522C">
        <w:rPr>
          <w:rFonts w:cs="Tahoma"/>
        </w:rPr>
        <w:t xml:space="preserve">adiation </w:t>
      </w:r>
      <w:r w:rsidRPr="00DF522C">
        <w:rPr>
          <w:rFonts w:cs="Tahoma"/>
          <w:b/>
          <w:bCs/>
        </w:rPr>
        <w:t>A</w:t>
      </w:r>
      <w:r w:rsidRPr="00DF522C">
        <w:rPr>
          <w:rFonts w:cs="Tahoma"/>
        </w:rPr>
        <w:t>ctivity in</w:t>
      </w:r>
      <w:r w:rsidRPr="00DF522C">
        <w:rPr>
          <w:rFonts w:cs="Tahoma"/>
          <w:b/>
          <w:bCs/>
        </w:rPr>
        <w:t>T</w:t>
      </w:r>
      <w:r w:rsidRPr="00DF522C">
        <w:rPr>
          <w:rFonts w:cs="Tahoma"/>
        </w:rPr>
        <w:t xml:space="preserve">ensity </w:t>
      </w:r>
      <w:r w:rsidRPr="00DF522C">
        <w:rPr>
          <w:rFonts w:cs="Tahoma"/>
          <w:b/>
          <w:bCs/>
        </w:rPr>
        <w:t>E</w:t>
      </w:r>
      <w:r w:rsidRPr="00DF522C">
        <w:rPr>
          <w:rFonts w:cs="Tahoma"/>
        </w:rPr>
        <w:t xml:space="preserve">xacerbating/Relieving factors &amp; </w:t>
      </w:r>
      <w:r w:rsidRPr="00DF522C">
        <w:rPr>
          <w:rFonts w:cs="Tahoma"/>
          <w:b/>
          <w:bCs/>
        </w:rPr>
        <w:t>S</w:t>
      </w:r>
      <w:r w:rsidRPr="00DF522C">
        <w:rPr>
          <w:rFonts w:cs="Tahoma"/>
        </w:rPr>
        <w:t>ymptoms associated</w:t>
      </w:r>
    </w:p>
    <w:p w14:paraId="0166DC76" w14:textId="3BCC3F02" w:rsidR="00DF522C" w:rsidRPr="00DF522C" w:rsidRDefault="00DF522C" w:rsidP="00DF522C">
      <w:pPr>
        <w:pStyle w:val="ListParagraph"/>
        <w:numPr>
          <w:ilvl w:val="0"/>
          <w:numId w:val="32"/>
        </w:numPr>
        <w:tabs>
          <w:tab w:val="left" w:pos="2196"/>
        </w:tabs>
        <w:rPr>
          <w:rFonts w:cs="Tahoma"/>
        </w:rPr>
      </w:pPr>
      <w:r w:rsidRPr="00DF522C">
        <w:rPr>
          <w:rFonts w:cs="Tahoma"/>
        </w:rPr>
        <w:t>Back pain potentially associated with radiculopathy or spinal stenosis</w:t>
      </w:r>
    </w:p>
    <w:p w14:paraId="62244427" w14:textId="61793404" w:rsidR="00DF522C" w:rsidRPr="00DF522C" w:rsidRDefault="00DF522C" w:rsidP="00DF522C">
      <w:pPr>
        <w:pStyle w:val="ListParagraph"/>
        <w:numPr>
          <w:ilvl w:val="0"/>
          <w:numId w:val="32"/>
        </w:numPr>
        <w:tabs>
          <w:tab w:val="left" w:pos="2196"/>
        </w:tabs>
        <w:rPr>
          <w:rFonts w:cs="Tahoma"/>
        </w:rPr>
      </w:pPr>
      <w:r w:rsidRPr="00DF522C">
        <w:rPr>
          <w:rFonts w:cs="Tahoma"/>
        </w:rPr>
        <w:t>Back pain associated with another specific spinal cause (tumour, infection, fracture).</w:t>
      </w:r>
    </w:p>
    <w:p w14:paraId="2457693B" w14:textId="77777777" w:rsidR="00DF522C" w:rsidRPr="00780ECF" w:rsidRDefault="00DF522C" w:rsidP="00DF522C">
      <w:pPr>
        <w:pStyle w:val="Heading3"/>
      </w:pPr>
      <w:r w:rsidRPr="00780ECF">
        <w:t>Diagnostic pointers</w:t>
      </w:r>
    </w:p>
    <w:p w14:paraId="486CD24D" w14:textId="77777777" w:rsidR="00DF522C" w:rsidRPr="00DF522C" w:rsidRDefault="00DF522C" w:rsidP="00DF522C">
      <w:pPr>
        <w:pStyle w:val="ListParagraph"/>
        <w:numPr>
          <w:ilvl w:val="0"/>
          <w:numId w:val="34"/>
        </w:numPr>
      </w:pPr>
      <w:r w:rsidRPr="00DF522C">
        <w:t>Continuous pain (day and night), fever +/- Constitutional symptoms = Neoplasia or infection.</w:t>
      </w:r>
    </w:p>
    <w:p w14:paraId="11CCB3F5" w14:textId="77777777" w:rsidR="00DF522C" w:rsidRPr="00DF522C" w:rsidRDefault="00DF522C" w:rsidP="00DF522C">
      <w:pPr>
        <w:pStyle w:val="ListParagraph"/>
        <w:numPr>
          <w:ilvl w:val="0"/>
          <w:numId w:val="34"/>
        </w:numPr>
      </w:pPr>
      <w:r w:rsidRPr="00DF522C">
        <w:t>Pain with standing/walking (relief with sitting) = Spondylolisthesis</w:t>
      </w:r>
    </w:p>
    <w:p w14:paraId="75208BA0" w14:textId="77777777" w:rsidR="00DF522C" w:rsidRPr="00DF522C" w:rsidRDefault="00DF522C" w:rsidP="00DF522C">
      <w:pPr>
        <w:pStyle w:val="ListParagraph"/>
        <w:numPr>
          <w:ilvl w:val="0"/>
          <w:numId w:val="34"/>
        </w:numPr>
      </w:pPr>
      <w:r w:rsidRPr="00DF522C">
        <w:t>Pain (and stiffness) at rest, relief with activity = Inflammation</w:t>
      </w:r>
    </w:p>
    <w:p w14:paraId="7C998038" w14:textId="06916C33" w:rsidR="00DF522C" w:rsidRPr="00DF522C" w:rsidRDefault="00DF522C" w:rsidP="00DF522C">
      <w:pPr>
        <w:pStyle w:val="ListParagraph"/>
        <w:numPr>
          <w:ilvl w:val="0"/>
          <w:numId w:val="34"/>
        </w:numPr>
      </w:pPr>
      <w:r w:rsidRPr="00DF522C">
        <w:t>Stiffness at rest, pain with or after activity, relief with rest = osteoarthritis.</w:t>
      </w:r>
    </w:p>
    <w:p w14:paraId="27D8D15E" w14:textId="77777777" w:rsidR="00DF522C" w:rsidRPr="00DF522C" w:rsidRDefault="00DF522C" w:rsidP="00DF522C">
      <w:pPr>
        <w:pStyle w:val="ListParagraph"/>
        <w:numPr>
          <w:ilvl w:val="0"/>
          <w:numId w:val="34"/>
        </w:numPr>
      </w:pPr>
      <w:r w:rsidRPr="00DF522C">
        <w:t>Pain provoked by activity, relieved with rest = mechanical dysfunction</w:t>
      </w:r>
    </w:p>
    <w:p w14:paraId="43E4C1B7" w14:textId="0353B53A" w:rsidR="00DF522C" w:rsidRDefault="00DF522C" w:rsidP="00DF522C">
      <w:pPr>
        <w:pStyle w:val="ListParagraph"/>
        <w:numPr>
          <w:ilvl w:val="0"/>
          <w:numId w:val="34"/>
        </w:numPr>
      </w:pPr>
      <w:r w:rsidRPr="00DF522C">
        <w:t>Pain in bed at early morning = depression then inflammation, or malignancy/infection.</w:t>
      </w:r>
    </w:p>
    <w:p w14:paraId="21514852" w14:textId="21F54FC4" w:rsidR="00DF522C" w:rsidRPr="00415A9E" w:rsidRDefault="00DF522C" w:rsidP="00DF522C">
      <w:pPr>
        <w:pStyle w:val="Heading3"/>
      </w:pPr>
      <w:r>
        <w:t xml:space="preserve">Red </w:t>
      </w:r>
      <w:r w:rsidR="00923781">
        <w:t>f</w:t>
      </w:r>
      <w:r>
        <w:t xml:space="preserve">lags for </w:t>
      </w:r>
      <w:r w:rsidR="00923781">
        <w:t>s</w:t>
      </w:r>
      <w:r>
        <w:t>erious causes of LBP</w:t>
      </w:r>
    </w:p>
    <w:p w14:paraId="46502ABC" w14:textId="77777777" w:rsidR="00DF522C" w:rsidRPr="00DF522C" w:rsidRDefault="00DF522C" w:rsidP="00DF522C">
      <w:pPr>
        <w:pStyle w:val="ListParagraph"/>
        <w:numPr>
          <w:ilvl w:val="0"/>
          <w:numId w:val="35"/>
        </w:numPr>
        <w:tabs>
          <w:tab w:val="left" w:pos="180"/>
        </w:tabs>
        <w:spacing w:after="0"/>
        <w:outlineLvl w:val="9"/>
        <w:rPr>
          <w:rFonts w:cs="Tahoma"/>
          <w:lang w:val="en-GB"/>
        </w:rPr>
      </w:pPr>
      <w:r w:rsidRPr="00DF522C">
        <w:rPr>
          <w:rFonts w:cs="Tahoma"/>
        </w:rPr>
        <w:t>Unremitting/constant pain- worse at  night pain</w:t>
      </w:r>
    </w:p>
    <w:p w14:paraId="0C8449F0" w14:textId="77777777" w:rsidR="00DF522C" w:rsidRPr="00DF522C" w:rsidRDefault="00DF522C" w:rsidP="00DF522C">
      <w:pPr>
        <w:pStyle w:val="ListParagraph"/>
        <w:numPr>
          <w:ilvl w:val="0"/>
          <w:numId w:val="35"/>
        </w:numPr>
        <w:tabs>
          <w:tab w:val="left" w:pos="180"/>
        </w:tabs>
        <w:spacing w:after="0"/>
        <w:outlineLvl w:val="9"/>
        <w:rPr>
          <w:rFonts w:cs="Tahoma"/>
          <w:lang w:val="en-GB"/>
        </w:rPr>
      </w:pPr>
      <w:r w:rsidRPr="00DF522C">
        <w:rPr>
          <w:rFonts w:cs="Tahoma"/>
        </w:rPr>
        <w:t>Unexplained weight loss</w:t>
      </w:r>
    </w:p>
    <w:p w14:paraId="4A153548" w14:textId="77777777" w:rsidR="00DF522C" w:rsidRPr="00DF522C" w:rsidRDefault="00DF522C" w:rsidP="00DF522C">
      <w:pPr>
        <w:pStyle w:val="ListParagraph"/>
        <w:numPr>
          <w:ilvl w:val="0"/>
          <w:numId w:val="35"/>
        </w:numPr>
        <w:tabs>
          <w:tab w:val="left" w:pos="180"/>
        </w:tabs>
        <w:spacing w:after="0"/>
        <w:outlineLvl w:val="9"/>
        <w:rPr>
          <w:rFonts w:cs="Tahoma"/>
          <w:lang w:val="en-GB"/>
        </w:rPr>
      </w:pPr>
      <w:r w:rsidRPr="00DF522C">
        <w:rPr>
          <w:rFonts w:cs="Tahoma"/>
        </w:rPr>
        <w:t>Symptoms in other systems e.g. cough, breast mass</w:t>
      </w:r>
    </w:p>
    <w:p w14:paraId="2AA9F4BB" w14:textId="77777777" w:rsidR="00DF522C" w:rsidRPr="00DF522C" w:rsidRDefault="00DF522C" w:rsidP="00DF522C">
      <w:pPr>
        <w:pStyle w:val="ListParagraph"/>
        <w:numPr>
          <w:ilvl w:val="0"/>
          <w:numId w:val="35"/>
        </w:numPr>
        <w:tabs>
          <w:tab w:val="left" w:pos="180"/>
        </w:tabs>
        <w:spacing w:after="0"/>
        <w:outlineLvl w:val="9"/>
        <w:rPr>
          <w:rFonts w:cs="Tahoma"/>
          <w:lang w:val="en-GB"/>
        </w:rPr>
      </w:pPr>
      <w:r w:rsidRPr="00DF522C">
        <w:rPr>
          <w:rFonts w:cs="Tahoma"/>
        </w:rPr>
        <w:t>Progressive neurological deficit: e.g. weakness in limbs, loss of sphincteric control</w:t>
      </w:r>
    </w:p>
    <w:p w14:paraId="551E8126" w14:textId="77777777" w:rsidR="00DF522C" w:rsidRPr="00DF522C" w:rsidRDefault="00DF522C" w:rsidP="00DF522C">
      <w:pPr>
        <w:pStyle w:val="ListParagraph"/>
        <w:numPr>
          <w:ilvl w:val="0"/>
          <w:numId w:val="35"/>
        </w:numPr>
        <w:tabs>
          <w:tab w:val="left" w:pos="180"/>
        </w:tabs>
        <w:spacing w:after="0"/>
        <w:outlineLvl w:val="9"/>
        <w:rPr>
          <w:rFonts w:cs="Tahoma"/>
          <w:lang w:val="en-GB"/>
        </w:rPr>
      </w:pPr>
      <w:r w:rsidRPr="00DF522C">
        <w:rPr>
          <w:rFonts w:cs="Tahoma"/>
        </w:rPr>
        <w:t>Bilateral sciatica</w:t>
      </w:r>
    </w:p>
    <w:p w14:paraId="0E4D7922" w14:textId="6A4F4B17" w:rsidR="00DF522C" w:rsidRPr="00DF522C" w:rsidRDefault="00DF522C" w:rsidP="00DF522C">
      <w:pPr>
        <w:pStyle w:val="ListParagraph"/>
        <w:numPr>
          <w:ilvl w:val="0"/>
          <w:numId w:val="35"/>
        </w:numPr>
        <w:tabs>
          <w:tab w:val="left" w:pos="180"/>
        </w:tabs>
        <w:spacing w:after="0"/>
        <w:outlineLvl w:val="9"/>
        <w:rPr>
          <w:rFonts w:cs="Tahoma"/>
          <w:lang w:val="en-GB"/>
        </w:rPr>
      </w:pPr>
      <w:r w:rsidRPr="00DF522C">
        <w:rPr>
          <w:rFonts w:cs="Tahoma"/>
        </w:rPr>
        <w:t>Age at onset&gt; 50</w:t>
      </w:r>
      <w:r w:rsidR="00923781">
        <w:rPr>
          <w:rFonts w:cs="Tahoma"/>
        </w:rPr>
        <w:t xml:space="preserve"> </w:t>
      </w:r>
      <w:r w:rsidRPr="00DF522C">
        <w:rPr>
          <w:rFonts w:cs="Tahoma"/>
        </w:rPr>
        <w:t>years and &lt; 20 years</w:t>
      </w:r>
    </w:p>
    <w:p w14:paraId="4D2CB729" w14:textId="57721A96" w:rsidR="00DF522C" w:rsidRPr="00DF522C" w:rsidRDefault="00DF522C" w:rsidP="00DF522C">
      <w:pPr>
        <w:pStyle w:val="ListParagraph"/>
        <w:numPr>
          <w:ilvl w:val="0"/>
          <w:numId w:val="35"/>
        </w:numPr>
        <w:tabs>
          <w:tab w:val="left" w:pos="180"/>
        </w:tabs>
        <w:spacing w:after="0"/>
        <w:outlineLvl w:val="9"/>
        <w:rPr>
          <w:rFonts w:cs="Tahoma"/>
          <w:lang w:val="en-GB"/>
        </w:rPr>
      </w:pPr>
      <w:r w:rsidRPr="00DF522C">
        <w:rPr>
          <w:rFonts w:cs="Tahoma"/>
        </w:rPr>
        <w:t>Associated temperature &gt; 37.8</w:t>
      </w:r>
      <w:r w:rsidR="00923781">
        <w:t>º</w:t>
      </w:r>
      <w:r w:rsidR="00923781">
        <w:rPr>
          <w:rFonts w:cs="Tahoma"/>
        </w:rPr>
        <w:t>C</w:t>
      </w:r>
    </w:p>
    <w:p w14:paraId="477B875F" w14:textId="77777777" w:rsidR="00DF522C" w:rsidRPr="00DF522C" w:rsidRDefault="00DF522C" w:rsidP="00DF522C">
      <w:pPr>
        <w:pStyle w:val="ListParagraph"/>
        <w:numPr>
          <w:ilvl w:val="0"/>
          <w:numId w:val="35"/>
        </w:numPr>
        <w:tabs>
          <w:tab w:val="left" w:pos="180"/>
        </w:tabs>
        <w:spacing w:after="0"/>
        <w:outlineLvl w:val="9"/>
        <w:rPr>
          <w:rFonts w:cs="Tahoma"/>
          <w:lang w:val="en-GB"/>
        </w:rPr>
      </w:pPr>
      <w:r w:rsidRPr="00DF522C">
        <w:rPr>
          <w:rFonts w:cs="Tahoma"/>
        </w:rPr>
        <w:t>Significant/violent trauma</w:t>
      </w:r>
    </w:p>
    <w:p w14:paraId="69051B6E" w14:textId="77777777" w:rsidR="00DF522C" w:rsidRPr="00DF522C" w:rsidRDefault="00DF522C" w:rsidP="00DF522C">
      <w:pPr>
        <w:pStyle w:val="ListParagraph"/>
        <w:numPr>
          <w:ilvl w:val="0"/>
          <w:numId w:val="35"/>
        </w:numPr>
        <w:tabs>
          <w:tab w:val="left" w:pos="180"/>
        </w:tabs>
        <w:spacing w:after="0"/>
        <w:outlineLvl w:val="9"/>
        <w:rPr>
          <w:rFonts w:cs="Tahoma"/>
          <w:lang w:val="en-GB"/>
        </w:rPr>
      </w:pPr>
      <w:r w:rsidRPr="00DF522C">
        <w:rPr>
          <w:rFonts w:cs="Tahoma"/>
        </w:rPr>
        <w:t>No improvement after one month</w:t>
      </w:r>
    </w:p>
    <w:p w14:paraId="03FA3596" w14:textId="77777777" w:rsidR="00DF522C" w:rsidRPr="00DF522C" w:rsidRDefault="00DF522C" w:rsidP="00DF522C">
      <w:pPr>
        <w:pStyle w:val="ListParagraph"/>
        <w:numPr>
          <w:ilvl w:val="0"/>
          <w:numId w:val="35"/>
        </w:numPr>
        <w:tabs>
          <w:tab w:val="left" w:pos="180"/>
        </w:tabs>
        <w:spacing w:after="0"/>
        <w:outlineLvl w:val="9"/>
        <w:rPr>
          <w:rFonts w:cs="Tahoma"/>
          <w:lang w:val="en-GB"/>
        </w:rPr>
      </w:pPr>
      <w:r w:rsidRPr="00DF522C">
        <w:rPr>
          <w:rFonts w:cs="Tahoma"/>
        </w:rPr>
        <w:t>Recent onset bladder dysfunction</w:t>
      </w:r>
    </w:p>
    <w:p w14:paraId="15F67258" w14:textId="204A12BF" w:rsidR="00DF522C" w:rsidRPr="00DF522C" w:rsidRDefault="00DF522C" w:rsidP="00DF522C">
      <w:pPr>
        <w:pStyle w:val="ListParagraph"/>
        <w:numPr>
          <w:ilvl w:val="0"/>
          <w:numId w:val="35"/>
        </w:numPr>
        <w:tabs>
          <w:tab w:val="left" w:pos="180"/>
        </w:tabs>
        <w:outlineLvl w:val="9"/>
        <w:rPr>
          <w:rFonts w:cs="Tahoma"/>
          <w:lang w:val="en-GB"/>
        </w:rPr>
      </w:pPr>
      <w:r w:rsidRPr="00DF522C">
        <w:rPr>
          <w:rFonts w:cs="Tahoma"/>
        </w:rPr>
        <w:t>History of cancer</w:t>
      </w:r>
    </w:p>
    <w:p w14:paraId="0C252229" w14:textId="77777777" w:rsidR="00CB4C5D" w:rsidRDefault="00CB4C5D">
      <w:pPr>
        <w:spacing w:after="0"/>
        <w:outlineLvl w:val="9"/>
        <w:rPr>
          <w:rFonts w:eastAsia="Times New Roman" w:cs="Times New Roman"/>
          <w:b/>
          <w:bCs/>
          <w:szCs w:val="26"/>
          <w:u w:val="single"/>
        </w:rPr>
      </w:pPr>
      <w:r>
        <w:br w:type="page"/>
      </w:r>
    </w:p>
    <w:p w14:paraId="2A8D4906" w14:textId="62F5D625" w:rsidR="00DF522C" w:rsidRDefault="00DF522C" w:rsidP="00DF522C">
      <w:pPr>
        <w:pStyle w:val="Heading3"/>
      </w:pPr>
      <w:r>
        <w:lastRenderedPageBreak/>
        <w:t xml:space="preserve">Yellow </w:t>
      </w:r>
      <w:r w:rsidR="00923781">
        <w:t>f</w:t>
      </w:r>
      <w:r>
        <w:t xml:space="preserve">lag </w:t>
      </w:r>
      <w:r w:rsidR="00923781">
        <w:t>s</w:t>
      </w:r>
      <w:r>
        <w:t>igns in LBP (Psychosocial issues that impede recovery)</w:t>
      </w:r>
    </w:p>
    <w:p w14:paraId="093747B8" w14:textId="77777777" w:rsidR="00DF522C" w:rsidRPr="00DF522C" w:rsidRDefault="00DF522C" w:rsidP="00DF522C">
      <w:pPr>
        <w:pStyle w:val="ListParagraph"/>
        <w:numPr>
          <w:ilvl w:val="0"/>
          <w:numId w:val="36"/>
        </w:numPr>
        <w:tabs>
          <w:tab w:val="left" w:pos="180"/>
        </w:tabs>
        <w:spacing w:after="0"/>
        <w:outlineLvl w:val="9"/>
        <w:rPr>
          <w:rFonts w:cs="Tahoma"/>
          <w:lang w:val="en-GB"/>
        </w:rPr>
      </w:pPr>
      <w:r w:rsidRPr="00DF522C">
        <w:rPr>
          <w:rFonts w:cs="Tahoma"/>
          <w:lang w:val="en-GB"/>
        </w:rPr>
        <w:t>Compensation issues</w:t>
      </w:r>
    </w:p>
    <w:p w14:paraId="28C71DD6" w14:textId="77777777" w:rsidR="00DF522C" w:rsidRPr="00DF522C" w:rsidRDefault="00DF522C" w:rsidP="00DF522C">
      <w:pPr>
        <w:pStyle w:val="ListParagraph"/>
        <w:numPr>
          <w:ilvl w:val="0"/>
          <w:numId w:val="36"/>
        </w:numPr>
        <w:tabs>
          <w:tab w:val="left" w:pos="180"/>
        </w:tabs>
        <w:spacing w:after="0"/>
        <w:outlineLvl w:val="9"/>
        <w:rPr>
          <w:rFonts w:cs="Tahoma"/>
          <w:lang w:val="en-GB"/>
        </w:rPr>
      </w:pPr>
      <w:r w:rsidRPr="00DF522C">
        <w:rPr>
          <w:rFonts w:cs="Tahoma"/>
          <w:lang w:val="en-GB"/>
        </w:rPr>
        <w:t>Failure to return to work</w:t>
      </w:r>
    </w:p>
    <w:p w14:paraId="79D052DC" w14:textId="77777777" w:rsidR="00DF522C" w:rsidRPr="00DF522C" w:rsidRDefault="00DF522C" w:rsidP="00DF522C">
      <w:pPr>
        <w:pStyle w:val="ListParagraph"/>
        <w:numPr>
          <w:ilvl w:val="0"/>
          <w:numId w:val="36"/>
        </w:numPr>
        <w:tabs>
          <w:tab w:val="left" w:pos="180"/>
        </w:tabs>
        <w:spacing w:after="0"/>
        <w:outlineLvl w:val="9"/>
        <w:rPr>
          <w:rFonts w:cs="Tahoma"/>
          <w:lang w:val="en-GB"/>
        </w:rPr>
      </w:pPr>
      <w:r w:rsidRPr="00DF522C">
        <w:rPr>
          <w:rFonts w:cs="Tahoma"/>
          <w:lang w:val="en-GB"/>
        </w:rPr>
        <w:t>Refusal of treatment</w:t>
      </w:r>
    </w:p>
    <w:p w14:paraId="4807C3FF" w14:textId="77777777" w:rsidR="00DF522C" w:rsidRPr="00DF522C" w:rsidRDefault="00DF522C" w:rsidP="00DF522C">
      <w:pPr>
        <w:pStyle w:val="ListParagraph"/>
        <w:numPr>
          <w:ilvl w:val="0"/>
          <w:numId w:val="36"/>
        </w:numPr>
        <w:tabs>
          <w:tab w:val="left" w:pos="180"/>
        </w:tabs>
        <w:spacing w:after="0"/>
        <w:outlineLvl w:val="9"/>
        <w:rPr>
          <w:rFonts w:cs="Tahoma"/>
          <w:lang w:val="en-GB"/>
        </w:rPr>
      </w:pPr>
      <w:r w:rsidRPr="00DF522C">
        <w:rPr>
          <w:rFonts w:cs="Tahoma"/>
          <w:lang w:val="en-GB"/>
        </w:rPr>
        <w:t>Unsatisfactory response to treatment</w:t>
      </w:r>
    </w:p>
    <w:p w14:paraId="6CF6F410" w14:textId="77777777" w:rsidR="00DF522C" w:rsidRPr="00DF522C" w:rsidRDefault="00DF522C" w:rsidP="00DF522C">
      <w:pPr>
        <w:pStyle w:val="ListParagraph"/>
        <w:numPr>
          <w:ilvl w:val="0"/>
          <w:numId w:val="36"/>
        </w:numPr>
        <w:tabs>
          <w:tab w:val="left" w:pos="180"/>
        </w:tabs>
        <w:spacing w:after="0"/>
        <w:outlineLvl w:val="9"/>
        <w:rPr>
          <w:rFonts w:cs="Tahoma"/>
          <w:lang w:val="en-GB"/>
        </w:rPr>
      </w:pPr>
      <w:r w:rsidRPr="00DF522C">
        <w:rPr>
          <w:rFonts w:cs="Tahoma"/>
          <w:lang w:val="en-GB"/>
        </w:rPr>
        <w:t>Atypical physical signs</w:t>
      </w:r>
    </w:p>
    <w:p w14:paraId="58FDEF44" w14:textId="77777777" w:rsidR="00DF522C" w:rsidRPr="00DF522C" w:rsidRDefault="00DF522C" w:rsidP="00DF522C">
      <w:pPr>
        <w:pStyle w:val="ListParagraph"/>
        <w:numPr>
          <w:ilvl w:val="0"/>
          <w:numId w:val="36"/>
        </w:numPr>
        <w:tabs>
          <w:tab w:val="left" w:pos="180"/>
        </w:tabs>
        <w:spacing w:after="0"/>
        <w:outlineLvl w:val="9"/>
        <w:rPr>
          <w:rFonts w:cs="Tahoma"/>
          <w:lang w:val="en-GB"/>
        </w:rPr>
      </w:pPr>
      <w:r w:rsidRPr="00DF522C">
        <w:rPr>
          <w:rFonts w:cs="Tahoma"/>
          <w:lang w:val="en-GB"/>
        </w:rPr>
        <w:t>Unsupportive home environment</w:t>
      </w:r>
    </w:p>
    <w:p w14:paraId="20D0DB72" w14:textId="77777777" w:rsidR="00DF522C" w:rsidRPr="00DF522C" w:rsidRDefault="00DF522C" w:rsidP="00DF522C">
      <w:pPr>
        <w:pStyle w:val="ListParagraph"/>
        <w:numPr>
          <w:ilvl w:val="0"/>
          <w:numId w:val="36"/>
        </w:numPr>
        <w:tabs>
          <w:tab w:val="left" w:pos="180"/>
        </w:tabs>
        <w:spacing w:after="0"/>
        <w:outlineLvl w:val="9"/>
        <w:rPr>
          <w:rFonts w:cs="Tahoma"/>
          <w:lang w:val="en-GB"/>
        </w:rPr>
      </w:pPr>
      <w:r w:rsidRPr="00DF522C">
        <w:rPr>
          <w:rFonts w:cs="Tahoma"/>
          <w:lang w:val="en-GB"/>
        </w:rPr>
        <w:t>Inappropriate expectations</w:t>
      </w:r>
    </w:p>
    <w:p w14:paraId="077F72CB" w14:textId="77777777" w:rsidR="00DF522C" w:rsidRPr="00DF522C" w:rsidRDefault="00DF522C" w:rsidP="00DF522C">
      <w:pPr>
        <w:pStyle w:val="ListParagraph"/>
        <w:numPr>
          <w:ilvl w:val="0"/>
          <w:numId w:val="36"/>
        </w:numPr>
        <w:tabs>
          <w:tab w:val="left" w:pos="180"/>
        </w:tabs>
        <w:outlineLvl w:val="9"/>
        <w:rPr>
          <w:rFonts w:cs="Tahoma"/>
          <w:lang w:val="en-GB"/>
        </w:rPr>
      </w:pPr>
      <w:r w:rsidRPr="00DF522C">
        <w:rPr>
          <w:rFonts w:cs="Tahoma"/>
          <w:lang w:val="en-GB"/>
        </w:rPr>
        <w:t>Belief that activity &amp; physiotherapy are harmful</w:t>
      </w:r>
    </w:p>
    <w:p w14:paraId="688E61A3" w14:textId="77777777" w:rsidR="00DF522C" w:rsidRPr="00780ECF" w:rsidRDefault="00DF522C" w:rsidP="00DF522C">
      <w:pPr>
        <w:pStyle w:val="Heading2"/>
      </w:pPr>
      <w:r w:rsidRPr="00780ECF">
        <w:t>Examination</w:t>
      </w:r>
      <w:r>
        <w:t>- Gait, Look, Move &amp; Special Tests</w:t>
      </w:r>
    </w:p>
    <w:p w14:paraId="39448BD9" w14:textId="77777777" w:rsidR="00DF522C" w:rsidRPr="003C6673" w:rsidRDefault="00DF522C" w:rsidP="00DF522C">
      <w:pPr>
        <w:spacing w:after="0"/>
        <w:rPr>
          <w:rFonts w:eastAsia="Times New Roman" w:cs="Tahoma"/>
        </w:rPr>
      </w:pPr>
      <w:r w:rsidRPr="003C6673">
        <w:rPr>
          <w:rFonts w:eastAsia="Times New Roman" w:cs="Tahoma"/>
        </w:rPr>
        <w:t>The main components of the physical examination are:</w:t>
      </w:r>
    </w:p>
    <w:p w14:paraId="15B5D150" w14:textId="77777777" w:rsidR="00DF522C" w:rsidRDefault="00DF522C" w:rsidP="00DF522C">
      <w:pPr>
        <w:pStyle w:val="ListParagraph"/>
        <w:numPr>
          <w:ilvl w:val="0"/>
          <w:numId w:val="25"/>
        </w:numPr>
        <w:spacing w:after="0"/>
        <w:outlineLvl w:val="9"/>
        <w:rPr>
          <w:rFonts w:eastAsia="Times New Roman" w:cs="Tahoma"/>
        </w:rPr>
      </w:pPr>
      <w:r w:rsidRPr="003C6673">
        <w:rPr>
          <w:rFonts w:eastAsia="Times New Roman" w:cs="Tahoma"/>
        </w:rPr>
        <w:t>Inspection</w:t>
      </w:r>
      <w:r>
        <w:rPr>
          <w:rFonts w:eastAsia="Times New Roman" w:cs="Tahoma"/>
        </w:rPr>
        <w:t>: abnormalities of gait (stance &amp; sway), spine curvatures, scars revealing previous spine procedure or trauma, spine abnormalities (e.g. gibbus) etc.</w:t>
      </w:r>
    </w:p>
    <w:p w14:paraId="7B2B967E" w14:textId="77777777" w:rsidR="00DF522C" w:rsidRDefault="00DF522C" w:rsidP="00DF522C">
      <w:pPr>
        <w:pStyle w:val="ListParagraph"/>
        <w:numPr>
          <w:ilvl w:val="0"/>
          <w:numId w:val="25"/>
        </w:numPr>
        <w:spacing w:after="0"/>
        <w:outlineLvl w:val="9"/>
        <w:rPr>
          <w:rFonts w:eastAsia="Times New Roman" w:cs="Tahoma"/>
        </w:rPr>
      </w:pPr>
      <w:r w:rsidRPr="003C6673">
        <w:rPr>
          <w:rFonts w:eastAsia="Times New Roman" w:cs="Tahoma"/>
        </w:rPr>
        <w:t xml:space="preserve">Active movements: These </w:t>
      </w:r>
      <w:r>
        <w:rPr>
          <w:rFonts w:eastAsia="Times New Roman" w:cs="Tahoma"/>
        </w:rPr>
        <w:t xml:space="preserve">includes </w:t>
      </w:r>
      <w:r w:rsidRPr="003C6673">
        <w:rPr>
          <w:rFonts w:eastAsia="Times New Roman" w:cs="Tahoma"/>
        </w:rPr>
        <w:t>forward flexion (to reproduce patient symptoms)</w:t>
      </w:r>
      <w:r>
        <w:rPr>
          <w:rFonts w:eastAsia="Times New Roman" w:cs="Tahoma"/>
        </w:rPr>
        <w:t>, e</w:t>
      </w:r>
      <w:r w:rsidRPr="003C6673">
        <w:rPr>
          <w:rFonts w:eastAsia="Times New Roman" w:cs="Tahoma"/>
        </w:rPr>
        <w:t>xtension (to reproduce patient’s symptoms)</w:t>
      </w:r>
      <w:r>
        <w:rPr>
          <w:rFonts w:eastAsia="Times New Roman" w:cs="Tahoma"/>
        </w:rPr>
        <w:t>, l</w:t>
      </w:r>
      <w:r w:rsidRPr="003C6673">
        <w:rPr>
          <w:rFonts w:eastAsia="Times New Roman" w:cs="Tahoma"/>
        </w:rPr>
        <w:t>ateral flexion (R&amp;L) to reproduce patient’s symptoms.</w:t>
      </w:r>
    </w:p>
    <w:p w14:paraId="523954F6" w14:textId="77777777" w:rsidR="00DF522C" w:rsidRDefault="00DF522C" w:rsidP="00DF522C">
      <w:pPr>
        <w:pStyle w:val="ListParagraph"/>
        <w:numPr>
          <w:ilvl w:val="0"/>
          <w:numId w:val="25"/>
        </w:numPr>
        <w:spacing w:after="0"/>
        <w:outlineLvl w:val="9"/>
        <w:rPr>
          <w:rFonts w:eastAsia="Times New Roman" w:cs="Tahoma"/>
        </w:rPr>
      </w:pPr>
      <w:r w:rsidRPr="003C6673">
        <w:rPr>
          <w:rFonts w:eastAsia="Times New Roman" w:cs="Tahoma"/>
        </w:rPr>
        <w:t>Provocative tests (to reproduce the patient’s symptoms)</w:t>
      </w:r>
      <w:r>
        <w:rPr>
          <w:rFonts w:eastAsia="Times New Roman" w:cs="Tahoma"/>
        </w:rPr>
        <w:t xml:space="preserve"> e</w:t>
      </w:r>
      <w:r w:rsidRPr="003C6673">
        <w:rPr>
          <w:rFonts w:eastAsia="Times New Roman" w:cs="Tahoma"/>
        </w:rPr>
        <w:t>.g.  Slump</w:t>
      </w:r>
      <w:r>
        <w:rPr>
          <w:rFonts w:eastAsia="Times New Roman" w:cs="Tahoma"/>
        </w:rPr>
        <w:t xml:space="preserve"> test, Lasegue or straight leg raising test, Cross straight leg raising test</w:t>
      </w:r>
    </w:p>
    <w:p w14:paraId="7C7D3E80" w14:textId="77777777" w:rsidR="00DF522C" w:rsidRDefault="00DF522C" w:rsidP="00DF522C">
      <w:pPr>
        <w:pStyle w:val="ListParagraph"/>
        <w:numPr>
          <w:ilvl w:val="0"/>
          <w:numId w:val="25"/>
        </w:numPr>
        <w:spacing w:after="0"/>
        <w:outlineLvl w:val="9"/>
        <w:rPr>
          <w:rFonts w:eastAsia="Times New Roman" w:cs="Tahoma"/>
        </w:rPr>
      </w:pPr>
      <w:r w:rsidRPr="003C6673">
        <w:rPr>
          <w:rFonts w:eastAsia="Times New Roman" w:cs="Tahoma"/>
        </w:rPr>
        <w:t>Palpation (to detect level of tenderness).</w:t>
      </w:r>
    </w:p>
    <w:p w14:paraId="6BD3AC3C" w14:textId="77777777" w:rsidR="00DF522C" w:rsidRDefault="00DF522C" w:rsidP="00DF522C">
      <w:pPr>
        <w:pStyle w:val="ListParagraph"/>
        <w:numPr>
          <w:ilvl w:val="0"/>
          <w:numId w:val="25"/>
        </w:numPr>
        <w:spacing w:after="0"/>
        <w:outlineLvl w:val="9"/>
        <w:rPr>
          <w:rFonts w:eastAsia="Times New Roman" w:cs="Tahoma"/>
        </w:rPr>
      </w:pPr>
      <w:r w:rsidRPr="003C6673">
        <w:rPr>
          <w:rFonts w:eastAsia="Times New Roman" w:cs="Tahoma"/>
        </w:rPr>
        <w:t>Neurological examination of lower limbs (if appropriate).</w:t>
      </w:r>
    </w:p>
    <w:p w14:paraId="32835DD4" w14:textId="77777777" w:rsidR="00DF522C" w:rsidRDefault="00DF522C" w:rsidP="00DF522C">
      <w:pPr>
        <w:pStyle w:val="ListParagraph"/>
        <w:numPr>
          <w:ilvl w:val="0"/>
          <w:numId w:val="25"/>
        </w:numPr>
        <w:spacing w:after="0"/>
        <w:outlineLvl w:val="9"/>
        <w:rPr>
          <w:rFonts w:eastAsia="Times New Roman" w:cs="Tahoma"/>
        </w:rPr>
      </w:pPr>
      <w:r w:rsidRPr="003C6673">
        <w:rPr>
          <w:rFonts w:eastAsia="Times New Roman" w:cs="Tahoma"/>
        </w:rPr>
        <w:t>Testing of related joints (hip, sacroiliac).</w:t>
      </w:r>
    </w:p>
    <w:p w14:paraId="74B3545F" w14:textId="77777777" w:rsidR="00DF522C" w:rsidRDefault="00DF522C" w:rsidP="00DF522C">
      <w:pPr>
        <w:pStyle w:val="ListParagraph"/>
        <w:numPr>
          <w:ilvl w:val="0"/>
          <w:numId w:val="25"/>
        </w:numPr>
        <w:spacing w:after="0"/>
        <w:outlineLvl w:val="9"/>
        <w:rPr>
          <w:rFonts w:eastAsia="Times New Roman" w:cs="Tahoma"/>
        </w:rPr>
      </w:pPr>
      <w:r w:rsidRPr="003C6673">
        <w:rPr>
          <w:rFonts w:eastAsia="Times New Roman" w:cs="Tahoma"/>
        </w:rPr>
        <w:t>Assessment of pelvis and lower limbs for any deformity (e.g. leg shortening).</w:t>
      </w:r>
    </w:p>
    <w:p w14:paraId="1EB8AFDC" w14:textId="22F3099D" w:rsidR="00DF522C" w:rsidRDefault="00DF522C" w:rsidP="00DF522C">
      <w:pPr>
        <w:pStyle w:val="ListParagraph"/>
        <w:numPr>
          <w:ilvl w:val="0"/>
          <w:numId w:val="25"/>
        </w:numPr>
        <w:spacing w:after="0"/>
        <w:outlineLvl w:val="9"/>
        <w:rPr>
          <w:rFonts w:eastAsia="Times New Roman" w:cs="Tahoma"/>
        </w:rPr>
      </w:pPr>
      <w:r w:rsidRPr="003C6673">
        <w:rPr>
          <w:rFonts w:eastAsia="Times New Roman" w:cs="Tahoma"/>
        </w:rPr>
        <w:t>General medical examination, including rectal examination</w:t>
      </w:r>
      <w:r>
        <w:rPr>
          <w:rFonts w:eastAsia="Times New Roman" w:cs="Tahoma"/>
        </w:rPr>
        <w:t xml:space="preserve"> as indicated in patients presentation </w:t>
      </w:r>
    </w:p>
    <w:p w14:paraId="60C4922B" w14:textId="5E379C87" w:rsidR="00DF522C" w:rsidRPr="00DF522C" w:rsidRDefault="00DF522C" w:rsidP="00DF522C">
      <w:pPr>
        <w:spacing w:after="0"/>
        <w:outlineLvl w:val="9"/>
        <w:rPr>
          <w:rFonts w:eastAsia="Times New Roman" w:cs="Tahoma"/>
        </w:rPr>
      </w:pPr>
    </w:p>
    <w:p w14:paraId="39CB33F4" w14:textId="77777777" w:rsidR="00827FB0" w:rsidRDefault="00827FB0" w:rsidP="00F03F25">
      <w:pPr>
        <w:pStyle w:val="Heading2"/>
        <w:rPr>
          <w:rFonts w:cs="Arial"/>
          <w:szCs w:val="22"/>
        </w:rPr>
      </w:pPr>
      <w:r>
        <w:rPr>
          <w:rFonts w:cs="Arial"/>
          <w:noProof/>
          <w:szCs w:val="22"/>
          <w:lang w:val="en-GB" w:eastAsia="en-GB"/>
        </w:rPr>
        <w:drawing>
          <wp:inline distT="0" distB="0" distL="0" distR="0" wp14:anchorId="0E46D277" wp14:editId="017C11BE">
            <wp:extent cx="54864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bp_image001.jpg"/>
                    <pic:cNvPicPr/>
                  </pic:nvPicPr>
                  <pic:blipFill>
                    <a:blip r:embed="rId7">
                      <a:extLst>
                        <a:ext uri="{28A0092B-C50C-407E-A947-70E740481C1C}">
                          <a14:useLocalDpi xmlns:a14="http://schemas.microsoft.com/office/drawing/2010/main" val="0"/>
                        </a:ext>
                      </a:extLst>
                    </a:blip>
                    <a:stretch>
                      <a:fillRect/>
                    </a:stretch>
                  </pic:blipFill>
                  <pic:spPr>
                    <a:xfrm>
                      <a:off x="0" y="0"/>
                      <a:ext cx="5486400" cy="2552700"/>
                    </a:xfrm>
                    <a:prstGeom prst="rect">
                      <a:avLst/>
                    </a:prstGeom>
                  </pic:spPr>
                </pic:pic>
              </a:graphicData>
            </a:graphic>
          </wp:inline>
        </w:drawing>
      </w:r>
    </w:p>
    <w:p w14:paraId="7410539E" w14:textId="427FBEE5" w:rsidR="00DF522C" w:rsidRDefault="00827FB0" w:rsidP="00F03F25">
      <w:pPr>
        <w:pStyle w:val="Heading2"/>
        <w:rPr>
          <w:rFonts w:cs="Arial"/>
          <w:szCs w:val="22"/>
        </w:rPr>
      </w:pPr>
      <w:bookmarkStart w:id="0" w:name="_GoBack"/>
      <w:bookmarkEnd w:id="0"/>
      <w:r>
        <w:rPr>
          <w:rFonts w:cs="Arial"/>
          <w:noProof/>
          <w:szCs w:val="22"/>
          <w:lang w:val="en-GB" w:eastAsia="en-GB"/>
        </w:rPr>
        <w:lastRenderedPageBreak/>
        <w:drawing>
          <wp:inline distT="0" distB="0" distL="0" distR="0" wp14:anchorId="3C4E4305" wp14:editId="08B5A81D">
            <wp:extent cx="3495675" cy="317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bp_image002.jpg"/>
                    <pic:cNvPicPr/>
                  </pic:nvPicPr>
                  <pic:blipFill>
                    <a:blip r:embed="rId8">
                      <a:extLst>
                        <a:ext uri="{28A0092B-C50C-407E-A947-70E740481C1C}">
                          <a14:useLocalDpi xmlns:a14="http://schemas.microsoft.com/office/drawing/2010/main" val="0"/>
                        </a:ext>
                      </a:extLst>
                    </a:blip>
                    <a:stretch>
                      <a:fillRect/>
                    </a:stretch>
                  </pic:blipFill>
                  <pic:spPr>
                    <a:xfrm>
                      <a:off x="0" y="0"/>
                      <a:ext cx="3495675" cy="3171825"/>
                    </a:xfrm>
                    <a:prstGeom prst="rect">
                      <a:avLst/>
                    </a:prstGeom>
                  </pic:spPr>
                </pic:pic>
              </a:graphicData>
            </a:graphic>
          </wp:inline>
        </w:drawing>
      </w:r>
    </w:p>
    <w:p w14:paraId="3A408293" w14:textId="77777777" w:rsidR="00DF522C" w:rsidRPr="00780ECF" w:rsidRDefault="00DF522C" w:rsidP="00DF522C">
      <w:pPr>
        <w:pStyle w:val="Heading2"/>
      </w:pPr>
      <w:r>
        <w:t>Management</w:t>
      </w:r>
    </w:p>
    <w:p w14:paraId="57DE1F96" w14:textId="77777777" w:rsidR="00DF522C" w:rsidRPr="003C6673" w:rsidRDefault="00DF522C" w:rsidP="00DF522C">
      <w:pPr>
        <w:pStyle w:val="Heading3"/>
      </w:pPr>
      <w:r>
        <w:t>For acute lower back pain</w:t>
      </w:r>
    </w:p>
    <w:p w14:paraId="7F6EA3B1" w14:textId="14E529DA" w:rsidR="00DF522C" w:rsidRPr="00DF522C" w:rsidRDefault="00DF522C" w:rsidP="00DF522C">
      <w:r w:rsidRPr="00DF522C">
        <w:t>Explanation and reassurance</w:t>
      </w:r>
      <w:r>
        <w:t>.</w:t>
      </w:r>
    </w:p>
    <w:p w14:paraId="528AB436" w14:textId="1F4E2B70" w:rsidR="00DF522C" w:rsidRPr="00DF522C" w:rsidRDefault="00DF522C" w:rsidP="00DF522C">
      <w:r w:rsidRPr="00DF522C">
        <w:t>Back education</w:t>
      </w:r>
      <w:r>
        <w:t>:</w:t>
      </w:r>
    </w:p>
    <w:p w14:paraId="2E305FA6" w14:textId="77777777" w:rsidR="00DF522C" w:rsidRPr="00780ECF" w:rsidRDefault="00DF522C" w:rsidP="00DF522C">
      <w:pPr>
        <w:pStyle w:val="ListParagraph"/>
        <w:numPr>
          <w:ilvl w:val="0"/>
          <w:numId w:val="45"/>
        </w:numPr>
      </w:pPr>
      <w:r w:rsidRPr="00780ECF">
        <w:t>Lie down on side with pillow in between thigh, avoid lying down on the back.</w:t>
      </w:r>
    </w:p>
    <w:p w14:paraId="10D22997" w14:textId="77777777" w:rsidR="00DF522C" w:rsidRPr="00780ECF" w:rsidRDefault="00DF522C" w:rsidP="00DF522C">
      <w:pPr>
        <w:pStyle w:val="ListParagraph"/>
        <w:numPr>
          <w:ilvl w:val="0"/>
          <w:numId w:val="45"/>
        </w:numPr>
      </w:pPr>
      <w:r w:rsidRPr="00780ECF">
        <w:t>Do not slouch when sitting on chairs.</w:t>
      </w:r>
    </w:p>
    <w:p w14:paraId="699247DD" w14:textId="77777777" w:rsidR="00DF522C" w:rsidRPr="00780ECF" w:rsidRDefault="00DF522C" w:rsidP="00DF522C">
      <w:pPr>
        <w:pStyle w:val="ListParagraph"/>
        <w:numPr>
          <w:ilvl w:val="0"/>
          <w:numId w:val="45"/>
        </w:numPr>
      </w:pPr>
      <w:r w:rsidRPr="00780ECF">
        <w:t>Sit up straight with back abutting on the chair back.</w:t>
      </w:r>
    </w:p>
    <w:p w14:paraId="2BDBEA77" w14:textId="77777777" w:rsidR="00DF522C" w:rsidRPr="00780ECF" w:rsidRDefault="00DF522C" w:rsidP="00DF522C">
      <w:pPr>
        <w:pStyle w:val="ListParagraph"/>
        <w:numPr>
          <w:ilvl w:val="0"/>
          <w:numId w:val="45"/>
        </w:numPr>
      </w:pPr>
      <w:r w:rsidRPr="00780ECF">
        <w:t>Place on foot on a small stool/platform if prolonged sitting for 2 hours or more warranted.</w:t>
      </w:r>
    </w:p>
    <w:p w14:paraId="2EBE9067" w14:textId="77777777" w:rsidR="00DF522C" w:rsidRPr="00780ECF" w:rsidRDefault="00DF522C" w:rsidP="00DF522C">
      <w:pPr>
        <w:pStyle w:val="ListParagraph"/>
        <w:numPr>
          <w:ilvl w:val="0"/>
          <w:numId w:val="45"/>
        </w:numPr>
      </w:pPr>
      <w:r w:rsidRPr="00780ECF">
        <w:t>Walk around for 15 minutes after every two hours of sitting down.</w:t>
      </w:r>
    </w:p>
    <w:p w14:paraId="5FB68998" w14:textId="36835295" w:rsidR="00DF522C" w:rsidRPr="00DF522C" w:rsidRDefault="00DF522C" w:rsidP="00DF522C">
      <w:r w:rsidRPr="00DF522C">
        <w:t>Encouragement of normal daily activities according to degree of comfort</w:t>
      </w:r>
      <w:r>
        <w:t>.</w:t>
      </w:r>
    </w:p>
    <w:p w14:paraId="78C985AD" w14:textId="6703F56B" w:rsidR="00DF522C" w:rsidRPr="00DF522C" w:rsidRDefault="00DF522C" w:rsidP="00DF522C">
      <w:r w:rsidRPr="00DF522C">
        <w:t>Prescribe simple exercises (provided no aggravation of pain)</w:t>
      </w:r>
      <w:r>
        <w:t>.</w:t>
      </w:r>
    </w:p>
    <w:p w14:paraId="661A288B" w14:textId="1DEAFB2A" w:rsidR="00DF522C" w:rsidRPr="00DF522C" w:rsidRDefault="00DF522C" w:rsidP="00DF522C">
      <w:r w:rsidRPr="00DF522C">
        <w:t>Regular non-opioid analgesics (e.g. paracetamol)</w:t>
      </w:r>
      <w:r>
        <w:t>.</w:t>
      </w:r>
    </w:p>
    <w:p w14:paraId="14924F84" w14:textId="2CF9ED9F" w:rsidR="00DF522C" w:rsidRPr="00DF522C" w:rsidRDefault="00DF522C" w:rsidP="00DF522C">
      <w:r w:rsidRPr="00DF522C">
        <w:t xml:space="preserve">Consider </w:t>
      </w:r>
      <w:r>
        <w:t>p</w:t>
      </w:r>
      <w:r w:rsidRPr="00DF522C">
        <w:t>hysiotherapy based on your assessment of the severity</w:t>
      </w:r>
      <w:r>
        <w:t>.</w:t>
      </w:r>
    </w:p>
    <w:p w14:paraId="4C012776" w14:textId="496EE161" w:rsidR="00DF522C" w:rsidRPr="00DF522C" w:rsidRDefault="00DF522C" w:rsidP="00DF522C">
      <w:r w:rsidRPr="00DF522C">
        <w:t>If very severe, review in about 5 days</w:t>
      </w:r>
      <w:r>
        <w:t xml:space="preserve"> – </w:t>
      </w:r>
      <w:r w:rsidRPr="00DF522C">
        <w:t>one week (probably best time for physi</w:t>
      </w:r>
      <w:r>
        <w:t>o</w:t>
      </w:r>
      <w:r w:rsidRPr="00DF522C">
        <w:t>therapy)</w:t>
      </w:r>
      <w:r>
        <w:t>.</w:t>
      </w:r>
    </w:p>
    <w:p w14:paraId="6353AFA9" w14:textId="37AD46BC" w:rsidR="00DF522C" w:rsidRPr="00DF522C" w:rsidRDefault="00DF522C" w:rsidP="00DF522C">
      <w:pPr>
        <w:rPr>
          <w:b/>
        </w:rPr>
      </w:pPr>
      <w:r w:rsidRPr="00DF522C">
        <w:rPr>
          <w:b/>
        </w:rPr>
        <w:t>No investigation is needed initially!!</w:t>
      </w:r>
    </w:p>
    <w:p w14:paraId="1C86BF69" w14:textId="77777777" w:rsidR="00DF522C" w:rsidRDefault="00DF522C" w:rsidP="00DF522C">
      <w:pPr>
        <w:pStyle w:val="Heading3"/>
      </w:pPr>
      <w:r>
        <w:t>For sub-acute lower back pain</w:t>
      </w:r>
    </w:p>
    <w:p w14:paraId="7869F0E3" w14:textId="106EC9DA" w:rsidR="00DF522C" w:rsidRPr="003C6673" w:rsidRDefault="00DF522C" w:rsidP="00DF522C">
      <w:pPr>
        <w:spacing w:after="0"/>
        <w:rPr>
          <w:rFonts w:eastAsia="Times New Roman" w:cs="Tahoma"/>
        </w:rPr>
      </w:pPr>
      <w:r w:rsidRPr="00780ECF">
        <w:rPr>
          <w:rFonts w:eastAsia="Times New Roman" w:cs="Tahoma"/>
        </w:rPr>
        <w:t>If severe or any diagnostic pointer (as listed above) present</w:t>
      </w:r>
      <w:r>
        <w:rPr>
          <w:rFonts w:eastAsia="Times New Roman" w:cs="Tahoma"/>
        </w:rPr>
        <w:t>:</w:t>
      </w:r>
    </w:p>
    <w:p w14:paraId="134B3B30" w14:textId="77777777" w:rsidR="00DF522C" w:rsidRPr="0077635B" w:rsidRDefault="00DF522C" w:rsidP="00DF522C">
      <w:pPr>
        <w:pStyle w:val="ListParagraph"/>
        <w:numPr>
          <w:ilvl w:val="0"/>
          <w:numId w:val="40"/>
        </w:numPr>
        <w:spacing w:after="0"/>
        <w:outlineLvl w:val="9"/>
        <w:rPr>
          <w:rFonts w:eastAsia="Times New Roman" w:cs="Tahoma"/>
        </w:rPr>
      </w:pPr>
      <w:r w:rsidRPr="0077635B">
        <w:rPr>
          <w:rFonts w:eastAsia="Times New Roman" w:cs="Tahoma"/>
        </w:rPr>
        <w:t>Plain x- rays of the affected part. Review this with the most experienced clinician around after going through it yourself.</w:t>
      </w:r>
    </w:p>
    <w:p w14:paraId="482A6AB1" w14:textId="6B880612" w:rsidR="00DF522C" w:rsidRPr="0077635B" w:rsidRDefault="00DF522C" w:rsidP="00DF522C">
      <w:pPr>
        <w:pStyle w:val="ListParagraph"/>
        <w:numPr>
          <w:ilvl w:val="0"/>
          <w:numId w:val="40"/>
        </w:numPr>
        <w:spacing w:after="0"/>
        <w:outlineLvl w:val="9"/>
        <w:rPr>
          <w:rFonts w:eastAsia="Times New Roman" w:cs="Tahoma"/>
        </w:rPr>
      </w:pPr>
      <w:r w:rsidRPr="003C6673">
        <w:rPr>
          <w:rFonts w:cs="Tahoma"/>
        </w:rPr>
        <w:t>ESR,</w:t>
      </w:r>
      <w:r>
        <w:rPr>
          <w:rFonts w:cs="Tahoma"/>
        </w:rPr>
        <w:t xml:space="preserve"> </w:t>
      </w:r>
      <w:r w:rsidRPr="003C6673">
        <w:rPr>
          <w:rFonts w:cs="Tahoma"/>
        </w:rPr>
        <w:t>PSA</w:t>
      </w:r>
      <w:r w:rsidR="00AC2E3F">
        <w:rPr>
          <w:rFonts w:cs="Tahoma"/>
        </w:rPr>
        <w:t xml:space="preserve"> (for staff or where they can afford it)</w:t>
      </w:r>
      <w:r w:rsidRPr="003C6673">
        <w:rPr>
          <w:rFonts w:cs="Tahoma"/>
        </w:rPr>
        <w:t xml:space="preserve"> in males older than 50 years</w:t>
      </w:r>
      <w:r>
        <w:rPr>
          <w:rFonts w:cs="Tahoma"/>
        </w:rPr>
        <w:t>.</w:t>
      </w:r>
    </w:p>
    <w:p w14:paraId="1E4BE25E" w14:textId="77777777" w:rsidR="00DF522C" w:rsidRPr="003C6673" w:rsidRDefault="00DF522C" w:rsidP="00DF522C">
      <w:pPr>
        <w:pStyle w:val="ListParagraph"/>
        <w:numPr>
          <w:ilvl w:val="0"/>
          <w:numId w:val="40"/>
        </w:numPr>
        <w:tabs>
          <w:tab w:val="left" w:pos="2220"/>
        </w:tabs>
        <w:spacing w:after="200"/>
        <w:outlineLvl w:val="9"/>
        <w:rPr>
          <w:rFonts w:cs="Tahoma"/>
        </w:rPr>
      </w:pPr>
      <w:r>
        <w:rPr>
          <w:rFonts w:cs="Tahoma"/>
        </w:rPr>
        <w:t xml:space="preserve">Blood culture if </w:t>
      </w:r>
      <w:r w:rsidRPr="003C6673">
        <w:rPr>
          <w:rFonts w:cs="Tahoma"/>
        </w:rPr>
        <w:t>pyogenic infection</w:t>
      </w:r>
      <w:r>
        <w:rPr>
          <w:rFonts w:cs="Tahoma"/>
        </w:rPr>
        <w:t xml:space="preserve"> suspected</w:t>
      </w:r>
      <w:r w:rsidRPr="003C6673">
        <w:rPr>
          <w:rFonts w:cs="Tahoma"/>
        </w:rPr>
        <w:t>.</w:t>
      </w:r>
    </w:p>
    <w:p w14:paraId="6037F05C" w14:textId="01C73A27" w:rsidR="00DF522C" w:rsidRPr="00FB474D" w:rsidRDefault="00DF522C" w:rsidP="00DF522C">
      <w:pPr>
        <w:pStyle w:val="ListParagraph"/>
        <w:numPr>
          <w:ilvl w:val="0"/>
          <w:numId w:val="40"/>
        </w:numPr>
        <w:tabs>
          <w:tab w:val="left" w:pos="180"/>
        </w:tabs>
        <w:spacing w:after="200"/>
        <w:outlineLvl w:val="9"/>
        <w:rPr>
          <w:rFonts w:cs="Tahoma"/>
        </w:rPr>
      </w:pPr>
      <w:r>
        <w:rPr>
          <w:rFonts w:cs="Tahoma"/>
        </w:rPr>
        <w:t xml:space="preserve">For longstanding </w:t>
      </w:r>
      <w:r w:rsidRPr="003C6673">
        <w:rPr>
          <w:rFonts w:cs="Tahoma"/>
        </w:rPr>
        <w:t>disorders especially mechanical disorders e</w:t>
      </w:r>
      <w:r>
        <w:rPr>
          <w:rFonts w:cs="Tahoma"/>
        </w:rPr>
        <w:t>.</w:t>
      </w:r>
      <w:r w:rsidRPr="003C6673">
        <w:rPr>
          <w:rFonts w:cs="Tahoma"/>
        </w:rPr>
        <w:t>g</w:t>
      </w:r>
      <w:r>
        <w:rPr>
          <w:rFonts w:cs="Tahoma"/>
        </w:rPr>
        <w:t>.</w:t>
      </w:r>
      <w:r w:rsidRPr="003C6673">
        <w:rPr>
          <w:rFonts w:cs="Tahoma"/>
        </w:rPr>
        <w:t xml:space="preserve"> CT</w:t>
      </w:r>
      <w:r>
        <w:rPr>
          <w:rFonts w:cs="Tahoma"/>
        </w:rPr>
        <w:t xml:space="preserve"> scan</w:t>
      </w:r>
      <w:r w:rsidRPr="003C6673">
        <w:rPr>
          <w:rFonts w:cs="Tahoma"/>
        </w:rPr>
        <w:t>,</w:t>
      </w:r>
      <w:r>
        <w:rPr>
          <w:rFonts w:cs="Tahoma"/>
        </w:rPr>
        <w:t xml:space="preserve"> </w:t>
      </w:r>
      <w:r w:rsidRPr="003C6673">
        <w:rPr>
          <w:rFonts w:cs="Tahoma"/>
        </w:rPr>
        <w:t>MRI</w:t>
      </w:r>
      <w:r>
        <w:rPr>
          <w:rFonts w:cs="Tahoma"/>
        </w:rPr>
        <w:t>.</w:t>
      </w:r>
    </w:p>
    <w:p w14:paraId="53E5B6E9" w14:textId="77777777" w:rsidR="00DF522C" w:rsidRPr="003C6673" w:rsidRDefault="00DF522C" w:rsidP="00DF522C">
      <w:pPr>
        <w:pStyle w:val="Heading3"/>
      </w:pPr>
      <w:r>
        <w:lastRenderedPageBreak/>
        <w:t>For chronic lower back pain</w:t>
      </w:r>
    </w:p>
    <w:p w14:paraId="2EA6F032" w14:textId="24B2B2C8" w:rsidR="00DF522C" w:rsidRPr="00DF522C" w:rsidRDefault="00DF522C" w:rsidP="00DF522C">
      <w:r w:rsidRPr="00DF522C">
        <w:t xml:space="preserve">Investigate as under </w:t>
      </w:r>
      <w:r w:rsidR="00AC2E3F">
        <w:t>s</w:t>
      </w:r>
      <w:r w:rsidRPr="00DF522C">
        <w:t xml:space="preserve">ub-acute </w:t>
      </w:r>
      <w:r w:rsidR="00AC2E3F">
        <w:t>l</w:t>
      </w:r>
      <w:r w:rsidRPr="00DF522C">
        <w:t>ow</w:t>
      </w:r>
      <w:r w:rsidR="00AC2E3F">
        <w:t>er</w:t>
      </w:r>
      <w:r w:rsidRPr="00DF522C">
        <w:t xml:space="preserve"> back pain.</w:t>
      </w:r>
    </w:p>
    <w:p w14:paraId="5559890D" w14:textId="77777777" w:rsidR="00DF522C" w:rsidRPr="00DF522C" w:rsidRDefault="00DF522C" w:rsidP="00DF522C">
      <w:r w:rsidRPr="00DF522C">
        <w:t>Back education (as highlighted above) and ongoing support</w:t>
      </w:r>
    </w:p>
    <w:p w14:paraId="66EB9E39" w14:textId="77777777" w:rsidR="00DF522C" w:rsidRPr="00DF522C" w:rsidRDefault="00DF522C" w:rsidP="00DF522C">
      <w:r w:rsidRPr="00DF522C">
        <w:t>Encouragement of normal activity</w:t>
      </w:r>
    </w:p>
    <w:p w14:paraId="7821DD20" w14:textId="77777777" w:rsidR="00DF522C" w:rsidRPr="00DF522C" w:rsidRDefault="00DF522C" w:rsidP="00DF522C">
      <w:r w:rsidRPr="00DF522C">
        <w:t>Prescription of simple exercise as the client’s body permits.</w:t>
      </w:r>
    </w:p>
    <w:p w14:paraId="462D0E75" w14:textId="0AABEF7B" w:rsidR="00DF522C" w:rsidRPr="00DF522C" w:rsidRDefault="00DF522C" w:rsidP="00DF522C">
      <w:r w:rsidRPr="00DF522C">
        <w:t>Analgesics (e.g. P.O. Paracetamol 500</w:t>
      </w:r>
      <w:r w:rsidR="00AC2E3F">
        <w:t xml:space="preserve"> </w:t>
      </w:r>
      <w:r w:rsidRPr="00DF522C">
        <w:t>mg</w:t>
      </w:r>
      <w:r w:rsidR="00AC2E3F">
        <w:t xml:space="preserve"> </w:t>
      </w:r>
      <w:r w:rsidRPr="00DF522C">
        <w:t>-</w:t>
      </w:r>
      <w:r w:rsidR="00AC2E3F">
        <w:t xml:space="preserve"> </w:t>
      </w:r>
      <w:r w:rsidRPr="00DF522C">
        <w:t>1</w:t>
      </w:r>
      <w:r w:rsidR="00AC2E3F">
        <w:t xml:space="preserve"> </w:t>
      </w:r>
      <w:r w:rsidRPr="00DF522C">
        <w:t xml:space="preserve">g up to </w:t>
      </w:r>
      <w:r w:rsidR="00AC2E3F">
        <w:t>QDS</w:t>
      </w:r>
      <w:r w:rsidRPr="00DF522C">
        <w:t xml:space="preserve"> for 4 days)</w:t>
      </w:r>
      <w:r w:rsidR="000A3C66">
        <w:t>.</w:t>
      </w:r>
    </w:p>
    <w:p w14:paraId="499085D4" w14:textId="77A05F1C" w:rsidR="00DF522C" w:rsidRPr="00DF522C" w:rsidRDefault="00DF522C" w:rsidP="00DF522C">
      <w:r w:rsidRPr="00DF522C">
        <w:t>NSAIDs for 14–21 days (especially if inflammation is suspected)</w:t>
      </w:r>
      <w:r w:rsidR="000A3C66">
        <w:t>.</w:t>
      </w:r>
    </w:p>
    <w:p w14:paraId="486B025D" w14:textId="11AD8F26" w:rsidR="00DF522C" w:rsidRPr="00DF522C" w:rsidRDefault="00DF522C" w:rsidP="00DF522C">
      <w:r w:rsidRPr="00DF522C">
        <w:t>Graded physiotherapy with trial of mobilisation (at least three treatments) – if no contraindications</w:t>
      </w:r>
      <w:r>
        <w:t>.</w:t>
      </w:r>
    </w:p>
    <w:p w14:paraId="4C467649" w14:textId="77777777" w:rsidR="00DF522C" w:rsidRPr="00DF522C" w:rsidRDefault="00DF522C" w:rsidP="00DF522C">
      <w:r w:rsidRPr="00DF522C">
        <w:t>Consider amitriptyline 10-25 mg (nocte) increasing to maximum 75–100 mg</w:t>
      </w:r>
    </w:p>
    <w:p w14:paraId="4634B9D1" w14:textId="77777777" w:rsidR="00DF522C" w:rsidRPr="00DF522C" w:rsidRDefault="00DF522C" w:rsidP="00DF522C">
      <w:r w:rsidRPr="00DF522C">
        <w:t>Refer appropriately based on what you find while investigating.</w:t>
      </w:r>
    </w:p>
    <w:p w14:paraId="6FC964F5" w14:textId="1D914E9D" w:rsidR="00DF522C" w:rsidRPr="00DF522C" w:rsidRDefault="00DF522C" w:rsidP="00DF522C">
      <w:r w:rsidRPr="00DF522C">
        <w:t>A multidisciplinary team approach is recommended</w:t>
      </w:r>
      <w:r>
        <w:t xml:space="preserve"> – </w:t>
      </w:r>
      <w:r w:rsidRPr="00DF522C">
        <w:t>Primary care physician, physiotherapist and the orthopaedic surgeon.</w:t>
      </w:r>
    </w:p>
    <w:p w14:paraId="6D0564CA" w14:textId="77777777" w:rsidR="00DF522C" w:rsidRPr="00780ECF" w:rsidRDefault="00DF522C" w:rsidP="000A3C66">
      <w:pPr>
        <w:pStyle w:val="Heading3"/>
      </w:pPr>
      <w:r w:rsidRPr="00780ECF">
        <w:t>Follow up</w:t>
      </w:r>
    </w:p>
    <w:p w14:paraId="02F88A87" w14:textId="77777777" w:rsidR="00DF522C" w:rsidRPr="003C6673" w:rsidRDefault="00DF522C" w:rsidP="00DF522C">
      <w:pPr>
        <w:rPr>
          <w:rFonts w:eastAsia="Times New Roman" w:cs="Tahoma"/>
        </w:rPr>
      </w:pPr>
      <w:r w:rsidRPr="003C6673">
        <w:rPr>
          <w:rFonts w:eastAsia="Times New Roman" w:cs="Tahoma"/>
        </w:rPr>
        <w:t xml:space="preserve">Patients should be informed that an ongoing back care program should give them an excellent outlook. </w:t>
      </w:r>
    </w:p>
    <w:p w14:paraId="13E71B50" w14:textId="77777777" w:rsidR="00DF522C" w:rsidRPr="00936E8E" w:rsidRDefault="00DF522C" w:rsidP="000A3C66">
      <w:pPr>
        <w:pStyle w:val="Heading3"/>
      </w:pPr>
      <w:r w:rsidRPr="00936E8E">
        <w:t>Prevention</w:t>
      </w:r>
    </w:p>
    <w:p w14:paraId="240F7D5F" w14:textId="77777777" w:rsidR="00DF522C" w:rsidRPr="00936E8E" w:rsidRDefault="00DF522C" w:rsidP="00DF522C">
      <w:pPr>
        <w:pStyle w:val="ListParagraph"/>
        <w:numPr>
          <w:ilvl w:val="0"/>
          <w:numId w:val="42"/>
        </w:numPr>
        <w:spacing w:after="0"/>
        <w:rPr>
          <w:rFonts w:eastAsia="Times New Roman" w:cs="Tahoma"/>
        </w:rPr>
      </w:pPr>
      <w:r w:rsidRPr="00936E8E">
        <w:rPr>
          <w:rFonts w:eastAsia="Times New Roman" w:cs="Tahoma"/>
        </w:rPr>
        <w:t>Education about back care.</w:t>
      </w:r>
    </w:p>
    <w:p w14:paraId="01495D90" w14:textId="77777777" w:rsidR="00DF522C" w:rsidRPr="00936E8E" w:rsidRDefault="00DF522C" w:rsidP="00DF522C">
      <w:pPr>
        <w:pStyle w:val="ListParagraph"/>
        <w:numPr>
          <w:ilvl w:val="0"/>
          <w:numId w:val="42"/>
        </w:numPr>
        <w:spacing w:after="0"/>
        <w:rPr>
          <w:rFonts w:eastAsia="Times New Roman" w:cs="Tahoma"/>
        </w:rPr>
      </w:pPr>
      <w:r w:rsidRPr="00936E8E">
        <w:rPr>
          <w:rFonts w:eastAsia="Times New Roman" w:cs="Tahoma"/>
        </w:rPr>
        <w:t xml:space="preserve">Golden rules to live by: how to lift, sit, and bend. </w:t>
      </w:r>
    </w:p>
    <w:p w14:paraId="76970BB1" w14:textId="77777777" w:rsidR="00DF522C" w:rsidRDefault="00DF522C" w:rsidP="00DF522C">
      <w:pPr>
        <w:pStyle w:val="ListParagraph"/>
        <w:numPr>
          <w:ilvl w:val="0"/>
          <w:numId w:val="42"/>
        </w:numPr>
        <w:spacing w:after="0"/>
        <w:rPr>
          <w:rFonts w:eastAsia="Times New Roman" w:cs="Tahoma"/>
        </w:rPr>
      </w:pPr>
      <w:r w:rsidRPr="00936E8E">
        <w:rPr>
          <w:rFonts w:eastAsia="Times New Roman" w:cs="Tahoma"/>
        </w:rPr>
        <w:t>An exercise program: a tailor-made program for the patient.</w:t>
      </w:r>
    </w:p>
    <w:p w14:paraId="1C31BDD8" w14:textId="77777777" w:rsidR="00DF522C" w:rsidRPr="00936E8E" w:rsidRDefault="00DF522C" w:rsidP="000A3C66">
      <w:pPr>
        <w:pStyle w:val="Heading3"/>
      </w:pPr>
      <w:r w:rsidRPr="00936E8E">
        <w:t xml:space="preserve">When to refer to a specialist – orthopaedic, neurosurgeon or spine specialist </w:t>
      </w:r>
    </w:p>
    <w:p w14:paraId="3B4CC7AF" w14:textId="5E6DA6B0" w:rsidR="00DF522C" w:rsidRPr="00936E8E" w:rsidRDefault="00DF522C" w:rsidP="00DF522C">
      <w:pPr>
        <w:pStyle w:val="ListParagraph"/>
        <w:numPr>
          <w:ilvl w:val="0"/>
          <w:numId w:val="43"/>
        </w:numPr>
        <w:spacing w:after="0"/>
        <w:rPr>
          <w:rFonts w:eastAsia="Times New Roman" w:cs="Tahoma"/>
        </w:rPr>
      </w:pPr>
      <w:r w:rsidRPr="00936E8E">
        <w:rPr>
          <w:rFonts w:eastAsia="Times New Roman" w:cs="Tahoma"/>
        </w:rPr>
        <w:t>Myelopathy, especially acute cauda equina compression syndrome</w:t>
      </w:r>
      <w:r w:rsidR="000A3C66">
        <w:rPr>
          <w:rFonts w:eastAsia="Times New Roman" w:cs="Tahoma"/>
        </w:rPr>
        <w:t>.</w:t>
      </w:r>
    </w:p>
    <w:p w14:paraId="0B95519B" w14:textId="2FA08EF9" w:rsidR="00DF522C" w:rsidRPr="00936E8E" w:rsidRDefault="00DF522C" w:rsidP="00DF522C">
      <w:pPr>
        <w:pStyle w:val="ListParagraph"/>
        <w:numPr>
          <w:ilvl w:val="0"/>
          <w:numId w:val="43"/>
        </w:numPr>
        <w:spacing w:after="0"/>
        <w:rPr>
          <w:rFonts w:eastAsia="Times New Roman" w:cs="Tahoma"/>
        </w:rPr>
      </w:pPr>
      <w:r w:rsidRPr="00936E8E">
        <w:rPr>
          <w:rFonts w:eastAsia="Times New Roman" w:cs="Tahoma"/>
        </w:rPr>
        <w:t>Severe radiculopathy with progressive neurologic deficit</w:t>
      </w:r>
      <w:r w:rsidR="000A3C66">
        <w:rPr>
          <w:rFonts w:eastAsia="Times New Roman" w:cs="Tahoma"/>
        </w:rPr>
        <w:t>.</w:t>
      </w:r>
    </w:p>
    <w:p w14:paraId="7A68504B" w14:textId="49FDC8A0" w:rsidR="00DF522C" w:rsidRPr="00936E8E" w:rsidRDefault="00DF522C" w:rsidP="00DF522C">
      <w:pPr>
        <w:pStyle w:val="ListParagraph"/>
        <w:numPr>
          <w:ilvl w:val="0"/>
          <w:numId w:val="43"/>
        </w:numPr>
        <w:spacing w:after="0"/>
        <w:rPr>
          <w:rFonts w:eastAsia="Times New Roman" w:cs="Tahoma"/>
        </w:rPr>
      </w:pPr>
      <w:r w:rsidRPr="00936E8E">
        <w:rPr>
          <w:rFonts w:eastAsia="Times New Roman" w:cs="Tahoma"/>
        </w:rPr>
        <w:t>Spinal fractures.</w:t>
      </w:r>
    </w:p>
    <w:p w14:paraId="656B75F1" w14:textId="77777777" w:rsidR="00CB4C5D" w:rsidRDefault="00CB4C5D">
      <w:pPr>
        <w:spacing w:after="0"/>
        <w:outlineLvl w:val="9"/>
        <w:rPr>
          <w:rFonts w:cs="Times New Roman"/>
          <w:b/>
          <w:sz w:val="24"/>
          <w:szCs w:val="28"/>
        </w:rPr>
      </w:pPr>
      <w:r>
        <w:br w:type="page"/>
      </w:r>
    </w:p>
    <w:p w14:paraId="573F5125" w14:textId="595678F7" w:rsidR="00DF522C" w:rsidRPr="00936E8E" w:rsidRDefault="00DF522C" w:rsidP="000A3C66">
      <w:pPr>
        <w:pStyle w:val="Heading2"/>
      </w:pPr>
      <w:r w:rsidRPr="00936E8E">
        <w:lastRenderedPageBreak/>
        <w:t>References</w:t>
      </w:r>
    </w:p>
    <w:p w14:paraId="3318ECE2" w14:textId="77777777" w:rsidR="00DF522C" w:rsidRPr="000A3C66" w:rsidRDefault="00DF522C" w:rsidP="000A3C66">
      <w:pPr>
        <w:tabs>
          <w:tab w:val="left" w:pos="240"/>
        </w:tabs>
        <w:rPr>
          <w:rFonts w:cs="Tahoma"/>
          <w:sz w:val="20"/>
          <w:szCs w:val="20"/>
          <w:lang w:val="en-GB"/>
        </w:rPr>
      </w:pPr>
      <w:r w:rsidRPr="000A3C66">
        <w:rPr>
          <w:rFonts w:cs="Tahoma"/>
          <w:sz w:val="20"/>
          <w:szCs w:val="20"/>
          <w:lang w:val="en-GB"/>
        </w:rPr>
        <w:t xml:space="preserve">Murtagh JM </w:t>
      </w:r>
      <w:r w:rsidRPr="000A3C66">
        <w:rPr>
          <w:rFonts w:cs="Tahoma"/>
          <w:i/>
          <w:iCs/>
          <w:sz w:val="20"/>
          <w:szCs w:val="20"/>
          <w:lang w:val="en-GB"/>
        </w:rPr>
        <w:t xml:space="preserve">General Practice </w:t>
      </w:r>
      <w:r w:rsidRPr="000A3C66">
        <w:rPr>
          <w:rFonts w:cs="Tahoma"/>
          <w:sz w:val="20"/>
          <w:szCs w:val="20"/>
          <w:lang w:val="en-GB"/>
        </w:rPr>
        <w:t>. 2015. McGraw Hill, Australia Pgs. 401-421</w:t>
      </w:r>
    </w:p>
    <w:p w14:paraId="5E4457EA" w14:textId="77777777" w:rsidR="00DF522C" w:rsidRPr="000A3C66" w:rsidRDefault="00DF522C" w:rsidP="000A3C66">
      <w:pPr>
        <w:tabs>
          <w:tab w:val="left" w:pos="240"/>
        </w:tabs>
        <w:rPr>
          <w:rFonts w:cs="Tahoma"/>
          <w:sz w:val="20"/>
          <w:szCs w:val="20"/>
          <w:lang w:val="en-GB"/>
        </w:rPr>
      </w:pPr>
      <w:r w:rsidRPr="000A3C66">
        <w:rPr>
          <w:rFonts w:cs="Tahoma"/>
          <w:sz w:val="20"/>
          <w:szCs w:val="20"/>
          <w:lang w:val="en-GB"/>
        </w:rPr>
        <w:t xml:space="preserve">Royal College of General Practitioners et al. </w:t>
      </w:r>
      <w:r w:rsidRPr="000A3C66">
        <w:rPr>
          <w:rFonts w:cs="Tahoma"/>
          <w:i/>
          <w:iCs/>
          <w:sz w:val="20"/>
          <w:szCs w:val="20"/>
          <w:lang w:val="en-GB"/>
        </w:rPr>
        <w:t xml:space="preserve">Clinical Guidelines for the Management of Acute Low Back Pain. </w:t>
      </w:r>
      <w:r w:rsidRPr="000A3C66">
        <w:rPr>
          <w:rFonts w:cs="Tahoma"/>
          <w:sz w:val="20"/>
          <w:szCs w:val="20"/>
          <w:lang w:val="en-GB"/>
        </w:rPr>
        <w:t>London: RCGP, 1996.</w:t>
      </w:r>
    </w:p>
    <w:p w14:paraId="7EEDA696" w14:textId="77777777" w:rsidR="00DF522C" w:rsidRPr="000A3C66" w:rsidRDefault="00DF522C" w:rsidP="000A3C66">
      <w:pPr>
        <w:tabs>
          <w:tab w:val="left" w:pos="240"/>
        </w:tabs>
        <w:rPr>
          <w:rFonts w:cs="Tahoma"/>
          <w:sz w:val="20"/>
          <w:szCs w:val="20"/>
          <w:lang w:val="en-GB"/>
        </w:rPr>
      </w:pPr>
      <w:r w:rsidRPr="000A3C66">
        <w:rPr>
          <w:rFonts w:cs="Tahoma"/>
          <w:sz w:val="20"/>
          <w:szCs w:val="20"/>
          <w:lang w:val="en-GB"/>
        </w:rPr>
        <w:t xml:space="preserve">Sloane P, Slatt M, Baker R. </w:t>
      </w:r>
      <w:r w:rsidRPr="000A3C66">
        <w:rPr>
          <w:rFonts w:cs="Tahoma"/>
          <w:i/>
          <w:iCs/>
          <w:sz w:val="20"/>
          <w:szCs w:val="20"/>
          <w:lang w:val="en-GB"/>
        </w:rPr>
        <w:t xml:space="preserve">Essentials of Family Medicine. </w:t>
      </w:r>
      <w:r w:rsidRPr="000A3C66">
        <w:rPr>
          <w:rFonts w:cs="Tahoma"/>
          <w:sz w:val="20"/>
          <w:szCs w:val="20"/>
          <w:lang w:val="en-GB"/>
        </w:rPr>
        <w:t xml:space="preserve">Baltimore: Williams &amp; Wilkins, 1988: 228–35. </w:t>
      </w:r>
    </w:p>
    <w:p w14:paraId="7E1CCEFC" w14:textId="77777777" w:rsidR="00DF522C" w:rsidRPr="000A3C66" w:rsidRDefault="00DF522C" w:rsidP="000A3C66">
      <w:pPr>
        <w:tabs>
          <w:tab w:val="left" w:pos="240"/>
        </w:tabs>
        <w:rPr>
          <w:rFonts w:cs="Tahoma"/>
          <w:sz w:val="20"/>
          <w:szCs w:val="20"/>
          <w:lang w:val="en-GB"/>
        </w:rPr>
      </w:pPr>
      <w:r w:rsidRPr="000A3C66">
        <w:rPr>
          <w:rFonts w:cs="Tahoma"/>
          <w:sz w:val="20"/>
          <w:szCs w:val="20"/>
          <w:lang w:val="en-GB"/>
        </w:rPr>
        <w:t xml:space="preserve">Kenna C, Murtagh J. </w:t>
      </w:r>
      <w:r w:rsidRPr="000A3C66">
        <w:rPr>
          <w:rFonts w:cs="Tahoma"/>
          <w:i/>
          <w:iCs/>
          <w:sz w:val="20"/>
          <w:szCs w:val="20"/>
          <w:lang w:val="en-GB"/>
        </w:rPr>
        <w:t xml:space="preserve">Back Pain and Spinal Manipulation </w:t>
      </w:r>
      <w:r w:rsidRPr="000A3C66">
        <w:rPr>
          <w:rFonts w:cs="Tahoma"/>
          <w:sz w:val="20"/>
          <w:szCs w:val="20"/>
          <w:lang w:val="en-GB"/>
        </w:rPr>
        <w:t>(2</w:t>
      </w:r>
      <w:r w:rsidRPr="000A3C66">
        <w:rPr>
          <w:rFonts w:cs="Tahoma"/>
          <w:sz w:val="20"/>
          <w:szCs w:val="20"/>
          <w:vertAlign w:val="superscript"/>
          <w:lang w:val="en-GB"/>
        </w:rPr>
        <w:t>nd</w:t>
      </w:r>
      <w:r w:rsidRPr="000A3C66">
        <w:rPr>
          <w:rFonts w:cs="Tahoma"/>
          <w:sz w:val="20"/>
          <w:szCs w:val="20"/>
          <w:lang w:val="en-GB"/>
        </w:rPr>
        <w:t xml:space="preserve"> edn). Oxford: Butterworth Heinemann, 1997: 70–164</w:t>
      </w:r>
    </w:p>
    <w:p w14:paraId="323D9B8C" w14:textId="77777777" w:rsidR="00DF522C" w:rsidRPr="000A3C66" w:rsidRDefault="00DF522C" w:rsidP="000A3C66">
      <w:pPr>
        <w:tabs>
          <w:tab w:val="left" w:pos="240"/>
        </w:tabs>
        <w:rPr>
          <w:rFonts w:cs="Tahoma"/>
          <w:sz w:val="20"/>
          <w:szCs w:val="20"/>
        </w:rPr>
      </w:pPr>
      <w:r w:rsidRPr="000A3C66">
        <w:rPr>
          <w:rFonts w:cs="Tahoma"/>
          <w:sz w:val="20"/>
          <w:szCs w:val="20"/>
        </w:rPr>
        <w:t>American Chronic Pain association-Guidelines on management of Low back pain.</w:t>
      </w:r>
    </w:p>
    <w:p w14:paraId="00852966" w14:textId="77777777" w:rsidR="00DF522C" w:rsidRPr="000A3C66" w:rsidRDefault="00DF522C" w:rsidP="000A3C66">
      <w:pPr>
        <w:tabs>
          <w:tab w:val="left" w:pos="240"/>
        </w:tabs>
        <w:rPr>
          <w:rFonts w:cs="Tahoma"/>
          <w:sz w:val="20"/>
          <w:szCs w:val="20"/>
        </w:rPr>
      </w:pPr>
      <w:r w:rsidRPr="000A3C66">
        <w:rPr>
          <w:rFonts w:cs="Tahoma"/>
          <w:sz w:val="20"/>
          <w:szCs w:val="20"/>
        </w:rPr>
        <w:t>American Physical Therapy Low back pain clinical guidelines on the International classification of functioning disability and health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5B364AF2" w14:textId="77777777" w:rsidTr="00515546">
        <w:trPr>
          <w:trHeight w:val="20"/>
        </w:trPr>
        <w:tc>
          <w:tcPr>
            <w:tcW w:w="2139" w:type="dxa"/>
            <w:shd w:val="clear" w:color="auto" w:fill="auto"/>
            <w:vAlign w:val="bottom"/>
          </w:tcPr>
          <w:p w14:paraId="7CD01F43"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574C5509" w14:textId="3BC63099" w:rsidR="004C4442" w:rsidRPr="00515546" w:rsidRDefault="004C4442" w:rsidP="00522C6C">
            <w:pPr>
              <w:spacing w:after="0"/>
              <w:rPr>
                <w:szCs w:val="22"/>
              </w:rPr>
            </w:pPr>
            <w:r w:rsidRPr="00515546">
              <w:rPr>
                <w:szCs w:val="22"/>
              </w:rPr>
              <w:t>Name</w:t>
            </w:r>
            <w:r w:rsidR="005638D0">
              <w:rPr>
                <w:szCs w:val="22"/>
              </w:rPr>
              <w:t xml:space="preserve">: </w:t>
            </w:r>
            <w:r w:rsidR="000A3C66">
              <w:rPr>
                <w:szCs w:val="22"/>
              </w:rPr>
              <w:t>Babatunde Awokola</w:t>
            </w:r>
          </w:p>
        </w:tc>
        <w:tc>
          <w:tcPr>
            <w:tcW w:w="2869" w:type="dxa"/>
            <w:shd w:val="clear" w:color="auto" w:fill="auto"/>
            <w:vAlign w:val="bottom"/>
          </w:tcPr>
          <w:p w14:paraId="26671250" w14:textId="648C0F36" w:rsidR="004C4442" w:rsidRPr="00515546" w:rsidRDefault="004C4442" w:rsidP="00522C6C">
            <w:pPr>
              <w:spacing w:after="0"/>
              <w:rPr>
                <w:szCs w:val="22"/>
              </w:rPr>
            </w:pPr>
            <w:r w:rsidRPr="00515546">
              <w:rPr>
                <w:szCs w:val="22"/>
              </w:rPr>
              <w:t xml:space="preserve">Date: </w:t>
            </w:r>
            <w:r w:rsidR="000A3C66">
              <w:rPr>
                <w:szCs w:val="22"/>
              </w:rPr>
              <w:t>13 May 2018</w:t>
            </w:r>
          </w:p>
        </w:tc>
      </w:tr>
      <w:tr w:rsidR="004C4442" w:rsidRPr="00515546" w14:paraId="1AFFDD2D" w14:textId="77777777" w:rsidTr="00515546">
        <w:trPr>
          <w:trHeight w:val="20"/>
        </w:trPr>
        <w:tc>
          <w:tcPr>
            <w:tcW w:w="2139" w:type="dxa"/>
            <w:shd w:val="clear" w:color="auto" w:fill="auto"/>
            <w:vAlign w:val="bottom"/>
          </w:tcPr>
          <w:p w14:paraId="4CE6157B"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31D2FB48" w14:textId="7A9CF860" w:rsidR="004C4442" w:rsidRPr="00515546" w:rsidRDefault="004C4442" w:rsidP="00522C6C">
            <w:pPr>
              <w:spacing w:after="0"/>
              <w:rPr>
                <w:szCs w:val="22"/>
              </w:rPr>
            </w:pPr>
            <w:r w:rsidRPr="00515546">
              <w:rPr>
                <w:szCs w:val="22"/>
              </w:rPr>
              <w:t xml:space="preserve">Name: </w:t>
            </w:r>
            <w:r w:rsidR="000A3C66">
              <w:rPr>
                <w:szCs w:val="22"/>
              </w:rPr>
              <w:t>Fatai Akemokwe</w:t>
            </w:r>
          </w:p>
        </w:tc>
        <w:tc>
          <w:tcPr>
            <w:tcW w:w="2869" w:type="dxa"/>
            <w:shd w:val="clear" w:color="auto" w:fill="auto"/>
            <w:vAlign w:val="bottom"/>
          </w:tcPr>
          <w:p w14:paraId="05FECCB5" w14:textId="1EC6D2ED" w:rsidR="004C4442" w:rsidRPr="00515546" w:rsidRDefault="004C4442" w:rsidP="00522C6C">
            <w:pPr>
              <w:spacing w:after="0"/>
              <w:rPr>
                <w:szCs w:val="22"/>
              </w:rPr>
            </w:pPr>
            <w:r w:rsidRPr="00515546">
              <w:rPr>
                <w:szCs w:val="22"/>
              </w:rPr>
              <w:t xml:space="preserve">Date: </w:t>
            </w:r>
            <w:r w:rsidR="000A3C66">
              <w:rPr>
                <w:szCs w:val="22"/>
              </w:rPr>
              <w:t>4 July 2018</w:t>
            </w:r>
          </w:p>
        </w:tc>
      </w:tr>
      <w:tr w:rsidR="004C4442" w:rsidRPr="00515546" w14:paraId="73FC9AEF" w14:textId="77777777" w:rsidTr="00515546">
        <w:trPr>
          <w:trHeight w:val="20"/>
        </w:trPr>
        <w:tc>
          <w:tcPr>
            <w:tcW w:w="2139" w:type="dxa"/>
            <w:shd w:val="clear" w:color="auto" w:fill="auto"/>
            <w:vAlign w:val="bottom"/>
          </w:tcPr>
          <w:p w14:paraId="64D4BB45"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5021418C"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26DC7EE3" w14:textId="77777777" w:rsidR="004C4442" w:rsidRPr="00515546" w:rsidRDefault="004C4442" w:rsidP="00522C6C">
            <w:pPr>
              <w:spacing w:after="0"/>
              <w:rPr>
                <w:b/>
                <w:szCs w:val="22"/>
              </w:rPr>
            </w:pPr>
            <w:r w:rsidRPr="00515546">
              <w:rPr>
                <w:b/>
                <w:szCs w:val="22"/>
              </w:rPr>
              <w:t>Review due date:</w:t>
            </w:r>
          </w:p>
        </w:tc>
      </w:tr>
      <w:tr w:rsidR="004C4442" w:rsidRPr="00515546" w14:paraId="2A2F1525" w14:textId="77777777" w:rsidTr="00515546">
        <w:trPr>
          <w:trHeight w:val="20"/>
        </w:trPr>
        <w:tc>
          <w:tcPr>
            <w:tcW w:w="2139" w:type="dxa"/>
            <w:shd w:val="clear" w:color="auto" w:fill="auto"/>
            <w:vAlign w:val="bottom"/>
          </w:tcPr>
          <w:p w14:paraId="3CD0C62D"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304F6FDC"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728317A5" w14:textId="77777777" w:rsidR="004C4442" w:rsidRPr="00515546" w:rsidRDefault="004C4442" w:rsidP="00522C6C">
            <w:pPr>
              <w:spacing w:after="0"/>
              <w:rPr>
                <w:szCs w:val="22"/>
              </w:rPr>
            </w:pPr>
          </w:p>
        </w:tc>
      </w:tr>
      <w:tr w:rsidR="000A3C66" w:rsidRPr="00515546" w14:paraId="4DABAC95" w14:textId="77777777" w:rsidTr="00515546">
        <w:trPr>
          <w:trHeight w:val="20"/>
        </w:trPr>
        <w:tc>
          <w:tcPr>
            <w:tcW w:w="2139" w:type="dxa"/>
            <w:shd w:val="clear" w:color="auto" w:fill="auto"/>
            <w:vAlign w:val="bottom"/>
          </w:tcPr>
          <w:p w14:paraId="46EB3E28" w14:textId="301F002C" w:rsidR="000A3C66" w:rsidRPr="00515546" w:rsidRDefault="000A3C66" w:rsidP="00522C6C">
            <w:pPr>
              <w:spacing w:after="0"/>
              <w:rPr>
                <w:szCs w:val="22"/>
              </w:rPr>
            </w:pPr>
            <w:r>
              <w:rPr>
                <w:szCs w:val="22"/>
              </w:rPr>
              <w:t>2.0</w:t>
            </w:r>
          </w:p>
        </w:tc>
        <w:tc>
          <w:tcPr>
            <w:tcW w:w="3622" w:type="dxa"/>
            <w:shd w:val="clear" w:color="auto" w:fill="auto"/>
            <w:vAlign w:val="bottom"/>
          </w:tcPr>
          <w:p w14:paraId="49BC5095" w14:textId="50107D8C" w:rsidR="000A3C66" w:rsidRPr="00515546" w:rsidRDefault="000A3C66" w:rsidP="00522C6C">
            <w:pPr>
              <w:spacing w:after="0"/>
              <w:rPr>
                <w:szCs w:val="22"/>
              </w:rPr>
            </w:pPr>
            <w:r>
              <w:rPr>
                <w:szCs w:val="22"/>
              </w:rPr>
              <w:t>Rewritten and updated</w:t>
            </w:r>
          </w:p>
        </w:tc>
        <w:tc>
          <w:tcPr>
            <w:tcW w:w="2869" w:type="dxa"/>
            <w:shd w:val="clear" w:color="auto" w:fill="auto"/>
            <w:vAlign w:val="bottom"/>
          </w:tcPr>
          <w:p w14:paraId="586C4BFA" w14:textId="624F7EF8" w:rsidR="000A3C66" w:rsidRPr="00515546" w:rsidRDefault="000A3C66" w:rsidP="00522C6C">
            <w:pPr>
              <w:spacing w:after="0"/>
              <w:rPr>
                <w:szCs w:val="22"/>
              </w:rPr>
            </w:pPr>
            <w:r>
              <w:rPr>
                <w:szCs w:val="22"/>
              </w:rPr>
              <w:t>31 July 2020</w:t>
            </w:r>
          </w:p>
        </w:tc>
      </w:tr>
      <w:tr w:rsidR="00CB4C5D" w:rsidRPr="00515546" w14:paraId="775A20DE" w14:textId="77777777" w:rsidTr="00515546">
        <w:trPr>
          <w:trHeight w:val="20"/>
        </w:trPr>
        <w:tc>
          <w:tcPr>
            <w:tcW w:w="2139" w:type="dxa"/>
            <w:shd w:val="clear" w:color="auto" w:fill="auto"/>
            <w:vAlign w:val="bottom"/>
          </w:tcPr>
          <w:p w14:paraId="75C13DBC" w14:textId="6DA48DFD" w:rsidR="00CB4C5D" w:rsidRDefault="00CB4C5D" w:rsidP="00522C6C">
            <w:pPr>
              <w:spacing w:after="0"/>
              <w:rPr>
                <w:szCs w:val="22"/>
              </w:rPr>
            </w:pPr>
            <w:r>
              <w:rPr>
                <w:szCs w:val="22"/>
              </w:rPr>
              <w:t>2.1</w:t>
            </w:r>
          </w:p>
        </w:tc>
        <w:tc>
          <w:tcPr>
            <w:tcW w:w="3622" w:type="dxa"/>
            <w:shd w:val="clear" w:color="auto" w:fill="auto"/>
            <w:vAlign w:val="bottom"/>
          </w:tcPr>
          <w:p w14:paraId="116A53B4" w14:textId="07BA0880" w:rsidR="00CB4C5D" w:rsidRDefault="00CB4C5D" w:rsidP="00522C6C">
            <w:pPr>
              <w:spacing w:after="0"/>
              <w:rPr>
                <w:szCs w:val="22"/>
              </w:rPr>
            </w:pPr>
            <w:r>
              <w:rPr>
                <w:szCs w:val="22"/>
              </w:rPr>
              <w:t>Executive summary added</w:t>
            </w:r>
          </w:p>
        </w:tc>
        <w:tc>
          <w:tcPr>
            <w:tcW w:w="2869" w:type="dxa"/>
            <w:shd w:val="clear" w:color="auto" w:fill="auto"/>
            <w:vAlign w:val="bottom"/>
          </w:tcPr>
          <w:p w14:paraId="3719E45A" w14:textId="152D6A94" w:rsidR="00CB4C5D" w:rsidRDefault="00CB4C5D" w:rsidP="00522C6C">
            <w:pPr>
              <w:spacing w:after="0"/>
              <w:rPr>
                <w:szCs w:val="22"/>
              </w:rPr>
            </w:pPr>
            <w:r>
              <w:rPr>
                <w:szCs w:val="22"/>
              </w:rPr>
              <w:t>31 July 2020</w:t>
            </w:r>
          </w:p>
        </w:tc>
      </w:tr>
      <w:tr w:rsidR="005638D0" w:rsidRPr="00515546" w14:paraId="34B884DA" w14:textId="77777777" w:rsidTr="00515546">
        <w:trPr>
          <w:trHeight w:val="20"/>
        </w:trPr>
        <w:tc>
          <w:tcPr>
            <w:tcW w:w="2139" w:type="dxa"/>
            <w:shd w:val="clear" w:color="auto" w:fill="auto"/>
            <w:vAlign w:val="bottom"/>
          </w:tcPr>
          <w:p w14:paraId="6B4AFE30"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370657CC" w14:textId="77777777" w:rsidR="005638D0" w:rsidRPr="00515546" w:rsidRDefault="005638D0" w:rsidP="005638D0">
            <w:pPr>
              <w:spacing w:after="0"/>
              <w:rPr>
                <w:szCs w:val="22"/>
              </w:rPr>
            </w:pPr>
          </w:p>
        </w:tc>
        <w:tc>
          <w:tcPr>
            <w:tcW w:w="2869" w:type="dxa"/>
            <w:shd w:val="clear" w:color="auto" w:fill="auto"/>
            <w:vAlign w:val="bottom"/>
          </w:tcPr>
          <w:p w14:paraId="0962F75E" w14:textId="77777777" w:rsidR="005638D0" w:rsidRPr="00515546" w:rsidRDefault="005638D0" w:rsidP="005638D0">
            <w:pPr>
              <w:spacing w:after="0"/>
              <w:rPr>
                <w:b/>
                <w:szCs w:val="22"/>
              </w:rPr>
            </w:pPr>
          </w:p>
        </w:tc>
      </w:tr>
    </w:tbl>
    <w:p w14:paraId="25CD5F69" w14:textId="77777777" w:rsidR="00975A60" w:rsidRPr="00CC3CF5" w:rsidRDefault="00975A60" w:rsidP="00975A60">
      <w:pPr>
        <w:rPr>
          <w:szCs w:val="22"/>
        </w:rPr>
      </w:pPr>
    </w:p>
    <w:sectPr w:rsidR="00975A60" w:rsidRPr="00CC3CF5" w:rsidSect="00D13825">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2EE31" w14:textId="77777777" w:rsidR="0042558D" w:rsidRDefault="0042558D" w:rsidP="00975A60">
      <w:pPr>
        <w:spacing w:after="0"/>
      </w:pPr>
      <w:r>
        <w:separator/>
      </w:r>
    </w:p>
  </w:endnote>
  <w:endnote w:type="continuationSeparator" w:id="0">
    <w:p w14:paraId="0658E38A" w14:textId="77777777" w:rsidR="0042558D" w:rsidRDefault="0042558D"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33851"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D43845"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8ADF7" w14:textId="01B34A98"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827FB0">
      <w:rPr>
        <w:rStyle w:val="PageNumber"/>
        <w:noProof/>
      </w:rPr>
      <w:t>5</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827FB0">
      <w:rPr>
        <w:rStyle w:val="PageNumber"/>
        <w:noProof/>
      </w:rPr>
      <w:t>6</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82231" w14:textId="64B98154"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827FB0">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827FB0">
      <w:rPr>
        <w:rStyle w:val="PageNumber"/>
        <w:noProof/>
      </w:rPr>
      <w:t>6</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4EBD4" w14:textId="77777777" w:rsidR="0042558D" w:rsidRDefault="0042558D" w:rsidP="00975A60">
      <w:pPr>
        <w:spacing w:after="0"/>
      </w:pPr>
      <w:r>
        <w:separator/>
      </w:r>
    </w:p>
  </w:footnote>
  <w:footnote w:type="continuationSeparator" w:id="0">
    <w:p w14:paraId="6A83746F" w14:textId="77777777" w:rsidR="0042558D" w:rsidRDefault="0042558D"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12F68" w14:textId="77777777" w:rsidR="000A3C66" w:rsidRDefault="000A3C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6DD92" w14:textId="77777777" w:rsidR="000A3C66" w:rsidRPr="00F87812" w:rsidRDefault="000A3C66" w:rsidP="000A3C66">
    <w:pPr>
      <w:pStyle w:val="Header"/>
    </w:pPr>
    <w:r w:rsidRPr="00F87812">
      <w:t>Identification code: MeG-CLS-</w:t>
    </w:r>
    <w:r>
      <w:t>022</w:t>
    </w:r>
    <w:r w:rsidRPr="00F87812">
      <w:tab/>
    </w:r>
  </w:p>
  <w:p w14:paraId="6D8ED6FE" w14:textId="61FB143A" w:rsidR="000A3C66" w:rsidRPr="00F87812" w:rsidRDefault="000A3C66" w:rsidP="000A3C66">
    <w:pPr>
      <w:pStyle w:val="Header"/>
    </w:pPr>
    <w:r w:rsidRPr="00F87812">
      <w:t xml:space="preserve">Version: </w:t>
    </w:r>
    <w:r w:rsidRPr="00DF522C">
      <w:t>2.</w:t>
    </w:r>
    <w:r w:rsidR="00CB4C5D">
      <w:t>1</w:t>
    </w:r>
    <w:r w:rsidRPr="00DF522C">
      <w:t xml:space="preserve"> – 31 July 2018</w:t>
    </w:r>
  </w:p>
  <w:p w14:paraId="3A9D0142" w14:textId="14B1D78C" w:rsidR="005D1877" w:rsidRPr="000A3C66" w:rsidRDefault="005D1877" w:rsidP="000A3C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61E6B"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714F0A5E" wp14:editId="004DBCC7">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7869D718"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0F6DA6F6" w14:textId="77777777" w:rsidR="00D13825" w:rsidRPr="003C0800" w:rsidRDefault="00D13825" w:rsidP="00D13825">
    <w:pPr>
      <w:pStyle w:val="Header"/>
      <w:ind w:firstLine="2880"/>
      <w:rPr>
        <w:rFonts w:cs="Arial"/>
        <w:b/>
      </w:rPr>
    </w:pPr>
  </w:p>
  <w:p w14:paraId="7CAAECED" w14:textId="2A40234D" w:rsidR="00D13825" w:rsidRPr="00F87812" w:rsidRDefault="00D13825" w:rsidP="00D13825">
    <w:pPr>
      <w:pStyle w:val="Header"/>
    </w:pPr>
    <w:r w:rsidRPr="00F87812">
      <w:t>Identification code: MeG-CLS-</w:t>
    </w:r>
    <w:r w:rsidR="00DF522C">
      <w:t>022</w:t>
    </w:r>
    <w:r w:rsidRPr="00F87812">
      <w:tab/>
    </w:r>
  </w:p>
  <w:p w14:paraId="44503DD4" w14:textId="61451A30" w:rsidR="00D13825" w:rsidRPr="00F87812" w:rsidRDefault="00D13825" w:rsidP="00D13825">
    <w:pPr>
      <w:pStyle w:val="Header"/>
    </w:pPr>
    <w:r w:rsidRPr="00F87812">
      <w:t xml:space="preserve">Version: </w:t>
    </w:r>
    <w:r w:rsidR="00DF522C" w:rsidRPr="00DF522C">
      <w:t>2.</w:t>
    </w:r>
    <w:r w:rsidR="00CB4C5D">
      <w:t>1</w:t>
    </w:r>
    <w:r w:rsidR="00DF522C" w:rsidRPr="00DF522C">
      <w:t xml:space="preserve"> – 31 July 2018</w:t>
    </w:r>
  </w:p>
  <w:p w14:paraId="5560C010"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692546"/>
    <w:multiLevelType w:val="hybridMultilevel"/>
    <w:tmpl w:val="5080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FF2038"/>
    <w:multiLevelType w:val="hybridMultilevel"/>
    <w:tmpl w:val="883C0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7F6BDB"/>
    <w:multiLevelType w:val="hybridMultilevel"/>
    <w:tmpl w:val="0CCA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A772F9"/>
    <w:multiLevelType w:val="hybridMultilevel"/>
    <w:tmpl w:val="0C3C9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21AC7"/>
    <w:multiLevelType w:val="hybridMultilevel"/>
    <w:tmpl w:val="D0B8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C0764D6"/>
    <w:multiLevelType w:val="hybridMultilevel"/>
    <w:tmpl w:val="569E670E"/>
    <w:lvl w:ilvl="0" w:tplc="EF203F06">
      <w:start w:val="1"/>
      <w:numFmt w:val="bullet"/>
      <w:lvlText w:val="•"/>
      <w:lvlJc w:val="left"/>
      <w:pPr>
        <w:tabs>
          <w:tab w:val="num" w:pos="720"/>
        </w:tabs>
        <w:ind w:left="720" w:hanging="360"/>
      </w:pPr>
      <w:rPr>
        <w:rFonts w:ascii="Times New Roman" w:hAnsi="Times New Roman" w:hint="default"/>
      </w:rPr>
    </w:lvl>
    <w:lvl w:ilvl="1" w:tplc="4C2CC94C" w:tentative="1">
      <w:start w:val="1"/>
      <w:numFmt w:val="bullet"/>
      <w:lvlText w:val="•"/>
      <w:lvlJc w:val="left"/>
      <w:pPr>
        <w:tabs>
          <w:tab w:val="num" w:pos="1440"/>
        </w:tabs>
        <w:ind w:left="1440" w:hanging="360"/>
      </w:pPr>
      <w:rPr>
        <w:rFonts w:ascii="Times New Roman" w:hAnsi="Times New Roman" w:hint="default"/>
      </w:rPr>
    </w:lvl>
    <w:lvl w:ilvl="2" w:tplc="E982D116" w:tentative="1">
      <w:start w:val="1"/>
      <w:numFmt w:val="bullet"/>
      <w:lvlText w:val="•"/>
      <w:lvlJc w:val="left"/>
      <w:pPr>
        <w:tabs>
          <w:tab w:val="num" w:pos="2160"/>
        </w:tabs>
        <w:ind w:left="2160" w:hanging="360"/>
      </w:pPr>
      <w:rPr>
        <w:rFonts w:ascii="Times New Roman" w:hAnsi="Times New Roman" w:hint="default"/>
      </w:rPr>
    </w:lvl>
    <w:lvl w:ilvl="3" w:tplc="EF5E8216" w:tentative="1">
      <w:start w:val="1"/>
      <w:numFmt w:val="bullet"/>
      <w:lvlText w:val="•"/>
      <w:lvlJc w:val="left"/>
      <w:pPr>
        <w:tabs>
          <w:tab w:val="num" w:pos="2880"/>
        </w:tabs>
        <w:ind w:left="2880" w:hanging="360"/>
      </w:pPr>
      <w:rPr>
        <w:rFonts w:ascii="Times New Roman" w:hAnsi="Times New Roman" w:hint="default"/>
      </w:rPr>
    </w:lvl>
    <w:lvl w:ilvl="4" w:tplc="1DB4DCFE" w:tentative="1">
      <w:start w:val="1"/>
      <w:numFmt w:val="bullet"/>
      <w:lvlText w:val="•"/>
      <w:lvlJc w:val="left"/>
      <w:pPr>
        <w:tabs>
          <w:tab w:val="num" w:pos="3600"/>
        </w:tabs>
        <w:ind w:left="3600" w:hanging="360"/>
      </w:pPr>
      <w:rPr>
        <w:rFonts w:ascii="Times New Roman" w:hAnsi="Times New Roman" w:hint="default"/>
      </w:rPr>
    </w:lvl>
    <w:lvl w:ilvl="5" w:tplc="B544702A" w:tentative="1">
      <w:start w:val="1"/>
      <w:numFmt w:val="bullet"/>
      <w:lvlText w:val="•"/>
      <w:lvlJc w:val="left"/>
      <w:pPr>
        <w:tabs>
          <w:tab w:val="num" w:pos="4320"/>
        </w:tabs>
        <w:ind w:left="4320" w:hanging="360"/>
      </w:pPr>
      <w:rPr>
        <w:rFonts w:ascii="Times New Roman" w:hAnsi="Times New Roman" w:hint="default"/>
      </w:rPr>
    </w:lvl>
    <w:lvl w:ilvl="6" w:tplc="77289F82" w:tentative="1">
      <w:start w:val="1"/>
      <w:numFmt w:val="bullet"/>
      <w:lvlText w:val="•"/>
      <w:lvlJc w:val="left"/>
      <w:pPr>
        <w:tabs>
          <w:tab w:val="num" w:pos="5040"/>
        </w:tabs>
        <w:ind w:left="5040" w:hanging="360"/>
      </w:pPr>
      <w:rPr>
        <w:rFonts w:ascii="Times New Roman" w:hAnsi="Times New Roman" w:hint="default"/>
      </w:rPr>
    </w:lvl>
    <w:lvl w:ilvl="7" w:tplc="B6F6B500" w:tentative="1">
      <w:start w:val="1"/>
      <w:numFmt w:val="bullet"/>
      <w:lvlText w:val="•"/>
      <w:lvlJc w:val="left"/>
      <w:pPr>
        <w:tabs>
          <w:tab w:val="num" w:pos="5760"/>
        </w:tabs>
        <w:ind w:left="5760" w:hanging="360"/>
      </w:pPr>
      <w:rPr>
        <w:rFonts w:ascii="Times New Roman" w:hAnsi="Times New Roman" w:hint="default"/>
      </w:rPr>
    </w:lvl>
    <w:lvl w:ilvl="8" w:tplc="31C8305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976C47"/>
    <w:multiLevelType w:val="hybridMultilevel"/>
    <w:tmpl w:val="5E84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86364"/>
    <w:multiLevelType w:val="hybridMultilevel"/>
    <w:tmpl w:val="FAF08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D3683F"/>
    <w:multiLevelType w:val="hybridMultilevel"/>
    <w:tmpl w:val="F7ECA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351532"/>
    <w:multiLevelType w:val="hybridMultilevel"/>
    <w:tmpl w:val="9C32938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414D5"/>
    <w:multiLevelType w:val="hybridMultilevel"/>
    <w:tmpl w:val="DBCA6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A6143E"/>
    <w:multiLevelType w:val="hybridMultilevel"/>
    <w:tmpl w:val="9C2E2466"/>
    <w:lvl w:ilvl="0" w:tplc="CEDC7C9A">
      <w:start w:val="1"/>
      <w:numFmt w:val="bullet"/>
      <w:lvlText w:val="•"/>
      <w:lvlJc w:val="left"/>
      <w:pPr>
        <w:tabs>
          <w:tab w:val="num" w:pos="720"/>
        </w:tabs>
        <w:ind w:left="720" w:hanging="360"/>
      </w:pPr>
      <w:rPr>
        <w:rFonts w:ascii="Times New Roman" w:hAnsi="Times New Roman" w:hint="default"/>
      </w:rPr>
    </w:lvl>
    <w:lvl w:ilvl="1" w:tplc="C6C02870" w:tentative="1">
      <w:start w:val="1"/>
      <w:numFmt w:val="bullet"/>
      <w:lvlText w:val="•"/>
      <w:lvlJc w:val="left"/>
      <w:pPr>
        <w:tabs>
          <w:tab w:val="num" w:pos="1440"/>
        </w:tabs>
        <w:ind w:left="1440" w:hanging="360"/>
      </w:pPr>
      <w:rPr>
        <w:rFonts w:ascii="Times New Roman" w:hAnsi="Times New Roman" w:hint="default"/>
      </w:rPr>
    </w:lvl>
    <w:lvl w:ilvl="2" w:tplc="A348AC1E" w:tentative="1">
      <w:start w:val="1"/>
      <w:numFmt w:val="bullet"/>
      <w:lvlText w:val="•"/>
      <w:lvlJc w:val="left"/>
      <w:pPr>
        <w:tabs>
          <w:tab w:val="num" w:pos="2160"/>
        </w:tabs>
        <w:ind w:left="2160" w:hanging="360"/>
      </w:pPr>
      <w:rPr>
        <w:rFonts w:ascii="Times New Roman" w:hAnsi="Times New Roman" w:hint="default"/>
      </w:rPr>
    </w:lvl>
    <w:lvl w:ilvl="3" w:tplc="9CB67514" w:tentative="1">
      <w:start w:val="1"/>
      <w:numFmt w:val="bullet"/>
      <w:lvlText w:val="•"/>
      <w:lvlJc w:val="left"/>
      <w:pPr>
        <w:tabs>
          <w:tab w:val="num" w:pos="2880"/>
        </w:tabs>
        <w:ind w:left="2880" w:hanging="360"/>
      </w:pPr>
      <w:rPr>
        <w:rFonts w:ascii="Times New Roman" w:hAnsi="Times New Roman" w:hint="default"/>
      </w:rPr>
    </w:lvl>
    <w:lvl w:ilvl="4" w:tplc="D9C28EB6" w:tentative="1">
      <w:start w:val="1"/>
      <w:numFmt w:val="bullet"/>
      <w:lvlText w:val="•"/>
      <w:lvlJc w:val="left"/>
      <w:pPr>
        <w:tabs>
          <w:tab w:val="num" w:pos="3600"/>
        </w:tabs>
        <w:ind w:left="3600" w:hanging="360"/>
      </w:pPr>
      <w:rPr>
        <w:rFonts w:ascii="Times New Roman" w:hAnsi="Times New Roman" w:hint="default"/>
      </w:rPr>
    </w:lvl>
    <w:lvl w:ilvl="5" w:tplc="59E04B80" w:tentative="1">
      <w:start w:val="1"/>
      <w:numFmt w:val="bullet"/>
      <w:lvlText w:val="•"/>
      <w:lvlJc w:val="left"/>
      <w:pPr>
        <w:tabs>
          <w:tab w:val="num" w:pos="4320"/>
        </w:tabs>
        <w:ind w:left="4320" w:hanging="360"/>
      </w:pPr>
      <w:rPr>
        <w:rFonts w:ascii="Times New Roman" w:hAnsi="Times New Roman" w:hint="default"/>
      </w:rPr>
    </w:lvl>
    <w:lvl w:ilvl="6" w:tplc="EE78F74E" w:tentative="1">
      <w:start w:val="1"/>
      <w:numFmt w:val="bullet"/>
      <w:lvlText w:val="•"/>
      <w:lvlJc w:val="left"/>
      <w:pPr>
        <w:tabs>
          <w:tab w:val="num" w:pos="5040"/>
        </w:tabs>
        <w:ind w:left="5040" w:hanging="360"/>
      </w:pPr>
      <w:rPr>
        <w:rFonts w:ascii="Times New Roman" w:hAnsi="Times New Roman" w:hint="default"/>
      </w:rPr>
    </w:lvl>
    <w:lvl w:ilvl="7" w:tplc="1CDC85BA" w:tentative="1">
      <w:start w:val="1"/>
      <w:numFmt w:val="bullet"/>
      <w:lvlText w:val="•"/>
      <w:lvlJc w:val="left"/>
      <w:pPr>
        <w:tabs>
          <w:tab w:val="num" w:pos="5760"/>
        </w:tabs>
        <w:ind w:left="5760" w:hanging="360"/>
      </w:pPr>
      <w:rPr>
        <w:rFonts w:ascii="Times New Roman" w:hAnsi="Times New Roman" w:hint="default"/>
      </w:rPr>
    </w:lvl>
    <w:lvl w:ilvl="8" w:tplc="A85667C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FF3454"/>
    <w:multiLevelType w:val="hybridMultilevel"/>
    <w:tmpl w:val="6354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93499"/>
    <w:multiLevelType w:val="hybridMultilevel"/>
    <w:tmpl w:val="2C6A3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B7484A"/>
    <w:multiLevelType w:val="hybridMultilevel"/>
    <w:tmpl w:val="F560F306"/>
    <w:lvl w:ilvl="0" w:tplc="D76AAED0">
      <w:start w:val="1"/>
      <w:numFmt w:val="bullet"/>
      <w:lvlText w:val="•"/>
      <w:lvlJc w:val="left"/>
      <w:pPr>
        <w:tabs>
          <w:tab w:val="num" w:pos="720"/>
        </w:tabs>
        <w:ind w:left="720" w:hanging="360"/>
      </w:pPr>
      <w:rPr>
        <w:rFonts w:ascii="Times New Roman" w:hAnsi="Times New Roman" w:hint="default"/>
      </w:rPr>
    </w:lvl>
    <w:lvl w:ilvl="1" w:tplc="DE54EB9E" w:tentative="1">
      <w:start w:val="1"/>
      <w:numFmt w:val="bullet"/>
      <w:lvlText w:val="•"/>
      <w:lvlJc w:val="left"/>
      <w:pPr>
        <w:tabs>
          <w:tab w:val="num" w:pos="1440"/>
        </w:tabs>
        <w:ind w:left="1440" w:hanging="360"/>
      </w:pPr>
      <w:rPr>
        <w:rFonts w:ascii="Times New Roman" w:hAnsi="Times New Roman" w:hint="default"/>
      </w:rPr>
    </w:lvl>
    <w:lvl w:ilvl="2" w:tplc="A368438E" w:tentative="1">
      <w:start w:val="1"/>
      <w:numFmt w:val="bullet"/>
      <w:lvlText w:val="•"/>
      <w:lvlJc w:val="left"/>
      <w:pPr>
        <w:tabs>
          <w:tab w:val="num" w:pos="2160"/>
        </w:tabs>
        <w:ind w:left="2160" w:hanging="360"/>
      </w:pPr>
      <w:rPr>
        <w:rFonts w:ascii="Times New Roman" w:hAnsi="Times New Roman" w:hint="default"/>
      </w:rPr>
    </w:lvl>
    <w:lvl w:ilvl="3" w:tplc="F4527932" w:tentative="1">
      <w:start w:val="1"/>
      <w:numFmt w:val="bullet"/>
      <w:lvlText w:val="•"/>
      <w:lvlJc w:val="left"/>
      <w:pPr>
        <w:tabs>
          <w:tab w:val="num" w:pos="2880"/>
        </w:tabs>
        <w:ind w:left="2880" w:hanging="360"/>
      </w:pPr>
      <w:rPr>
        <w:rFonts w:ascii="Times New Roman" w:hAnsi="Times New Roman" w:hint="default"/>
      </w:rPr>
    </w:lvl>
    <w:lvl w:ilvl="4" w:tplc="E3DCEA3A" w:tentative="1">
      <w:start w:val="1"/>
      <w:numFmt w:val="bullet"/>
      <w:lvlText w:val="•"/>
      <w:lvlJc w:val="left"/>
      <w:pPr>
        <w:tabs>
          <w:tab w:val="num" w:pos="3600"/>
        </w:tabs>
        <w:ind w:left="3600" w:hanging="360"/>
      </w:pPr>
      <w:rPr>
        <w:rFonts w:ascii="Times New Roman" w:hAnsi="Times New Roman" w:hint="default"/>
      </w:rPr>
    </w:lvl>
    <w:lvl w:ilvl="5" w:tplc="500EC370" w:tentative="1">
      <w:start w:val="1"/>
      <w:numFmt w:val="bullet"/>
      <w:lvlText w:val="•"/>
      <w:lvlJc w:val="left"/>
      <w:pPr>
        <w:tabs>
          <w:tab w:val="num" w:pos="4320"/>
        </w:tabs>
        <w:ind w:left="4320" w:hanging="360"/>
      </w:pPr>
      <w:rPr>
        <w:rFonts w:ascii="Times New Roman" w:hAnsi="Times New Roman" w:hint="default"/>
      </w:rPr>
    </w:lvl>
    <w:lvl w:ilvl="6" w:tplc="5A2A8C94" w:tentative="1">
      <w:start w:val="1"/>
      <w:numFmt w:val="bullet"/>
      <w:lvlText w:val="•"/>
      <w:lvlJc w:val="left"/>
      <w:pPr>
        <w:tabs>
          <w:tab w:val="num" w:pos="5040"/>
        </w:tabs>
        <w:ind w:left="5040" w:hanging="360"/>
      </w:pPr>
      <w:rPr>
        <w:rFonts w:ascii="Times New Roman" w:hAnsi="Times New Roman" w:hint="default"/>
      </w:rPr>
    </w:lvl>
    <w:lvl w:ilvl="7" w:tplc="B05679D4" w:tentative="1">
      <w:start w:val="1"/>
      <w:numFmt w:val="bullet"/>
      <w:lvlText w:val="•"/>
      <w:lvlJc w:val="left"/>
      <w:pPr>
        <w:tabs>
          <w:tab w:val="num" w:pos="5760"/>
        </w:tabs>
        <w:ind w:left="5760" w:hanging="360"/>
      </w:pPr>
      <w:rPr>
        <w:rFonts w:ascii="Times New Roman" w:hAnsi="Times New Roman" w:hint="default"/>
      </w:rPr>
    </w:lvl>
    <w:lvl w:ilvl="8" w:tplc="18B08CEA"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25F122A"/>
    <w:multiLevelType w:val="hybridMultilevel"/>
    <w:tmpl w:val="37E24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60D53A7"/>
    <w:multiLevelType w:val="hybridMultilevel"/>
    <w:tmpl w:val="EFF09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95335B"/>
    <w:multiLevelType w:val="hybridMultilevel"/>
    <w:tmpl w:val="BDDAC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9F66040"/>
    <w:multiLevelType w:val="hybridMultilevel"/>
    <w:tmpl w:val="AA60BE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D866BE"/>
    <w:multiLevelType w:val="hybridMultilevel"/>
    <w:tmpl w:val="33BAD2A8"/>
    <w:lvl w:ilvl="0" w:tplc="04090001">
      <w:start w:val="1"/>
      <w:numFmt w:val="bullet"/>
      <w:lvlText w:val=""/>
      <w:lvlJc w:val="left"/>
      <w:pPr>
        <w:ind w:left="720" w:hanging="360"/>
      </w:pPr>
      <w:rPr>
        <w:rFonts w:ascii="Symbol" w:hAnsi="Symbol" w:hint="default"/>
      </w:rPr>
    </w:lvl>
    <w:lvl w:ilvl="1" w:tplc="DA384EDA">
      <w:numFmt w:val="bullet"/>
      <w:lvlText w:val="-"/>
      <w:lvlJc w:val="left"/>
      <w:pPr>
        <w:ind w:left="1440" w:hanging="360"/>
      </w:pPr>
      <w:rPr>
        <w:rFonts w:ascii="Tahoma" w:eastAsia="Times New Roma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F76F8"/>
    <w:multiLevelType w:val="hybridMultilevel"/>
    <w:tmpl w:val="BE4CEE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C6536B"/>
    <w:multiLevelType w:val="hybridMultilevel"/>
    <w:tmpl w:val="FB187F4E"/>
    <w:lvl w:ilvl="0" w:tplc="46DCF8DE">
      <w:start w:val="1"/>
      <w:numFmt w:val="bullet"/>
      <w:lvlText w:val="•"/>
      <w:lvlJc w:val="left"/>
      <w:pPr>
        <w:tabs>
          <w:tab w:val="num" w:pos="720"/>
        </w:tabs>
        <w:ind w:left="720" w:hanging="360"/>
      </w:pPr>
      <w:rPr>
        <w:rFonts w:ascii="Times New Roman" w:hAnsi="Times New Roman" w:hint="default"/>
      </w:rPr>
    </w:lvl>
    <w:lvl w:ilvl="1" w:tplc="F29042A6" w:tentative="1">
      <w:start w:val="1"/>
      <w:numFmt w:val="bullet"/>
      <w:lvlText w:val="•"/>
      <w:lvlJc w:val="left"/>
      <w:pPr>
        <w:tabs>
          <w:tab w:val="num" w:pos="1440"/>
        </w:tabs>
        <w:ind w:left="1440" w:hanging="360"/>
      </w:pPr>
      <w:rPr>
        <w:rFonts w:ascii="Times New Roman" w:hAnsi="Times New Roman" w:hint="default"/>
      </w:rPr>
    </w:lvl>
    <w:lvl w:ilvl="2" w:tplc="617C5A1E" w:tentative="1">
      <w:start w:val="1"/>
      <w:numFmt w:val="bullet"/>
      <w:lvlText w:val="•"/>
      <w:lvlJc w:val="left"/>
      <w:pPr>
        <w:tabs>
          <w:tab w:val="num" w:pos="2160"/>
        </w:tabs>
        <w:ind w:left="2160" w:hanging="360"/>
      </w:pPr>
      <w:rPr>
        <w:rFonts w:ascii="Times New Roman" w:hAnsi="Times New Roman" w:hint="default"/>
      </w:rPr>
    </w:lvl>
    <w:lvl w:ilvl="3" w:tplc="980EE66C" w:tentative="1">
      <w:start w:val="1"/>
      <w:numFmt w:val="bullet"/>
      <w:lvlText w:val="•"/>
      <w:lvlJc w:val="left"/>
      <w:pPr>
        <w:tabs>
          <w:tab w:val="num" w:pos="2880"/>
        </w:tabs>
        <w:ind w:left="2880" w:hanging="360"/>
      </w:pPr>
      <w:rPr>
        <w:rFonts w:ascii="Times New Roman" w:hAnsi="Times New Roman" w:hint="default"/>
      </w:rPr>
    </w:lvl>
    <w:lvl w:ilvl="4" w:tplc="3BE65416" w:tentative="1">
      <w:start w:val="1"/>
      <w:numFmt w:val="bullet"/>
      <w:lvlText w:val="•"/>
      <w:lvlJc w:val="left"/>
      <w:pPr>
        <w:tabs>
          <w:tab w:val="num" w:pos="3600"/>
        </w:tabs>
        <w:ind w:left="3600" w:hanging="360"/>
      </w:pPr>
      <w:rPr>
        <w:rFonts w:ascii="Times New Roman" w:hAnsi="Times New Roman" w:hint="default"/>
      </w:rPr>
    </w:lvl>
    <w:lvl w:ilvl="5" w:tplc="584E3108" w:tentative="1">
      <w:start w:val="1"/>
      <w:numFmt w:val="bullet"/>
      <w:lvlText w:val="•"/>
      <w:lvlJc w:val="left"/>
      <w:pPr>
        <w:tabs>
          <w:tab w:val="num" w:pos="4320"/>
        </w:tabs>
        <w:ind w:left="4320" w:hanging="360"/>
      </w:pPr>
      <w:rPr>
        <w:rFonts w:ascii="Times New Roman" w:hAnsi="Times New Roman" w:hint="default"/>
      </w:rPr>
    </w:lvl>
    <w:lvl w:ilvl="6" w:tplc="8146C604" w:tentative="1">
      <w:start w:val="1"/>
      <w:numFmt w:val="bullet"/>
      <w:lvlText w:val="•"/>
      <w:lvlJc w:val="left"/>
      <w:pPr>
        <w:tabs>
          <w:tab w:val="num" w:pos="5040"/>
        </w:tabs>
        <w:ind w:left="5040" w:hanging="360"/>
      </w:pPr>
      <w:rPr>
        <w:rFonts w:ascii="Times New Roman" w:hAnsi="Times New Roman" w:hint="default"/>
      </w:rPr>
    </w:lvl>
    <w:lvl w:ilvl="7" w:tplc="FA985B62" w:tentative="1">
      <w:start w:val="1"/>
      <w:numFmt w:val="bullet"/>
      <w:lvlText w:val="•"/>
      <w:lvlJc w:val="left"/>
      <w:pPr>
        <w:tabs>
          <w:tab w:val="num" w:pos="5760"/>
        </w:tabs>
        <w:ind w:left="5760" w:hanging="360"/>
      </w:pPr>
      <w:rPr>
        <w:rFonts w:ascii="Times New Roman" w:hAnsi="Times New Roman" w:hint="default"/>
      </w:rPr>
    </w:lvl>
    <w:lvl w:ilvl="8" w:tplc="2578BF3C" w:tentative="1">
      <w:start w:val="1"/>
      <w:numFmt w:val="bullet"/>
      <w:lvlText w:val="•"/>
      <w:lvlJc w:val="left"/>
      <w:pPr>
        <w:tabs>
          <w:tab w:val="num" w:pos="6480"/>
        </w:tabs>
        <w:ind w:left="6480" w:hanging="360"/>
      </w:pPr>
      <w:rPr>
        <w:rFonts w:ascii="Times New Roman" w:hAnsi="Times New Roman" w:hint="default"/>
      </w:rPr>
    </w:lvl>
  </w:abstractNum>
  <w:num w:numId="1">
    <w:abstractNumId w:val="23"/>
  </w:num>
  <w:num w:numId="2">
    <w:abstractNumId w:val="32"/>
  </w:num>
  <w:num w:numId="3">
    <w:abstractNumId w:val="18"/>
  </w:num>
  <w:num w:numId="4">
    <w:abstractNumId w:val="1"/>
  </w:num>
  <w:num w:numId="5">
    <w:abstractNumId w:val="0"/>
  </w:num>
  <w:num w:numId="6">
    <w:abstractNumId w:val="9"/>
  </w:num>
  <w:num w:numId="7">
    <w:abstractNumId w:val="25"/>
  </w:num>
  <w:num w:numId="8">
    <w:abstractNumId w:val="2"/>
  </w:num>
  <w:num w:numId="9">
    <w:abstractNumId w:val="44"/>
  </w:num>
  <w:num w:numId="10">
    <w:abstractNumId w:val="5"/>
  </w:num>
  <w:num w:numId="11">
    <w:abstractNumId w:val="19"/>
  </w:num>
  <w:num w:numId="12">
    <w:abstractNumId w:val="31"/>
  </w:num>
  <w:num w:numId="13">
    <w:abstractNumId w:val="39"/>
  </w:num>
  <w:num w:numId="14">
    <w:abstractNumId w:val="34"/>
  </w:num>
  <w:num w:numId="15">
    <w:abstractNumId w:val="43"/>
  </w:num>
  <w:num w:numId="16">
    <w:abstractNumId w:val="21"/>
  </w:num>
  <w:num w:numId="17">
    <w:abstractNumId w:val="14"/>
  </w:num>
  <w:num w:numId="18">
    <w:abstractNumId w:val="37"/>
  </w:num>
  <w:num w:numId="19">
    <w:abstractNumId w:val="22"/>
  </w:num>
  <w:num w:numId="20">
    <w:abstractNumId w:val="41"/>
  </w:num>
  <w:num w:numId="21">
    <w:abstractNumId w:val="24"/>
  </w:num>
  <w:num w:numId="22">
    <w:abstractNumId w:val="17"/>
  </w:num>
  <w:num w:numId="23">
    <w:abstractNumId w:val="30"/>
  </w:num>
  <w:num w:numId="24">
    <w:abstractNumId w:val="33"/>
  </w:num>
  <w:num w:numId="25">
    <w:abstractNumId w:val="42"/>
  </w:num>
  <w:num w:numId="26">
    <w:abstractNumId w:val="28"/>
  </w:num>
  <w:num w:numId="27">
    <w:abstractNumId w:val="20"/>
  </w:num>
  <w:num w:numId="28">
    <w:abstractNumId w:val="45"/>
  </w:num>
  <w:num w:numId="29">
    <w:abstractNumId w:val="10"/>
  </w:num>
  <w:num w:numId="30">
    <w:abstractNumId w:val="36"/>
  </w:num>
  <w:num w:numId="31">
    <w:abstractNumId w:val="35"/>
  </w:num>
  <w:num w:numId="32">
    <w:abstractNumId w:val="27"/>
  </w:num>
  <w:num w:numId="33">
    <w:abstractNumId w:val="16"/>
  </w:num>
  <w:num w:numId="34">
    <w:abstractNumId w:val="13"/>
  </w:num>
  <w:num w:numId="35">
    <w:abstractNumId w:val="29"/>
  </w:num>
  <w:num w:numId="36">
    <w:abstractNumId w:val="3"/>
  </w:num>
  <w:num w:numId="37">
    <w:abstractNumId w:val="8"/>
  </w:num>
  <w:num w:numId="38">
    <w:abstractNumId w:val="7"/>
  </w:num>
  <w:num w:numId="39">
    <w:abstractNumId w:val="38"/>
  </w:num>
  <w:num w:numId="40">
    <w:abstractNumId w:val="15"/>
  </w:num>
  <w:num w:numId="41">
    <w:abstractNumId w:val="40"/>
  </w:num>
  <w:num w:numId="42">
    <w:abstractNumId w:val="26"/>
  </w:num>
  <w:num w:numId="43">
    <w:abstractNumId w:val="11"/>
  </w:num>
  <w:num w:numId="44">
    <w:abstractNumId w:val="12"/>
  </w:num>
  <w:num w:numId="45">
    <w:abstractNumId w:val="6"/>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2NTY1M7I0tDQxNTdU0lEKTi0uzszPAykwrAUATuWRuSwAAAA="/>
  </w:docVars>
  <w:rsids>
    <w:rsidRoot w:val="00DF522C"/>
    <w:rsid w:val="000039D9"/>
    <w:rsid w:val="0007147C"/>
    <w:rsid w:val="00081642"/>
    <w:rsid w:val="000A3C66"/>
    <w:rsid w:val="00114AAF"/>
    <w:rsid w:val="001203AE"/>
    <w:rsid w:val="00175153"/>
    <w:rsid w:val="001C1450"/>
    <w:rsid w:val="00223920"/>
    <w:rsid w:val="00252A11"/>
    <w:rsid w:val="0029357D"/>
    <w:rsid w:val="002A2856"/>
    <w:rsid w:val="003020A2"/>
    <w:rsid w:val="003038D3"/>
    <w:rsid w:val="003225CD"/>
    <w:rsid w:val="003C0800"/>
    <w:rsid w:val="003F70CA"/>
    <w:rsid w:val="0042558D"/>
    <w:rsid w:val="004A25F0"/>
    <w:rsid w:val="004A4C93"/>
    <w:rsid w:val="004C4442"/>
    <w:rsid w:val="005151D8"/>
    <w:rsid w:val="00515546"/>
    <w:rsid w:val="005277D5"/>
    <w:rsid w:val="005638D0"/>
    <w:rsid w:val="005C6765"/>
    <w:rsid w:val="005D1877"/>
    <w:rsid w:val="00633320"/>
    <w:rsid w:val="007067BE"/>
    <w:rsid w:val="007B26B1"/>
    <w:rsid w:val="00827FB0"/>
    <w:rsid w:val="00857027"/>
    <w:rsid w:val="009165E9"/>
    <w:rsid w:val="00923781"/>
    <w:rsid w:val="009325A7"/>
    <w:rsid w:val="00975A60"/>
    <w:rsid w:val="009956F9"/>
    <w:rsid w:val="009B44BE"/>
    <w:rsid w:val="009F5B1B"/>
    <w:rsid w:val="00A312D8"/>
    <w:rsid w:val="00A41080"/>
    <w:rsid w:val="00A73D69"/>
    <w:rsid w:val="00AC2E3F"/>
    <w:rsid w:val="00B31AC4"/>
    <w:rsid w:val="00B844E8"/>
    <w:rsid w:val="00BD08AB"/>
    <w:rsid w:val="00BE65BE"/>
    <w:rsid w:val="00C67021"/>
    <w:rsid w:val="00CB4C5D"/>
    <w:rsid w:val="00CC3CF5"/>
    <w:rsid w:val="00CD4A1D"/>
    <w:rsid w:val="00CE42F4"/>
    <w:rsid w:val="00D03AB2"/>
    <w:rsid w:val="00D13825"/>
    <w:rsid w:val="00DA20ED"/>
    <w:rsid w:val="00DC1CC5"/>
    <w:rsid w:val="00DC590C"/>
    <w:rsid w:val="00DE3D6D"/>
    <w:rsid w:val="00DF345F"/>
    <w:rsid w:val="00DF522C"/>
    <w:rsid w:val="00E162DA"/>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AE4D5"/>
  <w15:docId w15:val="{FCC3D298-13F8-4D50-AB53-B2DFBBDF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MS Mincho" w:hAnsi="Tahoma" w:cs="Arial"/>
        <w:lang w:val="en-GB" w:eastAsia="en-US" w:bidi="ar-SA"/>
      </w:rPr>
    </w:rPrDefault>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2018.dotx</Template>
  <TotalTime>18</TotalTime>
  <Pages>6</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misan Agboghoroma</cp:lastModifiedBy>
  <cp:revision>11</cp:revision>
  <cp:lastPrinted>2019-05-03T10:41:00Z</cp:lastPrinted>
  <dcterms:created xsi:type="dcterms:W3CDTF">2018-07-25T15:46:00Z</dcterms:created>
  <dcterms:modified xsi:type="dcterms:W3CDTF">2020-05-18T22:42:00Z</dcterms:modified>
</cp:coreProperties>
</file>