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6C5E1" w14:textId="77777777" w:rsidR="00B87A44" w:rsidRPr="003C0800" w:rsidRDefault="00B87A44" w:rsidP="00B87A44">
      <w:pPr>
        <w:pStyle w:val="Heading1"/>
        <w:rPr>
          <w:rFonts w:cs="Arial"/>
          <w:szCs w:val="22"/>
        </w:rPr>
      </w:pPr>
      <w:r>
        <w:rPr>
          <w:rFonts w:cs="Arial"/>
          <w:szCs w:val="22"/>
        </w:rPr>
        <w:t>Malaria</w:t>
      </w:r>
    </w:p>
    <w:p w14:paraId="55F14838" w14:textId="77777777" w:rsidR="00F357A9" w:rsidRDefault="00F357A9" w:rsidP="00F357A9">
      <w:pPr>
        <w:pStyle w:val="Heading2"/>
        <w:rPr>
          <w:rFonts w:eastAsia="Times New Roman"/>
          <w:i/>
          <w:iCs/>
        </w:rPr>
      </w:pPr>
      <w:r>
        <w:rPr>
          <w:rFonts w:eastAsia="Times New Roman"/>
          <w:i/>
          <w:iCs/>
        </w:rPr>
        <w:t>Executive summary</w:t>
      </w:r>
    </w:p>
    <w:p w14:paraId="246C5D7E" w14:textId="77777777" w:rsidR="00F357A9" w:rsidRDefault="00F357A9" w:rsidP="00F357A9">
      <w:pPr>
        <w:pStyle w:val="Heading2"/>
        <w:rPr>
          <w:sz w:val="23"/>
          <w:szCs w:val="23"/>
        </w:rPr>
      </w:pPr>
      <w:r>
        <w:rPr>
          <w:rFonts w:eastAsia="Times New Roman"/>
        </w:rPr>
        <w:t>Introduction</w:t>
      </w:r>
      <w:r>
        <w:rPr>
          <w:b w:val="0"/>
          <w:bCs/>
          <w:sz w:val="23"/>
          <w:szCs w:val="23"/>
        </w:rPr>
        <w:t xml:space="preserve"> </w:t>
      </w:r>
    </w:p>
    <w:p w14:paraId="6C4B79BF" w14:textId="77777777" w:rsidR="00F357A9" w:rsidRPr="00804993" w:rsidRDefault="00F357A9" w:rsidP="00F357A9">
      <w:r w:rsidRPr="00804993">
        <w:t xml:space="preserve">Malaria is a preventable and curable disease which is caused by parasites of the genus Plasmodium. Species that can cause malaria include </w:t>
      </w:r>
      <w:r w:rsidRPr="00804993">
        <w:rPr>
          <w:i/>
        </w:rPr>
        <w:t xml:space="preserve">P. falciparum, P. vivax, P. </w:t>
      </w:r>
      <w:proofErr w:type="spellStart"/>
      <w:r w:rsidRPr="00804993">
        <w:rPr>
          <w:i/>
        </w:rPr>
        <w:t>ovale</w:t>
      </w:r>
      <w:proofErr w:type="spellEnd"/>
      <w:r w:rsidRPr="00804993">
        <w:rPr>
          <w:i/>
        </w:rPr>
        <w:t xml:space="preserve"> and P. </w:t>
      </w:r>
      <w:proofErr w:type="spellStart"/>
      <w:r w:rsidRPr="00804993">
        <w:rPr>
          <w:i/>
        </w:rPr>
        <w:t>malariae</w:t>
      </w:r>
      <w:proofErr w:type="spellEnd"/>
      <w:r w:rsidRPr="00804993">
        <w:t xml:space="preserve">. Of these, </w:t>
      </w:r>
      <w:r w:rsidRPr="00804993">
        <w:rPr>
          <w:i/>
        </w:rPr>
        <w:t>P. falciparum</w:t>
      </w:r>
      <w:r w:rsidRPr="00804993">
        <w:t xml:space="preserve"> is the deadliest as well as the most common specie in sub-Saharan Africa. They are usually transmitted through the bite of an infected female Anopheles mosquito. As the endemicity of malaria reduces in The Gambia, non-development of immunity in childhood may cause increased number of severe malaria cases among older patients </w:t>
      </w:r>
      <w:proofErr w:type="gramStart"/>
      <w:r w:rsidRPr="00804993">
        <w:t>in the near future</w:t>
      </w:r>
      <w:proofErr w:type="gramEnd"/>
      <w:r w:rsidRPr="00804993">
        <w:t xml:space="preserve">. </w:t>
      </w:r>
    </w:p>
    <w:p w14:paraId="268A7F76" w14:textId="77777777" w:rsidR="00F357A9" w:rsidRPr="00804993" w:rsidRDefault="00F357A9" w:rsidP="00F357A9">
      <w:r w:rsidRPr="00804993">
        <w:t>This guideline covers the diagnosis and treatment of both uncomplicated and severe malaria.</w:t>
      </w:r>
    </w:p>
    <w:p w14:paraId="2A489B13" w14:textId="77777777" w:rsidR="00F357A9" w:rsidRDefault="00F357A9" w:rsidP="00F357A9">
      <w:pPr>
        <w:pStyle w:val="Heading2"/>
      </w:pPr>
      <w:r w:rsidRPr="00BF52B2">
        <w:t>Target users</w:t>
      </w:r>
    </w:p>
    <w:p w14:paraId="3E71ED23" w14:textId="77777777" w:rsidR="00F357A9" w:rsidRDefault="00F357A9" w:rsidP="00F357A9">
      <w:pPr>
        <w:pStyle w:val="ListParagraph"/>
        <w:numPr>
          <w:ilvl w:val="0"/>
          <w:numId w:val="32"/>
        </w:numPr>
      </w:pPr>
      <w:r>
        <w:t>Nurses</w:t>
      </w:r>
    </w:p>
    <w:p w14:paraId="33A32B43" w14:textId="77777777" w:rsidR="00F357A9" w:rsidRPr="00BF52B2" w:rsidRDefault="00F357A9" w:rsidP="00F357A9">
      <w:pPr>
        <w:pStyle w:val="ListParagraph"/>
        <w:numPr>
          <w:ilvl w:val="0"/>
          <w:numId w:val="32"/>
        </w:numPr>
      </w:pPr>
      <w:r>
        <w:t>Doctors</w:t>
      </w:r>
    </w:p>
    <w:p w14:paraId="15BF7120" w14:textId="77777777" w:rsidR="00F357A9" w:rsidRPr="00BF52B2" w:rsidRDefault="00F357A9" w:rsidP="00F357A9">
      <w:pPr>
        <w:pStyle w:val="Heading2"/>
      </w:pPr>
      <w:r w:rsidRPr="00BF52B2">
        <w:t xml:space="preserve">Target area of use </w:t>
      </w:r>
    </w:p>
    <w:p w14:paraId="6C638C8C" w14:textId="77777777" w:rsidR="00F357A9" w:rsidRPr="00462890" w:rsidRDefault="00F357A9" w:rsidP="00F357A9">
      <w:pPr>
        <w:pStyle w:val="ListParagraph"/>
        <w:numPr>
          <w:ilvl w:val="0"/>
          <w:numId w:val="33"/>
        </w:numPr>
      </w:pPr>
      <w:r w:rsidRPr="00462890">
        <w:t>Gate Clinic</w:t>
      </w:r>
    </w:p>
    <w:p w14:paraId="4213D257" w14:textId="77777777" w:rsidR="00F357A9" w:rsidRPr="00462890" w:rsidRDefault="00F357A9" w:rsidP="00F357A9">
      <w:pPr>
        <w:pStyle w:val="ListParagraph"/>
        <w:numPr>
          <w:ilvl w:val="0"/>
          <w:numId w:val="33"/>
        </w:numPr>
      </w:pPr>
      <w:r w:rsidRPr="00462890">
        <w:t>Outpatient Department</w:t>
      </w:r>
    </w:p>
    <w:p w14:paraId="0D793AA3" w14:textId="77777777" w:rsidR="00F357A9" w:rsidRPr="00462890" w:rsidRDefault="00F357A9" w:rsidP="00F357A9">
      <w:pPr>
        <w:pStyle w:val="ListParagraph"/>
        <w:numPr>
          <w:ilvl w:val="0"/>
          <w:numId w:val="33"/>
        </w:numPr>
      </w:pPr>
      <w:r w:rsidRPr="00462890">
        <w:t>Ward</w:t>
      </w:r>
    </w:p>
    <w:p w14:paraId="7ECB2952" w14:textId="77777777" w:rsidR="00F357A9" w:rsidRPr="00BF52B2" w:rsidRDefault="00F357A9" w:rsidP="00F357A9">
      <w:pPr>
        <w:pStyle w:val="Heading2"/>
      </w:pPr>
      <w:r w:rsidRPr="00BF52B2">
        <w:t xml:space="preserve">Key areas of focus / New additions / Changes </w:t>
      </w:r>
    </w:p>
    <w:p w14:paraId="52FD3223" w14:textId="77777777" w:rsidR="00F357A9" w:rsidRDefault="00F357A9" w:rsidP="00F357A9">
      <w:proofErr w:type="gramStart"/>
      <w:r>
        <w:t>This guidelines</w:t>
      </w:r>
      <w:proofErr w:type="gramEnd"/>
      <w:r>
        <w:t xml:space="preserve"> describes the features of uncomplicated malaria and those of severe malaria. The differential diagnoses of malaria </w:t>
      </w:r>
      <w:proofErr w:type="gramStart"/>
      <w:r>
        <w:t>is</w:t>
      </w:r>
      <w:proofErr w:type="gramEnd"/>
      <w:r>
        <w:t xml:space="preserve"> extensive. The diagnosis of malaria requires the use of rapid diagnostic tests or blood films.</w:t>
      </w:r>
    </w:p>
    <w:p w14:paraId="56795296" w14:textId="77777777" w:rsidR="00F357A9" w:rsidRPr="00804993" w:rsidRDefault="00F357A9" w:rsidP="00F357A9">
      <w:r w:rsidRPr="00804993">
        <w:t xml:space="preserve">Most patients with uncomplicated malaria should be treated </w:t>
      </w:r>
      <w:r>
        <w:t xml:space="preserve">with </w:t>
      </w:r>
      <w:r w:rsidRPr="00804993">
        <w:t>co-</w:t>
      </w:r>
      <w:proofErr w:type="spellStart"/>
      <w:r w:rsidRPr="00804993">
        <w:t>artem</w:t>
      </w:r>
      <w:proofErr w:type="spellEnd"/>
      <w:r w:rsidRPr="00804993">
        <w:t xml:space="preserve"> at the Gate Clinic. Babies under 5 kg, pregnant women in first trimester and patients </w:t>
      </w:r>
      <w:r>
        <w:t>with positive blood smears despite treatment within t</w:t>
      </w:r>
      <w:r w:rsidRPr="00804993">
        <w:t xml:space="preserve">he </w:t>
      </w:r>
      <w:r>
        <w:t>preceding fortnight should be referred to the outpatient department.</w:t>
      </w:r>
    </w:p>
    <w:p w14:paraId="07623796" w14:textId="77777777" w:rsidR="00F357A9" w:rsidRDefault="00F357A9" w:rsidP="00F357A9">
      <w:r>
        <w:t>Severe malaria is a medical emergency requiring inpatient parenteral therapy for at least 24 hours. The drug of choice is artesunate. Quinine and artemether are alternatives.</w:t>
      </w:r>
    </w:p>
    <w:p w14:paraId="5DFB28F7" w14:textId="77777777" w:rsidR="00F357A9" w:rsidRPr="00BF52B2" w:rsidRDefault="00F357A9" w:rsidP="00F357A9">
      <w:r>
        <w:t>Febrile patients should not be tepid sponged</w:t>
      </w:r>
      <w:r w:rsidRPr="00BF52B2">
        <w:t>.</w:t>
      </w:r>
    </w:p>
    <w:p w14:paraId="075F83C5" w14:textId="77777777" w:rsidR="00F357A9" w:rsidRPr="00BF52B2" w:rsidRDefault="00F357A9" w:rsidP="00F357A9">
      <w:pPr>
        <w:pStyle w:val="Heading2"/>
      </w:pPr>
      <w:r w:rsidRPr="00BF52B2">
        <w:t xml:space="preserve">Limitations </w:t>
      </w:r>
    </w:p>
    <w:p w14:paraId="764ECF97" w14:textId="77777777" w:rsidR="00F357A9" w:rsidRPr="00864AA2" w:rsidRDefault="00F357A9" w:rsidP="00F357A9">
      <w:r w:rsidRPr="00AC7C2F">
        <w:t xml:space="preserve">Patients with coma, severe </w:t>
      </w:r>
      <w:proofErr w:type="spellStart"/>
      <w:r w:rsidRPr="00AC7C2F">
        <w:t>anaemia</w:t>
      </w:r>
      <w:proofErr w:type="spellEnd"/>
      <w:r w:rsidRPr="00AC7C2F">
        <w:t>, spontaneous bleeding or shock cannot be</w:t>
      </w:r>
      <w:r>
        <w:t xml:space="preserve"> managed adequately at </w:t>
      </w:r>
      <w:proofErr w:type="spellStart"/>
      <w:r>
        <w:t>Keneba</w:t>
      </w:r>
      <w:proofErr w:type="spellEnd"/>
      <w:r>
        <w:t>. Such patients should be given parenteral antimalarials and referred immediately.</w:t>
      </w:r>
    </w:p>
    <w:p w14:paraId="487EC872" w14:textId="77777777" w:rsidR="00F357A9" w:rsidRDefault="00F357A9" w:rsidP="00F357A9">
      <w:pPr>
        <w:spacing w:after="0"/>
        <w:outlineLvl w:val="9"/>
      </w:pPr>
      <w:r>
        <w:br w:type="page"/>
      </w:r>
    </w:p>
    <w:p w14:paraId="462C10C8" w14:textId="77777777" w:rsidR="00B87A44" w:rsidRDefault="00B87A44" w:rsidP="00B87A44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lastRenderedPageBreak/>
        <w:t>Presenting symptoms and signs</w:t>
      </w:r>
    </w:p>
    <w:p w14:paraId="238C93BD" w14:textId="77777777" w:rsidR="00B87A44" w:rsidRDefault="00B87A44" w:rsidP="00B87A44">
      <w:r>
        <w:t>Initial symptoms are non-specific and may include</w:t>
      </w:r>
    </w:p>
    <w:p w14:paraId="630C6D49" w14:textId="77777777" w:rsidR="00B87A44" w:rsidRDefault="00B87A44" w:rsidP="00B87A44">
      <w:pPr>
        <w:pStyle w:val="ListParagraph"/>
        <w:numPr>
          <w:ilvl w:val="0"/>
          <w:numId w:val="26"/>
        </w:numPr>
      </w:pPr>
      <w:r>
        <w:t>Myalgia</w:t>
      </w:r>
    </w:p>
    <w:p w14:paraId="6EC96920" w14:textId="77777777" w:rsidR="00B87A44" w:rsidRDefault="00B87A44" w:rsidP="00B87A44">
      <w:pPr>
        <w:pStyle w:val="ListParagraph"/>
        <w:numPr>
          <w:ilvl w:val="0"/>
          <w:numId w:val="26"/>
        </w:numPr>
      </w:pPr>
      <w:r>
        <w:t>Arthralgia</w:t>
      </w:r>
    </w:p>
    <w:p w14:paraId="3FD2E823" w14:textId="77777777" w:rsidR="00B87A44" w:rsidRDefault="00B87A44" w:rsidP="00B87A44">
      <w:pPr>
        <w:pStyle w:val="ListParagraph"/>
        <w:numPr>
          <w:ilvl w:val="0"/>
          <w:numId w:val="26"/>
        </w:numPr>
      </w:pPr>
      <w:r>
        <w:t>Headache</w:t>
      </w:r>
    </w:p>
    <w:p w14:paraId="192055C4" w14:textId="77777777" w:rsidR="00B87A44" w:rsidRDefault="00B87A44" w:rsidP="00B87A44">
      <w:pPr>
        <w:pStyle w:val="ListParagraph"/>
        <w:numPr>
          <w:ilvl w:val="0"/>
          <w:numId w:val="26"/>
        </w:numPr>
      </w:pPr>
      <w:r>
        <w:t>Abdominal discomfort</w:t>
      </w:r>
    </w:p>
    <w:p w14:paraId="08870BE2" w14:textId="77777777" w:rsidR="00B87A44" w:rsidRDefault="00B87A44" w:rsidP="00B87A44">
      <w:pPr>
        <w:pStyle w:val="ListParagraph"/>
        <w:numPr>
          <w:ilvl w:val="0"/>
          <w:numId w:val="26"/>
        </w:numPr>
      </w:pPr>
      <w:r>
        <w:t>Fatigue</w:t>
      </w:r>
    </w:p>
    <w:p w14:paraId="3FDFA21C" w14:textId="3272C310" w:rsidR="00B87A44" w:rsidRDefault="00B87A44" w:rsidP="00B87A44">
      <w:r>
        <w:t xml:space="preserve">Following the initial stage, other symptoms such as fever </w:t>
      </w:r>
      <w:proofErr w:type="gramStart"/>
      <w:r>
        <w:t>( &gt;</w:t>
      </w:r>
      <w:proofErr w:type="gramEnd"/>
      <w:r>
        <w:t xml:space="preserve"> 37.5º</w:t>
      </w:r>
      <w:r w:rsidR="0072046B">
        <w:t>C</w:t>
      </w:r>
      <w:r>
        <w:t>), chills, anorexia, vomiting and increasing malaise may arise.</w:t>
      </w:r>
    </w:p>
    <w:p w14:paraId="015AF12E" w14:textId="77777777" w:rsidR="00B87A44" w:rsidRDefault="00B87A44" w:rsidP="00B87A44">
      <w:r>
        <w:t>Younger children may present with lethargy and refusal of feeds.</w:t>
      </w:r>
    </w:p>
    <w:p w14:paraId="18E31F7F" w14:textId="77777777" w:rsidR="00B87A44" w:rsidRDefault="00B87A44" w:rsidP="00B87A44">
      <w:r>
        <w:t xml:space="preserve">The following symptoms/signs, if present, allow for the diagnosis of </w:t>
      </w:r>
      <w:r w:rsidRPr="00C90592">
        <w:rPr>
          <w:b/>
        </w:rPr>
        <w:t>severe malaria</w:t>
      </w:r>
      <w:r>
        <w:t>.</w:t>
      </w:r>
    </w:p>
    <w:p w14:paraId="5C3BFDF0" w14:textId="77777777" w:rsidR="00B87A44" w:rsidRDefault="00B87A44" w:rsidP="00B87A44">
      <w:pPr>
        <w:pStyle w:val="ListParagraph"/>
        <w:numPr>
          <w:ilvl w:val="0"/>
          <w:numId w:val="25"/>
        </w:numPr>
      </w:pPr>
      <w:r>
        <w:t>Impaired consciousness: Glasgow coma score &lt; 11 in adults, Blantyre coma score &lt; 3 in children</w:t>
      </w:r>
    </w:p>
    <w:p w14:paraId="0489CB60" w14:textId="77777777" w:rsidR="00B87A44" w:rsidRPr="00AD1194" w:rsidRDefault="00B87A44" w:rsidP="00B87A4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40" w:line="300" w:lineRule="atLeast"/>
        <w:outlineLvl w:val="9"/>
        <w:rPr>
          <w:rFonts w:cs="Tahoma"/>
        </w:rPr>
      </w:pPr>
      <w:r w:rsidRPr="00AD1194">
        <w:rPr>
          <w:rFonts w:cs="Tahoma"/>
        </w:rPr>
        <w:t>Weakness such that the patient cannot walk or sit without help</w:t>
      </w:r>
    </w:p>
    <w:p w14:paraId="354BE250" w14:textId="1B7B517C" w:rsidR="00B87A44" w:rsidRPr="008D13C9" w:rsidRDefault="00B87A44" w:rsidP="00B87A44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240" w:line="300" w:lineRule="atLeast"/>
        <w:outlineLvl w:val="9"/>
        <w:rPr>
          <w:rFonts w:cs="Tahoma"/>
        </w:rPr>
      </w:pPr>
      <w:r w:rsidRPr="00AD1194">
        <w:rPr>
          <w:rFonts w:cs="Tahoma"/>
        </w:rPr>
        <w:t xml:space="preserve">In a young child, failure to feed </w:t>
      </w:r>
    </w:p>
    <w:p w14:paraId="3B35F8FF" w14:textId="77777777" w:rsidR="00B87A44" w:rsidRDefault="00B87A44" w:rsidP="00B87A44">
      <w:pPr>
        <w:pStyle w:val="ListParagraph"/>
        <w:numPr>
          <w:ilvl w:val="0"/>
          <w:numId w:val="25"/>
        </w:numPr>
      </w:pPr>
      <w:r>
        <w:t>Convulsions: more than 2 episodes in 24 hours</w:t>
      </w:r>
    </w:p>
    <w:p w14:paraId="209E11A0" w14:textId="77777777" w:rsidR="00B87A44" w:rsidRDefault="00B87A44" w:rsidP="00B87A44">
      <w:pPr>
        <w:pStyle w:val="ListParagraph"/>
        <w:numPr>
          <w:ilvl w:val="0"/>
          <w:numId w:val="25"/>
        </w:numPr>
      </w:pPr>
      <w:r>
        <w:t>Respiratory distress</w:t>
      </w:r>
    </w:p>
    <w:p w14:paraId="6B16E96F" w14:textId="77777777" w:rsidR="00B87A44" w:rsidRDefault="00B87A44" w:rsidP="00B87A44">
      <w:pPr>
        <w:pStyle w:val="ListParagraph"/>
        <w:numPr>
          <w:ilvl w:val="0"/>
          <w:numId w:val="25"/>
        </w:numPr>
      </w:pPr>
      <w:r>
        <w:t>Shock</w:t>
      </w:r>
    </w:p>
    <w:p w14:paraId="69063E02" w14:textId="77777777" w:rsidR="00B87A44" w:rsidRDefault="00B87A44" w:rsidP="00B87A44">
      <w:pPr>
        <w:pStyle w:val="ListParagraph"/>
        <w:numPr>
          <w:ilvl w:val="0"/>
          <w:numId w:val="25"/>
        </w:numPr>
      </w:pPr>
      <w:r>
        <w:t>Jaundice</w:t>
      </w:r>
    </w:p>
    <w:p w14:paraId="2F85C824" w14:textId="77777777" w:rsidR="00B87A44" w:rsidRDefault="00B87A44" w:rsidP="00B87A44">
      <w:pPr>
        <w:pStyle w:val="ListParagraph"/>
        <w:numPr>
          <w:ilvl w:val="0"/>
          <w:numId w:val="25"/>
        </w:numPr>
      </w:pPr>
      <w:r>
        <w:t>Hematuria</w:t>
      </w:r>
    </w:p>
    <w:p w14:paraId="3A5BD8C2" w14:textId="77777777" w:rsidR="00B87A44" w:rsidRDefault="00B87A44" w:rsidP="00B87A44">
      <w:pPr>
        <w:pStyle w:val="ListParagraph"/>
        <w:numPr>
          <w:ilvl w:val="0"/>
          <w:numId w:val="25"/>
        </w:numPr>
      </w:pPr>
      <w:r>
        <w:t>Spontaneous bleeding</w:t>
      </w:r>
    </w:p>
    <w:p w14:paraId="70974F7C" w14:textId="08101EDC" w:rsidR="00B87A44" w:rsidRDefault="00B87A44" w:rsidP="00B87A44">
      <w:pPr>
        <w:pStyle w:val="ListParagraph"/>
        <w:numPr>
          <w:ilvl w:val="0"/>
          <w:numId w:val="25"/>
        </w:numPr>
      </w:pPr>
      <w:r>
        <w:t xml:space="preserve">Pulmonary </w:t>
      </w:r>
      <w:proofErr w:type="spellStart"/>
      <w:r>
        <w:t>oedema</w:t>
      </w:r>
      <w:proofErr w:type="spellEnd"/>
      <w:r>
        <w:t xml:space="preserve">: oxygen saturation of &lt; 92% with a respiratory rate of &gt; 30 </w:t>
      </w:r>
      <w:r w:rsidR="00A4597C">
        <w:t>/</w:t>
      </w:r>
      <w:r>
        <w:t>m</w:t>
      </w:r>
      <w:r w:rsidR="00A4597C">
        <w:t>inute</w:t>
      </w:r>
      <w:r>
        <w:t xml:space="preserve"> or confirmed radiologically </w:t>
      </w:r>
    </w:p>
    <w:p w14:paraId="77D12D0C" w14:textId="77777777" w:rsidR="00B87A44" w:rsidRDefault="00B87A44" w:rsidP="00B87A44">
      <w:pPr>
        <w:pStyle w:val="ListParagraph"/>
        <w:numPr>
          <w:ilvl w:val="0"/>
          <w:numId w:val="25"/>
        </w:numPr>
      </w:pPr>
      <w:r>
        <w:t>Hypoglycemia: blood glucose &lt; 2.2 mmol/l</w:t>
      </w:r>
    </w:p>
    <w:p w14:paraId="2EBA1FDE" w14:textId="77777777" w:rsidR="00B87A44" w:rsidRDefault="00B87A44" w:rsidP="00B87A44">
      <w:pPr>
        <w:pStyle w:val="ListParagraph"/>
        <w:numPr>
          <w:ilvl w:val="0"/>
          <w:numId w:val="25"/>
        </w:numPr>
      </w:pPr>
      <w:r>
        <w:t xml:space="preserve">Severe </w:t>
      </w:r>
      <w:proofErr w:type="spellStart"/>
      <w:r>
        <w:t>anaemia</w:t>
      </w:r>
      <w:proofErr w:type="spellEnd"/>
      <w:r>
        <w:t>: Hb &lt; 5 g/dl or PCV &lt; 15%</w:t>
      </w:r>
    </w:p>
    <w:p w14:paraId="356560E4" w14:textId="77777777" w:rsidR="00B87A44" w:rsidRDefault="00B87A44" w:rsidP="00B87A44">
      <w:pPr>
        <w:pStyle w:val="ListParagraph"/>
        <w:numPr>
          <w:ilvl w:val="0"/>
          <w:numId w:val="25"/>
        </w:numPr>
      </w:pPr>
      <w:r>
        <w:t>Persistent vomiting</w:t>
      </w:r>
    </w:p>
    <w:p w14:paraId="0D42CB1F" w14:textId="77777777" w:rsidR="00B87A44" w:rsidRDefault="00B87A44" w:rsidP="00B87A44">
      <w:pPr>
        <w:pStyle w:val="ListParagraph"/>
        <w:numPr>
          <w:ilvl w:val="0"/>
          <w:numId w:val="25"/>
        </w:numPr>
      </w:pPr>
      <w:proofErr w:type="spellStart"/>
      <w:r>
        <w:t>Hyperparasitaemia</w:t>
      </w:r>
      <w:proofErr w:type="spellEnd"/>
      <w:r>
        <w:t>: Malaria smear &gt; 100/l</w:t>
      </w:r>
    </w:p>
    <w:p w14:paraId="567711E4" w14:textId="77777777" w:rsidR="00B87A44" w:rsidRDefault="00B87A44" w:rsidP="00B87A44">
      <w:pPr>
        <w:pStyle w:val="ListParagraph"/>
        <w:numPr>
          <w:ilvl w:val="0"/>
          <w:numId w:val="25"/>
        </w:numPr>
      </w:pPr>
      <w:r>
        <w:t>Renal impairment: serum creatinine &gt; 265 µmol/l or blood urea &gt;20 mmol/l</w:t>
      </w:r>
    </w:p>
    <w:p w14:paraId="30F6496C" w14:textId="3F5176C1" w:rsidR="00B87A44" w:rsidRPr="00DC590C" w:rsidRDefault="00B87A44" w:rsidP="00B87A44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Examination findings</w:t>
      </w:r>
    </w:p>
    <w:p w14:paraId="7C92EA79" w14:textId="0FDF53BA" w:rsidR="00B87A44" w:rsidRPr="00A92D4E" w:rsidRDefault="00B87A44" w:rsidP="005D390E">
      <w:r>
        <w:t xml:space="preserve">General examination: </w:t>
      </w:r>
      <w:r w:rsidRPr="00A92D4E">
        <w:t>Fever, Pallor</w:t>
      </w:r>
    </w:p>
    <w:p w14:paraId="6F5F1817" w14:textId="247694F1" w:rsidR="00B87A44" w:rsidRPr="000858DA" w:rsidRDefault="00B87A44" w:rsidP="007A7E8E">
      <w:r>
        <w:t>Central Nervous system: coma score and orientation (especially important in cases of severe malaria)</w:t>
      </w:r>
      <w:r w:rsidR="007A7E8E">
        <w:t>.</w:t>
      </w:r>
    </w:p>
    <w:p w14:paraId="2E2C114F" w14:textId="77777777" w:rsidR="00B87A44" w:rsidRPr="00CC3CF5" w:rsidRDefault="00B87A44" w:rsidP="00B87A44">
      <w:pPr>
        <w:pStyle w:val="Heading3"/>
        <w:rPr>
          <w:rFonts w:cs="Arial"/>
          <w:szCs w:val="22"/>
        </w:rPr>
      </w:pPr>
      <w:r w:rsidRPr="00CC3CF5">
        <w:rPr>
          <w:rFonts w:cs="Arial"/>
          <w:szCs w:val="22"/>
        </w:rPr>
        <w:t xml:space="preserve">Important things to look for </w:t>
      </w:r>
    </w:p>
    <w:p w14:paraId="6BA0CD5A" w14:textId="77777777" w:rsidR="00B87A44" w:rsidRPr="00CC3CF5" w:rsidRDefault="00B87A44" w:rsidP="00B87A44">
      <w:pPr>
        <w:pStyle w:val="Heading2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Any symptom or sign indicative of severe malaria should be looked for to ensure early treatment.</w:t>
      </w:r>
    </w:p>
    <w:p w14:paraId="2892AA58" w14:textId="77777777" w:rsidR="00F357A9" w:rsidRDefault="00F357A9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12F2E4BE" w14:textId="61C39E09" w:rsidR="00B87A44" w:rsidRDefault="00B87A44" w:rsidP="00B87A44">
      <w:pPr>
        <w:pStyle w:val="Heading2"/>
        <w:rPr>
          <w:rFonts w:cs="Arial"/>
          <w:szCs w:val="22"/>
        </w:rPr>
      </w:pPr>
      <w:r w:rsidRPr="003C0800">
        <w:rPr>
          <w:rFonts w:cs="Arial"/>
          <w:szCs w:val="22"/>
        </w:rPr>
        <w:lastRenderedPageBreak/>
        <w:t>Differential diagnoses</w:t>
      </w:r>
    </w:p>
    <w:p w14:paraId="0B3E07FF" w14:textId="77777777" w:rsidR="00B87A44" w:rsidRPr="00C90592" w:rsidRDefault="00B87A44" w:rsidP="00B87A44">
      <w:pPr>
        <w:rPr>
          <w:rFonts w:ascii="Tahoma" w:hAnsi="Tahoma"/>
          <w:sz w:val="24"/>
        </w:rPr>
      </w:pPr>
      <w:r>
        <w:t>Not all fever is malaria. The list of differential diagnoses is long and includes:</w:t>
      </w:r>
    </w:p>
    <w:p w14:paraId="65C5733D" w14:textId="77777777" w:rsidR="00B87A44" w:rsidRPr="00992FAA" w:rsidRDefault="00B87A44" w:rsidP="00B87A44">
      <w:pPr>
        <w:pStyle w:val="ListParagraph"/>
        <w:numPr>
          <w:ilvl w:val="0"/>
          <w:numId w:val="28"/>
        </w:numPr>
        <w:rPr>
          <w:lang w:eastAsia="en-GB"/>
        </w:rPr>
      </w:pPr>
      <w:proofErr w:type="spellStart"/>
      <w:r w:rsidRPr="00992FAA">
        <w:rPr>
          <w:lang w:eastAsia="en-GB"/>
        </w:rPr>
        <w:t>Bacter</w:t>
      </w:r>
      <w:r>
        <w:rPr>
          <w:lang w:eastAsia="en-GB"/>
        </w:rPr>
        <w:t>a</w:t>
      </w:r>
      <w:r w:rsidRPr="00992FAA">
        <w:rPr>
          <w:lang w:eastAsia="en-GB"/>
        </w:rPr>
        <w:t>emia</w:t>
      </w:r>
      <w:proofErr w:type="spellEnd"/>
      <w:r>
        <w:rPr>
          <w:lang w:eastAsia="en-GB"/>
        </w:rPr>
        <w:t xml:space="preserve"> from any cause</w:t>
      </w:r>
    </w:p>
    <w:p w14:paraId="62E2CE70" w14:textId="77777777" w:rsidR="00B87A44" w:rsidRPr="00992FAA" w:rsidRDefault="00B87A44" w:rsidP="00B87A44">
      <w:pPr>
        <w:pStyle w:val="ListParagraph"/>
        <w:numPr>
          <w:ilvl w:val="0"/>
          <w:numId w:val="28"/>
        </w:numPr>
        <w:rPr>
          <w:lang w:eastAsia="en-GB"/>
        </w:rPr>
      </w:pPr>
      <w:r w:rsidRPr="00992FAA">
        <w:rPr>
          <w:lang w:eastAsia="en-GB"/>
        </w:rPr>
        <w:t>African trypanosomiasis</w:t>
      </w:r>
    </w:p>
    <w:p w14:paraId="32169261" w14:textId="77777777" w:rsidR="00B87A44" w:rsidRPr="00992FAA" w:rsidRDefault="00B87A44" w:rsidP="00B87A44">
      <w:pPr>
        <w:pStyle w:val="ListParagraph"/>
        <w:numPr>
          <w:ilvl w:val="0"/>
          <w:numId w:val="28"/>
        </w:numPr>
        <w:rPr>
          <w:lang w:eastAsia="en-GB"/>
        </w:rPr>
      </w:pPr>
      <w:r w:rsidRPr="00992FAA">
        <w:rPr>
          <w:lang w:eastAsia="en-GB"/>
        </w:rPr>
        <w:t>Am</w:t>
      </w:r>
      <w:r>
        <w:rPr>
          <w:lang w:eastAsia="en-GB"/>
        </w:rPr>
        <w:t>o</w:t>
      </w:r>
      <w:r w:rsidRPr="00992FAA">
        <w:rPr>
          <w:lang w:eastAsia="en-GB"/>
        </w:rPr>
        <w:t>ebiasis and am</w:t>
      </w:r>
      <w:r>
        <w:rPr>
          <w:lang w:eastAsia="en-GB"/>
        </w:rPr>
        <w:t>o</w:t>
      </w:r>
      <w:r w:rsidRPr="00992FAA">
        <w:rPr>
          <w:lang w:eastAsia="en-GB"/>
        </w:rPr>
        <w:t>ebic liver abscess</w:t>
      </w:r>
    </w:p>
    <w:p w14:paraId="26FA5819" w14:textId="77777777" w:rsidR="00B87A44" w:rsidRPr="00992FAA" w:rsidRDefault="00B87A44" w:rsidP="00B87A44">
      <w:pPr>
        <w:pStyle w:val="ListParagraph"/>
        <w:numPr>
          <w:ilvl w:val="0"/>
          <w:numId w:val="28"/>
        </w:numPr>
        <w:rPr>
          <w:lang w:eastAsia="en-GB"/>
        </w:rPr>
      </w:pPr>
      <w:r w:rsidRPr="00992FAA">
        <w:rPr>
          <w:lang w:eastAsia="en-GB"/>
        </w:rPr>
        <w:t>Enteric fever</w:t>
      </w:r>
    </w:p>
    <w:p w14:paraId="6D128E25" w14:textId="77777777" w:rsidR="00B87A44" w:rsidRPr="00992FAA" w:rsidRDefault="00B87A44" w:rsidP="00B87A44">
      <w:pPr>
        <w:pStyle w:val="ListParagraph"/>
        <w:numPr>
          <w:ilvl w:val="0"/>
          <w:numId w:val="28"/>
        </w:numPr>
        <w:rPr>
          <w:lang w:eastAsia="en-GB"/>
        </w:rPr>
      </w:pPr>
      <w:r>
        <w:rPr>
          <w:lang w:eastAsia="en-GB"/>
        </w:rPr>
        <w:t>V</w:t>
      </w:r>
      <w:r w:rsidRPr="00992FAA">
        <w:rPr>
          <w:lang w:eastAsia="en-GB"/>
        </w:rPr>
        <w:t xml:space="preserve">iral </w:t>
      </w:r>
      <w:proofErr w:type="spellStart"/>
      <w:r w:rsidRPr="00992FAA">
        <w:rPr>
          <w:lang w:eastAsia="en-GB"/>
        </w:rPr>
        <w:t>h</w:t>
      </w:r>
      <w:r>
        <w:rPr>
          <w:lang w:eastAsia="en-GB"/>
        </w:rPr>
        <w:t>a</w:t>
      </w:r>
      <w:r w:rsidRPr="00992FAA">
        <w:rPr>
          <w:lang w:eastAsia="en-GB"/>
        </w:rPr>
        <w:t>emorrhagic</w:t>
      </w:r>
      <w:proofErr w:type="spellEnd"/>
      <w:r w:rsidRPr="00992FAA">
        <w:rPr>
          <w:lang w:eastAsia="en-GB"/>
        </w:rPr>
        <w:t xml:space="preserve"> fevers</w:t>
      </w:r>
    </w:p>
    <w:p w14:paraId="7BE42430" w14:textId="56475B85" w:rsidR="00B87A44" w:rsidRPr="00992FAA" w:rsidRDefault="00B87A44" w:rsidP="00B87A44">
      <w:pPr>
        <w:pStyle w:val="ListParagraph"/>
        <w:numPr>
          <w:ilvl w:val="0"/>
          <w:numId w:val="28"/>
        </w:numPr>
        <w:rPr>
          <w:lang w:eastAsia="en-GB"/>
        </w:rPr>
      </w:pPr>
      <w:r w:rsidRPr="00992FAA">
        <w:rPr>
          <w:lang w:eastAsia="en-GB"/>
        </w:rPr>
        <w:t xml:space="preserve">Dengue </w:t>
      </w:r>
      <w:r w:rsidR="007A7E8E">
        <w:rPr>
          <w:lang w:eastAsia="en-GB"/>
        </w:rPr>
        <w:t>f</w:t>
      </w:r>
      <w:r w:rsidRPr="00992FAA">
        <w:rPr>
          <w:lang w:eastAsia="en-GB"/>
        </w:rPr>
        <w:t>ever</w:t>
      </w:r>
    </w:p>
    <w:p w14:paraId="7A4D444A" w14:textId="77777777" w:rsidR="00B87A44" w:rsidRPr="00992FAA" w:rsidRDefault="00B87A44" w:rsidP="00B87A44">
      <w:pPr>
        <w:pStyle w:val="ListParagraph"/>
        <w:numPr>
          <w:ilvl w:val="0"/>
          <w:numId w:val="28"/>
        </w:numPr>
        <w:rPr>
          <w:lang w:eastAsia="en-GB"/>
        </w:rPr>
      </w:pPr>
      <w:r w:rsidRPr="00992FAA">
        <w:rPr>
          <w:lang w:eastAsia="en-GB"/>
        </w:rPr>
        <w:t>Encephalitis</w:t>
      </w:r>
    </w:p>
    <w:p w14:paraId="0141B8A8" w14:textId="77777777" w:rsidR="00B87A44" w:rsidRPr="00F90B5F" w:rsidRDefault="00B87A44" w:rsidP="00B87A44">
      <w:pPr>
        <w:pStyle w:val="ListParagraph"/>
        <w:numPr>
          <w:ilvl w:val="0"/>
          <w:numId w:val="28"/>
        </w:numPr>
        <w:rPr>
          <w:lang w:eastAsia="en-GB"/>
        </w:rPr>
      </w:pPr>
      <w:r w:rsidRPr="00F90B5F">
        <w:rPr>
          <w:lang w:eastAsia="en-GB"/>
        </w:rPr>
        <w:t>Hepatitis</w:t>
      </w:r>
    </w:p>
    <w:p w14:paraId="5155BC8D" w14:textId="77777777" w:rsidR="00B87A44" w:rsidRDefault="00B87A44" w:rsidP="00B87A44">
      <w:pPr>
        <w:pStyle w:val="Heading2"/>
        <w:rPr>
          <w:rFonts w:cs="Arial"/>
          <w:szCs w:val="22"/>
        </w:rPr>
      </w:pPr>
      <w:r w:rsidRPr="003C0800">
        <w:rPr>
          <w:rFonts w:cs="Arial"/>
          <w:szCs w:val="22"/>
        </w:rPr>
        <w:t>Investigations</w:t>
      </w:r>
    </w:p>
    <w:p w14:paraId="612F5DEA" w14:textId="77777777" w:rsidR="00B87A44" w:rsidRDefault="00B87A44" w:rsidP="00B87A44">
      <w:r>
        <w:t>Rapid diagnostic test (RDT).</w:t>
      </w:r>
    </w:p>
    <w:p w14:paraId="7132C680" w14:textId="77777777" w:rsidR="00B87A44" w:rsidRDefault="00B87A44" w:rsidP="00B87A44">
      <w:r>
        <w:t>Malaria microscopy smear (Blood film):</w:t>
      </w:r>
    </w:p>
    <w:p w14:paraId="43F61D4D" w14:textId="77777777" w:rsidR="00B87A44" w:rsidRDefault="00B87A44" w:rsidP="00B87A44">
      <w:pPr>
        <w:pStyle w:val="ListParagraph"/>
        <w:numPr>
          <w:ilvl w:val="0"/>
          <w:numId w:val="30"/>
        </w:numPr>
      </w:pPr>
      <w:r>
        <w:t xml:space="preserve">if no RDT available or </w:t>
      </w:r>
    </w:p>
    <w:p w14:paraId="53CEF61A" w14:textId="77777777" w:rsidR="00B87A44" w:rsidRDefault="00B87A44" w:rsidP="00B87A44">
      <w:pPr>
        <w:pStyle w:val="ListParagraph"/>
        <w:numPr>
          <w:ilvl w:val="0"/>
          <w:numId w:val="30"/>
        </w:numPr>
      </w:pPr>
      <w:r>
        <w:t>if the patient was treated for malaria within the last 2 weeks (the RDT will still be positive from the last infection).</w:t>
      </w:r>
    </w:p>
    <w:p w14:paraId="45C42933" w14:textId="77777777" w:rsidR="00B87A44" w:rsidRDefault="00B87A44" w:rsidP="00B87A44">
      <w:r>
        <w:t>Blood glucose.</w:t>
      </w:r>
    </w:p>
    <w:p w14:paraId="116D56A2" w14:textId="77777777" w:rsidR="00B87A44" w:rsidRDefault="00B87A44" w:rsidP="00B87A44">
      <w:r>
        <w:t>Hb or PCV (if patient is pale).</w:t>
      </w:r>
    </w:p>
    <w:p w14:paraId="2AA134CF" w14:textId="77777777" w:rsidR="00B87A44" w:rsidRDefault="00B87A44" w:rsidP="00B87A44">
      <w:r>
        <w:t>Liver function tests (should not be routinely requested unless clinically indicated).</w:t>
      </w:r>
    </w:p>
    <w:p w14:paraId="0573A645" w14:textId="77777777" w:rsidR="00B87A44" w:rsidRPr="004F4822" w:rsidRDefault="00B87A44" w:rsidP="00B87A44">
      <w:r>
        <w:t>Renal function tests (should not be routinely requested unless clinically indicated).</w:t>
      </w:r>
    </w:p>
    <w:p w14:paraId="40BE59F7" w14:textId="77777777" w:rsidR="00B87A44" w:rsidRDefault="00B87A44" w:rsidP="00B87A44">
      <w:pPr>
        <w:pStyle w:val="Heading2"/>
        <w:rPr>
          <w:rFonts w:cs="Arial"/>
          <w:szCs w:val="22"/>
        </w:rPr>
      </w:pPr>
      <w:r w:rsidRPr="003C0800">
        <w:rPr>
          <w:rFonts w:cs="Arial"/>
          <w:szCs w:val="22"/>
        </w:rPr>
        <w:t>Management</w:t>
      </w:r>
      <w:r>
        <w:rPr>
          <w:rFonts w:cs="Arial"/>
          <w:szCs w:val="22"/>
        </w:rPr>
        <w:t xml:space="preserve"> of malaria in gate clinic</w:t>
      </w:r>
    </w:p>
    <w:p w14:paraId="618E3BB6" w14:textId="77777777" w:rsidR="00B87A44" w:rsidRDefault="00B87A44" w:rsidP="00B87A44">
      <w:r w:rsidRPr="004E69C5">
        <w:t>Refer</w:t>
      </w:r>
      <w:r>
        <w:t xml:space="preserve"> the following patients to the doctor:</w:t>
      </w:r>
    </w:p>
    <w:p w14:paraId="28958CEF" w14:textId="77777777" w:rsidR="00B87A44" w:rsidRDefault="00B87A44" w:rsidP="00B87A44">
      <w:pPr>
        <w:pStyle w:val="ListParagraph"/>
        <w:numPr>
          <w:ilvl w:val="0"/>
          <w:numId w:val="31"/>
        </w:numPr>
      </w:pPr>
      <w:r>
        <w:t>Patients with any sign or symptom of severe malaria (</w:t>
      </w:r>
      <w:r w:rsidRPr="00BD679F">
        <w:t>call the doctor).</w:t>
      </w:r>
    </w:p>
    <w:p w14:paraId="0C4C822C" w14:textId="77777777" w:rsidR="00B87A44" w:rsidRDefault="00B87A44" w:rsidP="00B87A44">
      <w:pPr>
        <w:pStyle w:val="ListParagraph"/>
        <w:numPr>
          <w:ilvl w:val="0"/>
          <w:numId w:val="31"/>
        </w:numPr>
      </w:pPr>
      <w:r>
        <w:t>Babies under 5 kg.</w:t>
      </w:r>
    </w:p>
    <w:p w14:paraId="6E2A8130" w14:textId="77777777" w:rsidR="00B87A44" w:rsidRDefault="00B87A44" w:rsidP="00B87A44">
      <w:pPr>
        <w:pStyle w:val="ListParagraph"/>
        <w:numPr>
          <w:ilvl w:val="0"/>
          <w:numId w:val="31"/>
        </w:numPr>
      </w:pPr>
      <w:r>
        <w:t>Pregnant women in first trimester.</w:t>
      </w:r>
    </w:p>
    <w:p w14:paraId="6FAAF8E8" w14:textId="77777777" w:rsidR="00B87A44" w:rsidRDefault="00B87A44" w:rsidP="00B87A44">
      <w:pPr>
        <w:pStyle w:val="ListParagraph"/>
        <w:numPr>
          <w:ilvl w:val="0"/>
          <w:numId w:val="31"/>
        </w:numPr>
      </w:pPr>
      <w:r>
        <w:t>Patients who were treated in the last 2 weeks and have a positive malaria smear.</w:t>
      </w:r>
    </w:p>
    <w:p w14:paraId="0D1BE0D5" w14:textId="77777777" w:rsidR="00B87A44" w:rsidRPr="00434CF0" w:rsidRDefault="00B87A44" w:rsidP="00B87A44">
      <w:pPr>
        <w:rPr>
          <w:szCs w:val="22"/>
        </w:rPr>
      </w:pPr>
      <w:r w:rsidRPr="00434CF0">
        <w:rPr>
          <w:szCs w:val="22"/>
        </w:rPr>
        <w:t>All other patients can be treated in Gate clinic.</w:t>
      </w:r>
    </w:p>
    <w:p w14:paraId="018D0B4C" w14:textId="77777777" w:rsidR="00B87A44" w:rsidRDefault="00B87A44" w:rsidP="00B87A44">
      <w:pPr>
        <w:rPr>
          <w:szCs w:val="22"/>
        </w:rPr>
      </w:pPr>
      <w:r w:rsidRPr="00434CF0">
        <w:rPr>
          <w:szCs w:val="22"/>
        </w:rPr>
        <w:t>Co-</w:t>
      </w:r>
      <w:proofErr w:type="spellStart"/>
      <w:r w:rsidRPr="00434CF0">
        <w:rPr>
          <w:szCs w:val="22"/>
        </w:rPr>
        <w:t>artem</w:t>
      </w:r>
      <w:proofErr w:type="spellEnd"/>
      <w:r w:rsidRPr="00434CF0">
        <w:rPr>
          <w:szCs w:val="22"/>
        </w:rPr>
        <w:t xml:space="preserve"> is given in 6 doses based on body weight. Give first dose under supervision. Repeat after an anti-emetic if it is vomited. Advise patient to take second dose 8 hours later after food and to continue taking subsequent doses morning and evening.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325"/>
        <w:gridCol w:w="3325"/>
      </w:tblGrid>
      <w:tr w:rsidR="00B87A44" w:rsidRPr="00B92BFE" w14:paraId="3D6E9A8D" w14:textId="77777777" w:rsidTr="00724FCD">
        <w:tc>
          <w:tcPr>
            <w:tcW w:w="1980" w:type="dxa"/>
          </w:tcPr>
          <w:p w14:paraId="13BDFFAD" w14:textId="77777777" w:rsidR="00B87A44" w:rsidRPr="00B92BFE" w:rsidRDefault="00B87A44" w:rsidP="00724FCD">
            <w:pPr>
              <w:rPr>
                <w:b/>
                <w:szCs w:val="22"/>
              </w:rPr>
            </w:pPr>
            <w:r w:rsidRPr="00B92BFE">
              <w:rPr>
                <w:b/>
              </w:rPr>
              <w:t>Weight in Kg</w:t>
            </w:r>
          </w:p>
        </w:tc>
        <w:tc>
          <w:tcPr>
            <w:tcW w:w="3325" w:type="dxa"/>
          </w:tcPr>
          <w:p w14:paraId="7B065B09" w14:textId="77777777" w:rsidR="00B87A44" w:rsidRPr="00B92BFE" w:rsidRDefault="00B87A44" w:rsidP="00724FCD">
            <w:pPr>
              <w:rPr>
                <w:b/>
                <w:szCs w:val="22"/>
              </w:rPr>
            </w:pPr>
            <w:r w:rsidRPr="00B92BFE">
              <w:rPr>
                <w:b/>
              </w:rPr>
              <w:t xml:space="preserve">Dose </w:t>
            </w:r>
          </w:p>
        </w:tc>
        <w:tc>
          <w:tcPr>
            <w:tcW w:w="3325" w:type="dxa"/>
          </w:tcPr>
          <w:p w14:paraId="3DDF5FE5" w14:textId="77777777" w:rsidR="00B87A44" w:rsidRPr="00B92BFE" w:rsidRDefault="00B87A44" w:rsidP="00724FCD">
            <w:pPr>
              <w:rPr>
                <w:b/>
                <w:szCs w:val="22"/>
              </w:rPr>
            </w:pPr>
            <w:r w:rsidRPr="00B92BFE">
              <w:rPr>
                <w:b/>
              </w:rPr>
              <w:t>Number of tablets</w:t>
            </w:r>
          </w:p>
        </w:tc>
      </w:tr>
      <w:tr w:rsidR="00B87A44" w14:paraId="195ADF4B" w14:textId="77777777" w:rsidTr="00724FCD">
        <w:tc>
          <w:tcPr>
            <w:tcW w:w="1980" w:type="dxa"/>
          </w:tcPr>
          <w:p w14:paraId="572BDC34" w14:textId="77777777" w:rsidR="00B87A44" w:rsidRPr="00B92BFE" w:rsidRDefault="00B87A44" w:rsidP="00724FCD">
            <w:pPr>
              <w:jc w:val="center"/>
              <w:rPr>
                <w:i/>
                <w:szCs w:val="22"/>
              </w:rPr>
            </w:pPr>
            <w:r w:rsidRPr="00B92BFE">
              <w:t>5 to</w:t>
            </w:r>
            <w:r>
              <w:t xml:space="preserve"> </w:t>
            </w:r>
            <w:r w:rsidRPr="00B92BFE">
              <w:t>&lt;</w:t>
            </w:r>
            <w:r>
              <w:t xml:space="preserve"> </w:t>
            </w:r>
            <w:r w:rsidRPr="00B92BFE">
              <w:t>15</w:t>
            </w:r>
          </w:p>
        </w:tc>
        <w:tc>
          <w:tcPr>
            <w:tcW w:w="3325" w:type="dxa"/>
          </w:tcPr>
          <w:p w14:paraId="48AB8D95" w14:textId="77777777" w:rsidR="00B87A44" w:rsidRPr="00B92BFE" w:rsidRDefault="00B87A44" w:rsidP="00724FCD">
            <w:pPr>
              <w:jc w:val="center"/>
              <w:rPr>
                <w:szCs w:val="22"/>
              </w:rPr>
            </w:pPr>
            <w:r w:rsidRPr="00B92BFE">
              <w:t>20/120</w:t>
            </w:r>
          </w:p>
        </w:tc>
        <w:tc>
          <w:tcPr>
            <w:tcW w:w="3325" w:type="dxa"/>
          </w:tcPr>
          <w:p w14:paraId="78636D09" w14:textId="77777777" w:rsidR="00B87A44" w:rsidRPr="00B92BFE" w:rsidRDefault="00B87A44" w:rsidP="00724FCD">
            <w:pPr>
              <w:jc w:val="center"/>
              <w:rPr>
                <w:szCs w:val="22"/>
              </w:rPr>
            </w:pPr>
            <w:r w:rsidRPr="00B92BFE">
              <w:t>1</w:t>
            </w:r>
          </w:p>
        </w:tc>
      </w:tr>
      <w:tr w:rsidR="00B87A44" w14:paraId="3137E439" w14:textId="77777777" w:rsidTr="00724FCD">
        <w:tc>
          <w:tcPr>
            <w:tcW w:w="1980" w:type="dxa"/>
          </w:tcPr>
          <w:p w14:paraId="4E34FED0" w14:textId="77777777" w:rsidR="00B87A44" w:rsidRPr="00B92BFE" w:rsidRDefault="00B87A44" w:rsidP="00724FCD">
            <w:pPr>
              <w:jc w:val="center"/>
            </w:pPr>
            <w:r w:rsidRPr="00B92BFE">
              <w:t>15 to &lt;</w:t>
            </w:r>
            <w:r>
              <w:t xml:space="preserve"> </w:t>
            </w:r>
            <w:r w:rsidRPr="00B92BFE">
              <w:t>25</w:t>
            </w:r>
          </w:p>
        </w:tc>
        <w:tc>
          <w:tcPr>
            <w:tcW w:w="3325" w:type="dxa"/>
          </w:tcPr>
          <w:p w14:paraId="62203EBD" w14:textId="77777777" w:rsidR="00B87A44" w:rsidRPr="00B92BFE" w:rsidRDefault="00B87A44" w:rsidP="00724FCD">
            <w:pPr>
              <w:jc w:val="center"/>
            </w:pPr>
            <w:r w:rsidRPr="00B92BFE">
              <w:t>40/240</w:t>
            </w:r>
          </w:p>
        </w:tc>
        <w:tc>
          <w:tcPr>
            <w:tcW w:w="3325" w:type="dxa"/>
          </w:tcPr>
          <w:p w14:paraId="0A13B5F3" w14:textId="77777777" w:rsidR="00B87A44" w:rsidRPr="00B92BFE" w:rsidRDefault="00B87A44" w:rsidP="00724FCD">
            <w:pPr>
              <w:jc w:val="center"/>
            </w:pPr>
            <w:r w:rsidRPr="00B92BFE">
              <w:t>2</w:t>
            </w:r>
          </w:p>
        </w:tc>
      </w:tr>
      <w:tr w:rsidR="00B87A44" w14:paraId="7E0E3B33" w14:textId="77777777" w:rsidTr="00724FCD">
        <w:tc>
          <w:tcPr>
            <w:tcW w:w="1980" w:type="dxa"/>
          </w:tcPr>
          <w:p w14:paraId="483B3A58" w14:textId="77777777" w:rsidR="00B87A44" w:rsidRPr="00B92BFE" w:rsidRDefault="00B87A44" w:rsidP="00724FCD">
            <w:pPr>
              <w:jc w:val="center"/>
            </w:pPr>
            <w:r w:rsidRPr="00B92BFE">
              <w:t>25 to &lt;</w:t>
            </w:r>
            <w:r>
              <w:t xml:space="preserve"> </w:t>
            </w:r>
            <w:r w:rsidRPr="00B92BFE">
              <w:t>35</w:t>
            </w:r>
          </w:p>
        </w:tc>
        <w:tc>
          <w:tcPr>
            <w:tcW w:w="3325" w:type="dxa"/>
          </w:tcPr>
          <w:p w14:paraId="233A216E" w14:textId="77777777" w:rsidR="00B87A44" w:rsidRPr="00B92BFE" w:rsidRDefault="00B87A44" w:rsidP="00724FCD">
            <w:pPr>
              <w:jc w:val="center"/>
            </w:pPr>
            <w:r w:rsidRPr="00B92BFE">
              <w:t>60/360</w:t>
            </w:r>
          </w:p>
        </w:tc>
        <w:tc>
          <w:tcPr>
            <w:tcW w:w="3325" w:type="dxa"/>
          </w:tcPr>
          <w:p w14:paraId="08213C2D" w14:textId="77777777" w:rsidR="00B87A44" w:rsidRPr="00B92BFE" w:rsidRDefault="00B87A44" w:rsidP="00724FCD">
            <w:pPr>
              <w:jc w:val="center"/>
            </w:pPr>
            <w:r w:rsidRPr="00B92BFE">
              <w:t>3</w:t>
            </w:r>
          </w:p>
        </w:tc>
      </w:tr>
      <w:tr w:rsidR="00B87A44" w14:paraId="36FDBC04" w14:textId="77777777" w:rsidTr="00724FCD">
        <w:tc>
          <w:tcPr>
            <w:tcW w:w="1980" w:type="dxa"/>
          </w:tcPr>
          <w:p w14:paraId="0301FDDB" w14:textId="77777777" w:rsidR="00B87A44" w:rsidRPr="00B92BFE" w:rsidRDefault="00B87A44" w:rsidP="00724FCD">
            <w:pPr>
              <w:jc w:val="center"/>
              <w:rPr>
                <w:i/>
                <w:szCs w:val="22"/>
              </w:rPr>
            </w:pPr>
            <w:r w:rsidRPr="00B92BFE">
              <w:rPr>
                <w:rFonts w:cs="Tahoma"/>
              </w:rPr>
              <w:t>≥</w:t>
            </w:r>
            <w:r w:rsidRPr="00B92BFE">
              <w:t xml:space="preserve"> 35</w:t>
            </w:r>
          </w:p>
        </w:tc>
        <w:tc>
          <w:tcPr>
            <w:tcW w:w="3325" w:type="dxa"/>
          </w:tcPr>
          <w:p w14:paraId="7E746471" w14:textId="77777777" w:rsidR="00B87A44" w:rsidRPr="00B92BFE" w:rsidRDefault="00B87A44" w:rsidP="00724FCD">
            <w:pPr>
              <w:jc w:val="center"/>
              <w:rPr>
                <w:szCs w:val="22"/>
              </w:rPr>
            </w:pPr>
            <w:r w:rsidRPr="00B92BFE">
              <w:t>80/480</w:t>
            </w:r>
          </w:p>
        </w:tc>
        <w:tc>
          <w:tcPr>
            <w:tcW w:w="3325" w:type="dxa"/>
          </w:tcPr>
          <w:p w14:paraId="523E317F" w14:textId="77777777" w:rsidR="00B87A44" w:rsidRPr="00B92BFE" w:rsidRDefault="00B87A44" w:rsidP="00724FCD">
            <w:pPr>
              <w:jc w:val="center"/>
            </w:pPr>
            <w:r w:rsidRPr="00B92BFE">
              <w:t>4</w:t>
            </w:r>
          </w:p>
        </w:tc>
      </w:tr>
    </w:tbl>
    <w:p w14:paraId="3F22A7FD" w14:textId="77777777" w:rsidR="00B87A44" w:rsidRDefault="00B87A44" w:rsidP="00B87A44"/>
    <w:p w14:paraId="2F937A24" w14:textId="77777777" w:rsidR="00B87A44" w:rsidRDefault="00B87A44" w:rsidP="00B87A44">
      <w:r>
        <w:t>Give paracetamol for symptom relief.</w:t>
      </w:r>
    </w:p>
    <w:p w14:paraId="47C179C4" w14:textId="77777777" w:rsidR="00B87A44" w:rsidRDefault="00B87A44" w:rsidP="00B87A44">
      <w:pPr>
        <w:pStyle w:val="Heading2"/>
        <w:rPr>
          <w:rFonts w:cs="Arial"/>
          <w:szCs w:val="22"/>
        </w:rPr>
      </w:pPr>
      <w:r w:rsidRPr="003C0800">
        <w:rPr>
          <w:rFonts w:cs="Arial"/>
          <w:szCs w:val="22"/>
        </w:rPr>
        <w:lastRenderedPageBreak/>
        <w:t>Management</w:t>
      </w:r>
      <w:r>
        <w:rPr>
          <w:rFonts w:cs="Arial"/>
          <w:szCs w:val="22"/>
        </w:rPr>
        <w:t xml:space="preserve"> of malaria in OPD</w:t>
      </w:r>
    </w:p>
    <w:p w14:paraId="64692101" w14:textId="77777777" w:rsidR="00B87A44" w:rsidRDefault="00B87A44" w:rsidP="00B87A44">
      <w:pPr>
        <w:pStyle w:val="Heading3"/>
      </w:pPr>
      <w:r>
        <w:t>Uncomplicated malaria in special groups: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  <w:gridCol w:w="4320"/>
      </w:tblGrid>
      <w:tr w:rsidR="00B87A44" w:rsidRPr="0033459F" w14:paraId="31663689" w14:textId="77777777" w:rsidTr="00724FCD">
        <w:tc>
          <w:tcPr>
            <w:tcW w:w="4428" w:type="dxa"/>
          </w:tcPr>
          <w:p w14:paraId="3024042C" w14:textId="77777777" w:rsidR="00B87A44" w:rsidRPr="0033459F" w:rsidRDefault="00B87A44" w:rsidP="00724FCD">
            <w:pPr>
              <w:rPr>
                <w:b/>
              </w:rPr>
            </w:pPr>
            <w:r w:rsidRPr="0033459F">
              <w:rPr>
                <w:b/>
              </w:rPr>
              <w:t>Group</w:t>
            </w:r>
          </w:p>
        </w:tc>
        <w:tc>
          <w:tcPr>
            <w:tcW w:w="4428" w:type="dxa"/>
          </w:tcPr>
          <w:p w14:paraId="70C0D988" w14:textId="77777777" w:rsidR="00B87A44" w:rsidRPr="0033459F" w:rsidRDefault="00B87A44" w:rsidP="00724FCD">
            <w:pPr>
              <w:rPr>
                <w:b/>
              </w:rPr>
            </w:pPr>
            <w:r w:rsidRPr="0033459F">
              <w:rPr>
                <w:b/>
              </w:rPr>
              <w:t>Treatment</w:t>
            </w:r>
          </w:p>
        </w:tc>
      </w:tr>
      <w:tr w:rsidR="00B87A44" w14:paraId="53AAB03A" w14:textId="77777777" w:rsidTr="00724FCD">
        <w:tc>
          <w:tcPr>
            <w:tcW w:w="4428" w:type="dxa"/>
          </w:tcPr>
          <w:p w14:paraId="3946F0A0" w14:textId="77777777" w:rsidR="00B87A44" w:rsidRDefault="00B87A44" w:rsidP="00724FCD">
            <w:r>
              <w:t>Pregnant women (1</w:t>
            </w:r>
            <w:r w:rsidRPr="00F7332C">
              <w:rPr>
                <w:vertAlign w:val="superscript"/>
              </w:rPr>
              <w:t>st</w:t>
            </w:r>
            <w:r>
              <w:t xml:space="preserve"> trimester)</w:t>
            </w:r>
          </w:p>
        </w:tc>
        <w:tc>
          <w:tcPr>
            <w:tcW w:w="4428" w:type="dxa"/>
          </w:tcPr>
          <w:p w14:paraId="7189EF35" w14:textId="77777777" w:rsidR="00B87A44" w:rsidRDefault="00B87A44" w:rsidP="00724FCD">
            <w:r>
              <w:t>Oral quinine and clindamycin for 7 days</w:t>
            </w:r>
          </w:p>
        </w:tc>
      </w:tr>
      <w:tr w:rsidR="00B87A44" w14:paraId="3E374D08" w14:textId="77777777" w:rsidTr="00724FCD">
        <w:tc>
          <w:tcPr>
            <w:tcW w:w="4428" w:type="dxa"/>
          </w:tcPr>
          <w:p w14:paraId="5637712B" w14:textId="448D4057" w:rsidR="00B87A44" w:rsidRDefault="00B87A44" w:rsidP="00724FCD">
            <w:r>
              <w:t>Infants &lt; 5</w:t>
            </w:r>
            <w:r w:rsidR="00A4597C">
              <w:t xml:space="preserve"> </w:t>
            </w:r>
            <w:r>
              <w:t>kg</w:t>
            </w:r>
          </w:p>
        </w:tc>
        <w:tc>
          <w:tcPr>
            <w:tcW w:w="4428" w:type="dxa"/>
          </w:tcPr>
          <w:p w14:paraId="27FD5F21" w14:textId="77777777" w:rsidR="00B87A44" w:rsidRDefault="00B87A44" w:rsidP="00724FCD">
            <w:r>
              <w:t>Artemether / lumefantrine at 4 mg artemether / 24 mg lumefantrine /kg body weight</w:t>
            </w:r>
          </w:p>
        </w:tc>
      </w:tr>
      <w:tr w:rsidR="00B87A44" w14:paraId="5C6BE0DF" w14:textId="77777777" w:rsidTr="00724FCD">
        <w:tc>
          <w:tcPr>
            <w:tcW w:w="4428" w:type="dxa"/>
          </w:tcPr>
          <w:p w14:paraId="6A92EFCA" w14:textId="77777777" w:rsidR="00B87A44" w:rsidRDefault="00B87A44" w:rsidP="00724FCD">
            <w:r>
              <w:t xml:space="preserve">Non-immune </w:t>
            </w:r>
            <w:proofErr w:type="spellStart"/>
            <w:r>
              <w:t>travellers</w:t>
            </w:r>
            <w:proofErr w:type="spellEnd"/>
          </w:p>
        </w:tc>
        <w:tc>
          <w:tcPr>
            <w:tcW w:w="4428" w:type="dxa"/>
          </w:tcPr>
          <w:p w14:paraId="220607F4" w14:textId="77777777" w:rsidR="00B87A44" w:rsidRDefault="00B87A44" w:rsidP="00724FCD">
            <w:r>
              <w:t>Artemether / lumefantrine</w:t>
            </w:r>
          </w:p>
        </w:tc>
      </w:tr>
    </w:tbl>
    <w:p w14:paraId="319EC4EC" w14:textId="77777777" w:rsidR="00B87A44" w:rsidRDefault="00B87A44" w:rsidP="00B87A44"/>
    <w:p w14:paraId="32F55984" w14:textId="77777777" w:rsidR="00B87A44" w:rsidRDefault="00B87A44" w:rsidP="00B87A44">
      <w:pPr>
        <w:pStyle w:val="Heading3"/>
      </w:pPr>
      <w:r>
        <w:t xml:space="preserve">Uncomplicated </w:t>
      </w:r>
      <w:r w:rsidRPr="00915221">
        <w:rPr>
          <w:i/>
        </w:rPr>
        <w:t xml:space="preserve">P. </w:t>
      </w:r>
      <w:proofErr w:type="spellStart"/>
      <w:r w:rsidRPr="00915221">
        <w:rPr>
          <w:i/>
        </w:rPr>
        <w:t>ovale</w:t>
      </w:r>
      <w:proofErr w:type="spellEnd"/>
      <w:r w:rsidRPr="00915221">
        <w:rPr>
          <w:i/>
        </w:rPr>
        <w:t xml:space="preserve">, P. </w:t>
      </w:r>
      <w:proofErr w:type="spellStart"/>
      <w:r w:rsidRPr="00915221">
        <w:rPr>
          <w:i/>
        </w:rPr>
        <w:t>malariae</w:t>
      </w:r>
      <w:proofErr w:type="spellEnd"/>
      <w:r w:rsidRPr="00915221">
        <w:rPr>
          <w:i/>
        </w:rPr>
        <w:t>, P. vivax</w:t>
      </w:r>
      <w:r>
        <w:t xml:space="preserve"> malaria</w:t>
      </w:r>
    </w:p>
    <w:p w14:paraId="0977F73F" w14:textId="678E8628" w:rsidR="00B87A44" w:rsidRDefault="00B87A44" w:rsidP="00B87A44">
      <w:r>
        <w:t xml:space="preserve">Treat as for </w:t>
      </w:r>
      <w:r w:rsidRPr="00C90592">
        <w:rPr>
          <w:i/>
        </w:rPr>
        <w:t>P. falciparum</w:t>
      </w:r>
      <w:r>
        <w:t xml:space="preserve"> malaria with </w:t>
      </w:r>
      <w:r w:rsidR="00AC2333">
        <w:t>co-</w:t>
      </w:r>
      <w:proofErr w:type="spellStart"/>
      <w:r w:rsidR="00AC2333">
        <w:t>artem</w:t>
      </w:r>
      <w:proofErr w:type="spellEnd"/>
      <w:r>
        <w:t xml:space="preserve">. Add primaquine to eliminate hypnozoites if confirmed to have </w:t>
      </w:r>
      <w:r w:rsidRPr="00C90592">
        <w:rPr>
          <w:i/>
        </w:rPr>
        <w:t xml:space="preserve">P. </w:t>
      </w:r>
      <w:proofErr w:type="spellStart"/>
      <w:r w:rsidRPr="00C90592">
        <w:rPr>
          <w:i/>
        </w:rPr>
        <w:t>ovale</w:t>
      </w:r>
      <w:proofErr w:type="spellEnd"/>
      <w:r>
        <w:t xml:space="preserve"> or </w:t>
      </w:r>
      <w:r w:rsidRPr="00C90592">
        <w:rPr>
          <w:i/>
        </w:rPr>
        <w:t>P</w:t>
      </w:r>
      <w:r>
        <w:rPr>
          <w:i/>
        </w:rPr>
        <w:t>.</w:t>
      </w:r>
      <w:r w:rsidRPr="00C90592">
        <w:rPr>
          <w:i/>
        </w:rPr>
        <w:t xml:space="preserve"> vivax</w:t>
      </w:r>
      <w:r>
        <w:t>.</w:t>
      </w:r>
    </w:p>
    <w:p w14:paraId="5A54DAA4" w14:textId="77777777" w:rsidR="00B87A44" w:rsidRDefault="00B87A44" w:rsidP="00B87A44">
      <w:pPr>
        <w:pStyle w:val="Heading2"/>
      </w:pPr>
      <w:r>
        <w:t>Management of severe malaria on the ward</w:t>
      </w:r>
    </w:p>
    <w:p w14:paraId="0454AC9C" w14:textId="77777777" w:rsidR="00B87A44" w:rsidRDefault="00B87A44" w:rsidP="00B87A44">
      <w:r>
        <w:t>The drug of choice for severe malaria is parenteral artesunate. If not available, consider parenteral artemether or quinine.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2"/>
        <w:gridCol w:w="5748"/>
      </w:tblGrid>
      <w:tr w:rsidR="00B87A44" w:rsidRPr="00C5510B" w14:paraId="36081461" w14:textId="77777777" w:rsidTr="00724FCD">
        <w:tc>
          <w:tcPr>
            <w:tcW w:w="2943" w:type="dxa"/>
          </w:tcPr>
          <w:p w14:paraId="3F6E86C8" w14:textId="77777777" w:rsidR="00B87A44" w:rsidRPr="00C5510B" w:rsidRDefault="00B87A44" w:rsidP="00724FCD">
            <w:pPr>
              <w:rPr>
                <w:b/>
              </w:rPr>
            </w:pPr>
            <w:r w:rsidRPr="00C5510B">
              <w:rPr>
                <w:b/>
              </w:rPr>
              <w:t xml:space="preserve">Drug </w:t>
            </w:r>
          </w:p>
        </w:tc>
        <w:tc>
          <w:tcPr>
            <w:tcW w:w="5913" w:type="dxa"/>
          </w:tcPr>
          <w:p w14:paraId="0E3583A5" w14:textId="77777777" w:rsidR="00B87A44" w:rsidRPr="00C5510B" w:rsidRDefault="00B87A44" w:rsidP="00724FCD">
            <w:pPr>
              <w:rPr>
                <w:b/>
              </w:rPr>
            </w:pPr>
            <w:r w:rsidRPr="00C5510B">
              <w:rPr>
                <w:b/>
              </w:rPr>
              <w:t xml:space="preserve">Dosage </w:t>
            </w:r>
          </w:p>
        </w:tc>
      </w:tr>
      <w:tr w:rsidR="00B87A44" w14:paraId="455FE864" w14:textId="77777777" w:rsidTr="00724FCD">
        <w:tc>
          <w:tcPr>
            <w:tcW w:w="2943" w:type="dxa"/>
          </w:tcPr>
          <w:p w14:paraId="6F0292FE" w14:textId="77777777" w:rsidR="00B87A44" w:rsidRDefault="00B87A44" w:rsidP="00724FCD">
            <w:r>
              <w:t xml:space="preserve">Artesunate </w:t>
            </w:r>
          </w:p>
        </w:tc>
        <w:tc>
          <w:tcPr>
            <w:tcW w:w="5913" w:type="dxa"/>
          </w:tcPr>
          <w:p w14:paraId="50CE1E99" w14:textId="77777777" w:rsidR="00B87A44" w:rsidRDefault="00B87A44" w:rsidP="00724FCD">
            <w:r>
              <w:t xml:space="preserve">2.4 mg/kg iv or </w:t>
            </w:r>
            <w:proofErr w:type="spellStart"/>
            <w:r>
              <w:t>im</w:t>
            </w:r>
            <w:proofErr w:type="spellEnd"/>
            <w:r>
              <w:t xml:space="preserve"> on admission, then at 12 hours, then at 24 hours, then daily until oral medications can be tolerated. It should be given for a </w:t>
            </w:r>
            <w:r w:rsidRPr="00C5510B">
              <w:rPr>
                <w:b/>
              </w:rPr>
              <w:t>minimum</w:t>
            </w:r>
            <w:r>
              <w:t xml:space="preserve"> of 24 hours.</w:t>
            </w:r>
          </w:p>
          <w:p w14:paraId="0E78A508" w14:textId="77777777" w:rsidR="00B87A44" w:rsidRDefault="00B87A44" w:rsidP="00724FCD">
            <w:r w:rsidRPr="00C5510B">
              <w:rPr>
                <w:b/>
              </w:rPr>
              <w:t>Note</w:t>
            </w:r>
            <w:r>
              <w:t>: Children &lt; 20 kg should receive a higher dosage of 3 mg/kg.</w:t>
            </w:r>
          </w:p>
        </w:tc>
      </w:tr>
      <w:tr w:rsidR="00B87A44" w14:paraId="1BC21E8B" w14:textId="77777777" w:rsidTr="00724FCD">
        <w:tc>
          <w:tcPr>
            <w:tcW w:w="2943" w:type="dxa"/>
          </w:tcPr>
          <w:p w14:paraId="0B631EEC" w14:textId="77777777" w:rsidR="00B87A44" w:rsidRDefault="00B87A44" w:rsidP="00724FCD">
            <w:r>
              <w:t>Quinine</w:t>
            </w:r>
          </w:p>
        </w:tc>
        <w:tc>
          <w:tcPr>
            <w:tcW w:w="5913" w:type="dxa"/>
          </w:tcPr>
          <w:p w14:paraId="74A5E7FF" w14:textId="61BD8984" w:rsidR="00B87A44" w:rsidRDefault="00B87A44" w:rsidP="00724FCD">
            <w:r>
              <w:t>Loading dose by infusion at 20 mg/kg in 10 ml/kg of iv fluid over 2-4 hours, then after 8 hours, 10</w:t>
            </w:r>
            <w:r w:rsidR="00AC2333">
              <w:t xml:space="preserve"> </w:t>
            </w:r>
            <w:r>
              <w:t xml:space="preserve">mg/kg in iv fluid over 2 hours, 8 </w:t>
            </w:r>
            <w:proofErr w:type="gramStart"/>
            <w:r>
              <w:t>hourly</w:t>
            </w:r>
            <w:proofErr w:type="gramEnd"/>
            <w:r>
              <w:t xml:space="preserve"> until patient can tolerate oral medications.</w:t>
            </w:r>
          </w:p>
        </w:tc>
      </w:tr>
      <w:tr w:rsidR="00B87A44" w14:paraId="60C57DC5" w14:textId="77777777" w:rsidTr="00724FCD">
        <w:tc>
          <w:tcPr>
            <w:tcW w:w="2943" w:type="dxa"/>
          </w:tcPr>
          <w:p w14:paraId="011A8C8C" w14:textId="77777777" w:rsidR="00B87A44" w:rsidRDefault="00B87A44" w:rsidP="00724FCD">
            <w:r>
              <w:t xml:space="preserve">Artemether </w:t>
            </w:r>
          </w:p>
        </w:tc>
        <w:tc>
          <w:tcPr>
            <w:tcW w:w="5913" w:type="dxa"/>
          </w:tcPr>
          <w:p w14:paraId="728E865C" w14:textId="77777777" w:rsidR="00B87A44" w:rsidRDefault="00B87A44" w:rsidP="00724FCD">
            <w:r>
              <w:t xml:space="preserve">3.2 mg/kg </w:t>
            </w:r>
            <w:proofErr w:type="spellStart"/>
            <w:r>
              <w:t>im</w:t>
            </w:r>
            <w:proofErr w:type="spellEnd"/>
            <w:r>
              <w:t xml:space="preserve"> on admission, then 1.6 mg/kg daily until patient can tolerate oral medication.</w:t>
            </w:r>
          </w:p>
        </w:tc>
      </w:tr>
    </w:tbl>
    <w:p w14:paraId="1376C7CF" w14:textId="77777777" w:rsidR="00B87A44" w:rsidRDefault="00B87A44" w:rsidP="00B87A44"/>
    <w:p w14:paraId="4EDC107D" w14:textId="77777777" w:rsidR="00B87A44" w:rsidRDefault="00B87A44" w:rsidP="00B87A44">
      <w:pPr>
        <w:rPr>
          <w:b/>
        </w:rPr>
      </w:pPr>
      <w:r>
        <w:t xml:space="preserve">Parenteral drugs should be given to ALL patients with severe malaria for </w:t>
      </w:r>
      <w:r w:rsidRPr="00C90592">
        <w:rPr>
          <w:i/>
        </w:rPr>
        <w:t xml:space="preserve">at least </w:t>
      </w:r>
      <w:r>
        <w:t>24 hours and then followed by a full-course of an artemisinin-based combination therapy (ACT).</w:t>
      </w:r>
    </w:p>
    <w:p w14:paraId="471F92B6" w14:textId="77777777" w:rsidR="00F357A9" w:rsidRDefault="00F357A9">
      <w:pPr>
        <w:spacing w:after="0"/>
        <w:outlineLvl w:val="9"/>
        <w:rPr>
          <w:rFonts w:eastAsia="Times New Roman" w:cs="Times New Roman"/>
          <w:b/>
          <w:bCs/>
          <w:szCs w:val="26"/>
          <w:u w:val="single"/>
        </w:rPr>
      </w:pPr>
      <w:r>
        <w:br w:type="page"/>
      </w:r>
    </w:p>
    <w:p w14:paraId="6B715F67" w14:textId="1D9DBB1A" w:rsidR="00B87A44" w:rsidRDefault="00B87A44" w:rsidP="00B87A44">
      <w:pPr>
        <w:pStyle w:val="Heading3"/>
      </w:pPr>
      <w:r>
        <w:lastRenderedPageBreak/>
        <w:t>Complications of severe malaria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800"/>
      </w:tblGrid>
      <w:tr w:rsidR="00B87A44" w:rsidRPr="00C90592" w14:paraId="78FDC61B" w14:textId="77777777" w:rsidTr="00724FCD">
        <w:tc>
          <w:tcPr>
            <w:tcW w:w="2830" w:type="dxa"/>
          </w:tcPr>
          <w:p w14:paraId="7765E402" w14:textId="77777777" w:rsidR="00B87A44" w:rsidRPr="00C90592" w:rsidRDefault="00B87A44" w:rsidP="00724FCD">
            <w:pPr>
              <w:rPr>
                <w:b/>
              </w:rPr>
            </w:pPr>
            <w:r w:rsidRPr="00C90592">
              <w:rPr>
                <w:b/>
              </w:rPr>
              <w:t>Complication</w:t>
            </w:r>
          </w:p>
        </w:tc>
        <w:tc>
          <w:tcPr>
            <w:tcW w:w="5800" w:type="dxa"/>
          </w:tcPr>
          <w:p w14:paraId="1AE908A8" w14:textId="77777777" w:rsidR="00B87A44" w:rsidRPr="00C90592" w:rsidRDefault="00B87A44" w:rsidP="00724FCD">
            <w:pPr>
              <w:rPr>
                <w:b/>
              </w:rPr>
            </w:pPr>
            <w:r w:rsidRPr="00C90592">
              <w:rPr>
                <w:b/>
              </w:rPr>
              <w:t>Treatment</w:t>
            </w:r>
          </w:p>
        </w:tc>
      </w:tr>
      <w:tr w:rsidR="00B87A44" w:rsidRPr="00C90592" w14:paraId="0CE336CF" w14:textId="77777777" w:rsidTr="00724FCD">
        <w:tc>
          <w:tcPr>
            <w:tcW w:w="2830" w:type="dxa"/>
          </w:tcPr>
          <w:p w14:paraId="3AA5F90A" w14:textId="77777777" w:rsidR="00B87A44" w:rsidRDefault="00B87A44" w:rsidP="00724FCD">
            <w:r>
              <w:t>Coma</w:t>
            </w:r>
          </w:p>
        </w:tc>
        <w:tc>
          <w:tcPr>
            <w:tcW w:w="5800" w:type="dxa"/>
          </w:tcPr>
          <w:p w14:paraId="0C4FB899" w14:textId="77777777" w:rsidR="00B87A44" w:rsidRDefault="00B87A44" w:rsidP="00724FCD">
            <w:r>
              <w:t>Treat as an unconscious patient; regular turning, maintain airway, rule out other treatable causes.</w:t>
            </w:r>
          </w:p>
          <w:p w14:paraId="69696F64" w14:textId="77777777" w:rsidR="00B87A44" w:rsidRPr="00C90592" w:rsidRDefault="00B87A44" w:rsidP="00724FCD">
            <w:pPr>
              <w:rPr>
                <w:i/>
              </w:rPr>
            </w:pPr>
            <w:proofErr w:type="spellStart"/>
            <w:r w:rsidRPr="00C90592">
              <w:rPr>
                <w:i/>
              </w:rPr>
              <w:t>Keneba</w:t>
            </w:r>
            <w:proofErr w:type="spellEnd"/>
            <w:r w:rsidRPr="00C90592">
              <w:rPr>
                <w:i/>
              </w:rPr>
              <w:t>: Commence antimalarial therapy and refer patient.</w:t>
            </w:r>
          </w:p>
        </w:tc>
      </w:tr>
      <w:tr w:rsidR="00B87A44" w14:paraId="5978A658" w14:textId="77777777" w:rsidTr="00724FCD">
        <w:tc>
          <w:tcPr>
            <w:tcW w:w="2830" w:type="dxa"/>
          </w:tcPr>
          <w:p w14:paraId="03BA50C2" w14:textId="77777777" w:rsidR="00B87A44" w:rsidRDefault="00B87A44" w:rsidP="00724FCD">
            <w:r>
              <w:t>Hyperpyrexia</w:t>
            </w:r>
          </w:p>
        </w:tc>
        <w:tc>
          <w:tcPr>
            <w:tcW w:w="5800" w:type="dxa"/>
          </w:tcPr>
          <w:p w14:paraId="1DB8E6BD" w14:textId="77777777" w:rsidR="00B87A44" w:rsidRDefault="00B87A44" w:rsidP="00724FCD">
            <w:r>
              <w:t xml:space="preserve">Expose and give paracetamol – </w:t>
            </w:r>
            <w:r w:rsidRPr="00200150">
              <w:rPr>
                <w:b/>
              </w:rPr>
              <w:t>do not tepid sponge.</w:t>
            </w:r>
          </w:p>
        </w:tc>
      </w:tr>
      <w:tr w:rsidR="00B87A44" w14:paraId="278C998F" w14:textId="77777777" w:rsidTr="00724FCD">
        <w:tc>
          <w:tcPr>
            <w:tcW w:w="2830" w:type="dxa"/>
          </w:tcPr>
          <w:p w14:paraId="049254F7" w14:textId="77777777" w:rsidR="00B87A44" w:rsidRDefault="00B87A44" w:rsidP="00724FCD">
            <w:r>
              <w:t>Convulsions</w:t>
            </w:r>
          </w:p>
        </w:tc>
        <w:tc>
          <w:tcPr>
            <w:tcW w:w="5800" w:type="dxa"/>
          </w:tcPr>
          <w:p w14:paraId="7CD236C8" w14:textId="77777777" w:rsidR="00B87A44" w:rsidRDefault="00B87A44" w:rsidP="00724FCD">
            <w:r>
              <w:t xml:space="preserve">Prompt treatment with iv or rectal diazepam or </w:t>
            </w:r>
            <w:proofErr w:type="spellStart"/>
            <w:r>
              <w:t>im</w:t>
            </w:r>
            <w:proofErr w:type="spellEnd"/>
            <w:r>
              <w:t xml:space="preserve"> paraldehyde</w:t>
            </w:r>
          </w:p>
        </w:tc>
      </w:tr>
      <w:tr w:rsidR="00B87A44" w14:paraId="7E1DBF15" w14:textId="77777777" w:rsidTr="00724FCD">
        <w:tc>
          <w:tcPr>
            <w:tcW w:w="2830" w:type="dxa"/>
          </w:tcPr>
          <w:p w14:paraId="57EBC303" w14:textId="77777777" w:rsidR="00B87A44" w:rsidRDefault="00B87A44" w:rsidP="00724FCD">
            <w:proofErr w:type="spellStart"/>
            <w:r>
              <w:t>Hypoglycaemia</w:t>
            </w:r>
            <w:proofErr w:type="spellEnd"/>
          </w:p>
        </w:tc>
        <w:tc>
          <w:tcPr>
            <w:tcW w:w="5800" w:type="dxa"/>
          </w:tcPr>
          <w:p w14:paraId="0AA52F8C" w14:textId="77777777" w:rsidR="00B87A44" w:rsidRDefault="00B87A44" w:rsidP="00724FCD">
            <w:r>
              <w:t xml:space="preserve">Threshold for intervention is 3.0 mmol/l in children younger than 5 years and 2.2 mmol/l in patients aged 5 years or older. Correct hypoglycemia and give maintenance fluid which contains glucose </w:t>
            </w:r>
            <w:r w:rsidRPr="00963E45">
              <w:t>(50% dextrose 1 ml/kg diluted in an equal strength of water for injection).</w:t>
            </w:r>
          </w:p>
        </w:tc>
      </w:tr>
      <w:tr w:rsidR="00B87A44" w:rsidRPr="00C90592" w14:paraId="2E4F82D7" w14:textId="77777777" w:rsidTr="00724FCD">
        <w:tc>
          <w:tcPr>
            <w:tcW w:w="2830" w:type="dxa"/>
          </w:tcPr>
          <w:p w14:paraId="563895CB" w14:textId="77777777" w:rsidR="00B87A44" w:rsidRDefault="00B87A44" w:rsidP="00724FCD">
            <w:r>
              <w:t xml:space="preserve">Severe </w:t>
            </w:r>
            <w:proofErr w:type="spellStart"/>
            <w:r>
              <w:t>Anaemia</w:t>
            </w:r>
            <w:proofErr w:type="spellEnd"/>
          </w:p>
        </w:tc>
        <w:tc>
          <w:tcPr>
            <w:tcW w:w="5800" w:type="dxa"/>
          </w:tcPr>
          <w:p w14:paraId="53D76EAD" w14:textId="77777777" w:rsidR="00B87A44" w:rsidRDefault="00B87A44" w:rsidP="00724FCD">
            <w:r>
              <w:t>Transfusion with fresh whole blood.</w:t>
            </w:r>
          </w:p>
          <w:p w14:paraId="0ABDCC33" w14:textId="77777777" w:rsidR="00B87A44" w:rsidRPr="00C90592" w:rsidRDefault="00B87A44" w:rsidP="00724FCD">
            <w:pPr>
              <w:rPr>
                <w:i/>
              </w:rPr>
            </w:pPr>
            <w:proofErr w:type="spellStart"/>
            <w:r w:rsidRPr="00C90592">
              <w:rPr>
                <w:i/>
              </w:rPr>
              <w:t>Keneba</w:t>
            </w:r>
            <w:proofErr w:type="spellEnd"/>
            <w:r w:rsidRPr="00C90592">
              <w:rPr>
                <w:i/>
              </w:rPr>
              <w:t>: Commence antimalarial therapy and refer patient</w:t>
            </w:r>
          </w:p>
        </w:tc>
      </w:tr>
      <w:tr w:rsidR="00B87A44" w14:paraId="2EE0D568" w14:textId="77777777" w:rsidTr="00724FCD">
        <w:tc>
          <w:tcPr>
            <w:tcW w:w="2830" w:type="dxa"/>
          </w:tcPr>
          <w:p w14:paraId="3B5B426E" w14:textId="77777777" w:rsidR="00B87A44" w:rsidRDefault="00B87A44" w:rsidP="00724FCD">
            <w:r>
              <w:t xml:space="preserve">Acute Pulmonary </w:t>
            </w:r>
            <w:proofErr w:type="spellStart"/>
            <w:r>
              <w:t>Oedema</w:t>
            </w:r>
            <w:proofErr w:type="spellEnd"/>
          </w:p>
        </w:tc>
        <w:tc>
          <w:tcPr>
            <w:tcW w:w="5800" w:type="dxa"/>
          </w:tcPr>
          <w:p w14:paraId="37104503" w14:textId="77777777" w:rsidR="00B87A44" w:rsidRDefault="00B87A44" w:rsidP="00724FCD">
            <w:r>
              <w:t>Nurse in 45</w:t>
            </w:r>
            <w:r>
              <w:rPr>
                <w:rFonts w:cs="Tahoma"/>
              </w:rPr>
              <w:t>°</w:t>
            </w:r>
            <w:r>
              <w:t xml:space="preserve"> propped-up position.</w:t>
            </w:r>
          </w:p>
          <w:p w14:paraId="06344FC5" w14:textId="77777777" w:rsidR="00B87A44" w:rsidRDefault="00B87A44" w:rsidP="00724FCD">
            <w:r>
              <w:t>Start oxygen therapy.</w:t>
            </w:r>
          </w:p>
          <w:p w14:paraId="1FE4FD94" w14:textId="77777777" w:rsidR="00B87A44" w:rsidRDefault="00B87A44" w:rsidP="00724FCD">
            <w:r>
              <w:t>Give diuretic (intravenous furosemide).</w:t>
            </w:r>
          </w:p>
        </w:tc>
      </w:tr>
      <w:tr w:rsidR="00B87A44" w:rsidRPr="00C90592" w14:paraId="6995CE4C" w14:textId="77777777" w:rsidTr="00724FCD">
        <w:tc>
          <w:tcPr>
            <w:tcW w:w="2830" w:type="dxa"/>
          </w:tcPr>
          <w:p w14:paraId="0267CAEE" w14:textId="77777777" w:rsidR="00B87A44" w:rsidRDefault="00B87A44" w:rsidP="00724FCD">
            <w:r>
              <w:t>Spontaneous Bleeding</w:t>
            </w:r>
          </w:p>
        </w:tc>
        <w:tc>
          <w:tcPr>
            <w:tcW w:w="5800" w:type="dxa"/>
          </w:tcPr>
          <w:p w14:paraId="62E0BF43" w14:textId="77777777" w:rsidR="00B87A44" w:rsidRDefault="00B87A44" w:rsidP="00724FCD">
            <w:r>
              <w:t>Transfuse with fresh whole blood.</w:t>
            </w:r>
          </w:p>
          <w:p w14:paraId="63164D06" w14:textId="77777777" w:rsidR="00B87A44" w:rsidRPr="00C90592" w:rsidRDefault="00B87A44" w:rsidP="00724FCD">
            <w:pPr>
              <w:rPr>
                <w:i/>
              </w:rPr>
            </w:pPr>
            <w:proofErr w:type="spellStart"/>
            <w:r w:rsidRPr="00C90592">
              <w:rPr>
                <w:i/>
              </w:rPr>
              <w:t>Keneba</w:t>
            </w:r>
            <w:proofErr w:type="spellEnd"/>
            <w:r w:rsidRPr="00C90592">
              <w:rPr>
                <w:i/>
              </w:rPr>
              <w:t>: Commence antimalarial therapy and refer patient</w:t>
            </w:r>
          </w:p>
        </w:tc>
      </w:tr>
      <w:tr w:rsidR="00B87A44" w:rsidRPr="00C90592" w14:paraId="48645599" w14:textId="77777777" w:rsidTr="00724FCD">
        <w:tc>
          <w:tcPr>
            <w:tcW w:w="2830" w:type="dxa"/>
          </w:tcPr>
          <w:p w14:paraId="331821C3" w14:textId="77777777" w:rsidR="00B87A44" w:rsidRDefault="00B87A44" w:rsidP="00724FCD">
            <w:r>
              <w:t>Shock</w:t>
            </w:r>
          </w:p>
        </w:tc>
        <w:tc>
          <w:tcPr>
            <w:tcW w:w="5800" w:type="dxa"/>
          </w:tcPr>
          <w:p w14:paraId="3FD3FBC0" w14:textId="77777777" w:rsidR="00B87A44" w:rsidRDefault="00B87A44" w:rsidP="00724FCD">
            <w:r>
              <w:t>Suspect bacterial sepsis.</w:t>
            </w:r>
          </w:p>
          <w:p w14:paraId="426DBA49" w14:textId="77777777" w:rsidR="00B87A44" w:rsidRDefault="00B87A44" w:rsidP="00724FCD">
            <w:r>
              <w:t>Take samples for cultures.</w:t>
            </w:r>
          </w:p>
          <w:p w14:paraId="06904B94" w14:textId="77777777" w:rsidR="00B87A44" w:rsidRDefault="00B87A44" w:rsidP="00724FCD">
            <w:r>
              <w:t>Give broad spectrum parenteral antibiotics.</w:t>
            </w:r>
          </w:p>
          <w:p w14:paraId="68B02410" w14:textId="77777777" w:rsidR="00B87A44" w:rsidRPr="00C90592" w:rsidRDefault="00B87A44" w:rsidP="00724FCD">
            <w:pPr>
              <w:rPr>
                <w:i/>
              </w:rPr>
            </w:pPr>
            <w:proofErr w:type="spellStart"/>
            <w:r w:rsidRPr="00C90592">
              <w:rPr>
                <w:i/>
              </w:rPr>
              <w:t>Keneba</w:t>
            </w:r>
            <w:proofErr w:type="spellEnd"/>
            <w:r>
              <w:rPr>
                <w:i/>
              </w:rPr>
              <w:t>;</w:t>
            </w:r>
            <w:r w:rsidRPr="00C90592">
              <w:rPr>
                <w:i/>
              </w:rPr>
              <w:t xml:space="preserve"> Commence antimalarial therapy, parenteral antibiotic</w:t>
            </w:r>
            <w:r>
              <w:rPr>
                <w:i/>
              </w:rPr>
              <w:t>s</w:t>
            </w:r>
            <w:r w:rsidRPr="00C90592">
              <w:rPr>
                <w:i/>
              </w:rPr>
              <w:t xml:space="preserve"> and refer patient</w:t>
            </w:r>
          </w:p>
        </w:tc>
      </w:tr>
    </w:tbl>
    <w:p w14:paraId="4C34BBFA" w14:textId="77777777" w:rsidR="00B87A44" w:rsidRDefault="00B87A44" w:rsidP="00B87A44"/>
    <w:p w14:paraId="1E1C4728" w14:textId="77777777" w:rsidR="00B87A44" w:rsidRDefault="00B87A44" w:rsidP="00B87A44">
      <w:pPr>
        <w:pStyle w:val="Heading2"/>
      </w:pPr>
      <w:r>
        <w:t>Key issues for nursing care</w:t>
      </w:r>
    </w:p>
    <w:p w14:paraId="3DE27B22" w14:textId="77777777" w:rsidR="00B87A44" w:rsidRPr="00C5510B" w:rsidRDefault="00B87A44" w:rsidP="00B87A44">
      <w:r>
        <w:t xml:space="preserve">Do not tepid sponge febrile patients. Check charts and consider giving paracetamol if not already given. </w:t>
      </w:r>
    </w:p>
    <w:p w14:paraId="349AAAA2" w14:textId="77777777" w:rsidR="00B87A44" w:rsidRDefault="00B87A44" w:rsidP="00B87A44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2C90D62E" w14:textId="77777777" w:rsidR="00B87A44" w:rsidRPr="003C0800" w:rsidRDefault="00B87A44" w:rsidP="00B87A44">
      <w:pPr>
        <w:pStyle w:val="Heading2"/>
        <w:rPr>
          <w:rFonts w:cs="Arial"/>
          <w:szCs w:val="22"/>
        </w:rPr>
      </w:pPr>
      <w:r>
        <w:rPr>
          <w:rFonts w:cs="Arial"/>
          <w:szCs w:val="22"/>
        </w:rPr>
        <w:lastRenderedPageBreak/>
        <w:t>References</w:t>
      </w:r>
    </w:p>
    <w:p w14:paraId="4B756792" w14:textId="77777777" w:rsidR="00B87A44" w:rsidRPr="00CB416E" w:rsidRDefault="00B87A44" w:rsidP="00B87A44">
      <w:pPr>
        <w:rPr>
          <w:sz w:val="20"/>
          <w:szCs w:val="20"/>
        </w:rPr>
      </w:pPr>
      <w:r w:rsidRPr="00CB416E">
        <w:rPr>
          <w:sz w:val="20"/>
          <w:szCs w:val="20"/>
        </w:rPr>
        <w:t>World Health Organization (WHO). Factsheet on malaria [internet</w:t>
      </w:r>
      <w:proofErr w:type="gramStart"/>
      <w:r w:rsidRPr="00CB416E">
        <w:rPr>
          <w:sz w:val="20"/>
          <w:szCs w:val="20"/>
        </w:rPr>
        <w:t>].Geneva</w:t>
      </w:r>
      <w:proofErr w:type="gramEnd"/>
      <w:r w:rsidRPr="00CB416E">
        <w:rPr>
          <w:sz w:val="20"/>
          <w:szCs w:val="20"/>
        </w:rPr>
        <w:t>: WHO; 2018. Available from</w:t>
      </w:r>
      <w:r>
        <w:rPr>
          <w:sz w:val="20"/>
          <w:szCs w:val="20"/>
        </w:rPr>
        <w:t>:</w:t>
      </w:r>
      <w:r w:rsidRPr="00CB416E">
        <w:rPr>
          <w:sz w:val="20"/>
          <w:szCs w:val="20"/>
        </w:rPr>
        <w:t xml:space="preserve"> </w:t>
      </w:r>
      <w:hyperlink r:id="rId7" w:history="1">
        <w:r w:rsidRPr="00CB416E">
          <w:rPr>
            <w:rStyle w:val="Hyperlink"/>
            <w:sz w:val="20"/>
            <w:szCs w:val="20"/>
            <w:u w:val="none"/>
          </w:rPr>
          <w:t>http://www.who.int/en/news-room/fact-sheets/detail/malaria</w:t>
        </w:r>
      </w:hyperlink>
      <w:r w:rsidRPr="00CB416E">
        <w:rPr>
          <w:rStyle w:val="Hyperlink"/>
          <w:sz w:val="20"/>
          <w:szCs w:val="20"/>
          <w:u w:val="none"/>
        </w:rPr>
        <w:t xml:space="preserve"> </w:t>
      </w:r>
      <w:r w:rsidRPr="00CB416E">
        <w:rPr>
          <w:sz w:val="20"/>
          <w:szCs w:val="20"/>
        </w:rPr>
        <w:t>Accessed: June 11th 2018</w:t>
      </w:r>
    </w:p>
    <w:p w14:paraId="7213231A" w14:textId="77777777" w:rsidR="00B87A44" w:rsidRPr="00CB416E" w:rsidRDefault="00B87A44" w:rsidP="00B87A44">
      <w:pPr>
        <w:rPr>
          <w:sz w:val="20"/>
          <w:szCs w:val="20"/>
        </w:rPr>
      </w:pPr>
      <w:r w:rsidRPr="00CB416E">
        <w:rPr>
          <w:sz w:val="20"/>
          <w:szCs w:val="20"/>
        </w:rPr>
        <w:t>World Health Organization (WHO). Guidelines for the treatment of malaria. 3</w:t>
      </w:r>
      <w:r w:rsidRPr="00CB416E">
        <w:rPr>
          <w:sz w:val="20"/>
          <w:szCs w:val="20"/>
          <w:vertAlign w:val="superscript"/>
        </w:rPr>
        <w:t>rd</w:t>
      </w:r>
      <w:r w:rsidRPr="00CB416E">
        <w:rPr>
          <w:sz w:val="20"/>
          <w:szCs w:val="20"/>
        </w:rPr>
        <w:t xml:space="preserve"> ed. Geneva: WHO; 2015. Available from: </w:t>
      </w:r>
      <w:hyperlink r:id="rId8" w:history="1">
        <w:r w:rsidRPr="00CB416E">
          <w:rPr>
            <w:rStyle w:val="Hyperlink"/>
            <w:sz w:val="20"/>
            <w:szCs w:val="20"/>
            <w:u w:val="none"/>
          </w:rPr>
          <w:t>http://apps.who.int/iris/bitstream/handle/10665/162441/9789241549127_eng.pdf;jsessionid=3B5C932E177AC0E91DFA84112DEBD6C7?sequence=1</w:t>
        </w:r>
      </w:hyperlink>
      <w:r w:rsidRPr="00CB416E">
        <w:rPr>
          <w:rStyle w:val="Hyperlink"/>
          <w:sz w:val="20"/>
          <w:szCs w:val="20"/>
        </w:rPr>
        <w:t xml:space="preserve"> </w:t>
      </w:r>
      <w:r w:rsidRPr="00CB416E">
        <w:rPr>
          <w:rStyle w:val="Hyperlink"/>
          <w:color w:val="000000" w:themeColor="text1"/>
          <w:sz w:val="20"/>
          <w:szCs w:val="20"/>
          <w:u w:val="none"/>
        </w:rPr>
        <w:t>Accessed: June 9</w:t>
      </w:r>
      <w:r w:rsidRPr="00CB416E">
        <w:rPr>
          <w:rStyle w:val="Hyperlink"/>
          <w:color w:val="000000" w:themeColor="text1"/>
          <w:sz w:val="20"/>
          <w:szCs w:val="20"/>
          <w:u w:val="none"/>
          <w:vertAlign w:val="superscript"/>
        </w:rPr>
        <w:t>th</w:t>
      </w:r>
      <w:r w:rsidRPr="00CB416E">
        <w:rPr>
          <w:rStyle w:val="Hyperlink"/>
          <w:color w:val="000000" w:themeColor="text1"/>
          <w:sz w:val="20"/>
          <w:szCs w:val="20"/>
          <w:u w:val="none"/>
        </w:rPr>
        <w:t xml:space="preserve"> 2018</w:t>
      </w:r>
    </w:p>
    <w:p w14:paraId="63369F32" w14:textId="77777777" w:rsidR="00B87A44" w:rsidRPr="005638D0" w:rsidRDefault="00B87A44" w:rsidP="00B87A44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B87A44" w:rsidRPr="00515546" w14:paraId="7559E6F8" w14:textId="77777777" w:rsidTr="00724FCD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418619A8" w14:textId="77777777" w:rsidR="00B87A44" w:rsidRPr="00515546" w:rsidRDefault="00B87A44" w:rsidP="00724FCD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5093095D" w14:textId="77777777" w:rsidR="00B87A44" w:rsidRPr="00515546" w:rsidRDefault="00B87A44" w:rsidP="00724FCD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Name: Azeezat Sallahdeen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3DB0BA1" w14:textId="1E45429B" w:rsidR="00B87A44" w:rsidRPr="00515546" w:rsidRDefault="00B87A44" w:rsidP="00724FCD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>
              <w:rPr>
                <w:szCs w:val="22"/>
              </w:rPr>
              <w:t xml:space="preserve">31 </w:t>
            </w:r>
            <w:r w:rsidR="00297211">
              <w:rPr>
                <w:szCs w:val="22"/>
              </w:rPr>
              <w:t>July</w:t>
            </w:r>
            <w:r>
              <w:rPr>
                <w:szCs w:val="22"/>
              </w:rPr>
              <w:t xml:space="preserve"> 2018</w:t>
            </w:r>
          </w:p>
        </w:tc>
      </w:tr>
      <w:tr w:rsidR="00B87A44" w:rsidRPr="00515546" w14:paraId="6CF1F4C3" w14:textId="77777777" w:rsidTr="00724FCD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14FE9CE0" w14:textId="77777777" w:rsidR="00B87A44" w:rsidRPr="00515546" w:rsidRDefault="00B87A44" w:rsidP="00724FCD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06D4FCB1" w14:textId="4D97E76F" w:rsidR="00B87A44" w:rsidRPr="00515546" w:rsidRDefault="00B87A44" w:rsidP="00724FCD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>
              <w:rPr>
                <w:szCs w:val="22"/>
              </w:rPr>
              <w:t>Fatai Akemokwe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3EED86F" w14:textId="70B1B97D" w:rsidR="00B87A44" w:rsidRPr="00515546" w:rsidRDefault="00B87A44" w:rsidP="00724FCD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>
              <w:rPr>
                <w:szCs w:val="22"/>
              </w:rPr>
              <w:t xml:space="preserve">31 </w:t>
            </w:r>
            <w:r w:rsidR="00297211">
              <w:rPr>
                <w:szCs w:val="22"/>
              </w:rPr>
              <w:t>July</w:t>
            </w:r>
            <w:r>
              <w:rPr>
                <w:szCs w:val="22"/>
              </w:rPr>
              <w:t xml:space="preserve"> 2018</w:t>
            </w:r>
          </w:p>
        </w:tc>
      </w:tr>
      <w:tr w:rsidR="00B87A44" w:rsidRPr="00515546" w14:paraId="06ED19E0" w14:textId="77777777" w:rsidTr="00724FCD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1947BFE6" w14:textId="77777777" w:rsidR="00B87A44" w:rsidRPr="00515546" w:rsidRDefault="00B87A44" w:rsidP="00724FCD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7099931F" w14:textId="77777777" w:rsidR="00B87A44" w:rsidRPr="00515546" w:rsidRDefault="00B87A44" w:rsidP="00724FCD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4EAE11C9" w14:textId="77777777" w:rsidR="00B87A44" w:rsidRPr="00515546" w:rsidRDefault="00B87A44" w:rsidP="00724FCD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 due date:</w:t>
            </w:r>
          </w:p>
        </w:tc>
      </w:tr>
      <w:tr w:rsidR="00B87A44" w:rsidRPr="00515546" w14:paraId="57252044" w14:textId="77777777" w:rsidTr="00724FCD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1064F49" w14:textId="77777777" w:rsidR="00B87A44" w:rsidRPr="00515546" w:rsidRDefault="00B87A44" w:rsidP="00724FCD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1.0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7A1C8419" w14:textId="77777777" w:rsidR="00B87A44" w:rsidRPr="00515546" w:rsidRDefault="00B87A44" w:rsidP="00724FCD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New document</w:t>
            </w:r>
            <w:r>
              <w:rPr>
                <w:szCs w:val="22"/>
              </w:rPr>
              <w:t xml:space="preserve"> a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304B875" w14:textId="77777777" w:rsidR="00B87A44" w:rsidRPr="00515546" w:rsidRDefault="00B87A44" w:rsidP="00724FCD">
            <w:pPr>
              <w:spacing w:after="0"/>
              <w:rPr>
                <w:szCs w:val="22"/>
              </w:rPr>
            </w:pPr>
          </w:p>
        </w:tc>
      </w:tr>
      <w:tr w:rsidR="00B87A44" w:rsidRPr="00515546" w14:paraId="748D9421" w14:textId="77777777" w:rsidTr="00724FCD">
        <w:trPr>
          <w:trHeight w:val="20"/>
        </w:trPr>
        <w:tc>
          <w:tcPr>
            <w:tcW w:w="21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53C0A5" w14:textId="77777777" w:rsidR="00B87A44" w:rsidRPr="00515546" w:rsidRDefault="00B87A44" w:rsidP="00724FCD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2.0</w:t>
            </w:r>
          </w:p>
        </w:tc>
        <w:tc>
          <w:tcPr>
            <w:tcW w:w="36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126205" w14:textId="77777777" w:rsidR="00B87A44" w:rsidRPr="00515546" w:rsidRDefault="00B87A44" w:rsidP="00724FCD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Adjusted to broaden relevance beyond gate clinic</w:t>
            </w:r>
          </w:p>
        </w:tc>
        <w:tc>
          <w:tcPr>
            <w:tcW w:w="28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4718C1" w14:textId="647B1E1F" w:rsidR="00B87A44" w:rsidRPr="00515546" w:rsidRDefault="00B87A44" w:rsidP="00724FCD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 xml:space="preserve">31 </w:t>
            </w:r>
            <w:r w:rsidR="00297211">
              <w:rPr>
                <w:szCs w:val="22"/>
              </w:rPr>
              <w:t>July</w:t>
            </w:r>
            <w:r>
              <w:rPr>
                <w:szCs w:val="22"/>
              </w:rPr>
              <w:t xml:space="preserve"> 2020</w:t>
            </w:r>
          </w:p>
        </w:tc>
      </w:tr>
      <w:tr w:rsidR="00F357A9" w:rsidRPr="00515546" w14:paraId="4D5EB5F7" w14:textId="77777777" w:rsidTr="00724FCD">
        <w:trPr>
          <w:trHeight w:val="20"/>
        </w:trPr>
        <w:tc>
          <w:tcPr>
            <w:tcW w:w="21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BB5F82" w14:textId="30B71C34" w:rsidR="00F357A9" w:rsidRDefault="00F357A9" w:rsidP="00724FCD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2.1</w:t>
            </w:r>
          </w:p>
        </w:tc>
        <w:tc>
          <w:tcPr>
            <w:tcW w:w="36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54BC87B" w14:textId="4459CA30" w:rsidR="00F357A9" w:rsidRDefault="00F357A9" w:rsidP="00724FCD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Executive summary added</w:t>
            </w:r>
          </w:p>
        </w:tc>
        <w:tc>
          <w:tcPr>
            <w:tcW w:w="28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56F0C0" w14:textId="14A339FA" w:rsidR="00F357A9" w:rsidRDefault="00F357A9" w:rsidP="00724FCD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July 2020</w:t>
            </w:r>
          </w:p>
        </w:tc>
      </w:tr>
      <w:tr w:rsidR="00B87A44" w:rsidRPr="00515546" w14:paraId="548E07C6" w14:textId="77777777" w:rsidTr="00724FCD">
        <w:trPr>
          <w:trHeight w:val="20"/>
        </w:trPr>
        <w:tc>
          <w:tcPr>
            <w:tcW w:w="21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78A507" w14:textId="77777777" w:rsidR="00B87A44" w:rsidRPr="00515546" w:rsidRDefault="00B87A44" w:rsidP="00724FCD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Review Comments (</w:t>
            </w:r>
            <w:r w:rsidRPr="00515546">
              <w:rPr>
                <w:i/>
                <w:szCs w:val="22"/>
              </w:rPr>
              <w:t>if applicable)</w:t>
            </w:r>
          </w:p>
        </w:tc>
        <w:tc>
          <w:tcPr>
            <w:tcW w:w="36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60053E" w14:textId="77777777" w:rsidR="00B87A44" w:rsidRPr="00515546" w:rsidRDefault="00B87A44" w:rsidP="00724FCD">
            <w:pPr>
              <w:spacing w:after="0"/>
              <w:rPr>
                <w:szCs w:val="22"/>
              </w:rPr>
            </w:pPr>
          </w:p>
        </w:tc>
        <w:tc>
          <w:tcPr>
            <w:tcW w:w="28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7B5CD34" w14:textId="77777777" w:rsidR="00B87A44" w:rsidRPr="00515546" w:rsidRDefault="00B87A44" w:rsidP="00724FCD">
            <w:pPr>
              <w:spacing w:after="0"/>
              <w:rPr>
                <w:b/>
                <w:szCs w:val="22"/>
              </w:rPr>
            </w:pPr>
          </w:p>
        </w:tc>
      </w:tr>
    </w:tbl>
    <w:p w14:paraId="67CD267F" w14:textId="77777777" w:rsidR="00B87A44" w:rsidRPr="00CC3CF5" w:rsidRDefault="00B87A44" w:rsidP="00B87A44">
      <w:pPr>
        <w:rPr>
          <w:szCs w:val="22"/>
        </w:rPr>
      </w:pPr>
    </w:p>
    <w:p w14:paraId="1AADE00E" w14:textId="77777777" w:rsidR="00975A60" w:rsidRPr="00B87A44" w:rsidRDefault="00975A60" w:rsidP="00B87A44"/>
    <w:sectPr w:rsidR="00975A60" w:rsidRPr="00B87A44" w:rsidSect="00D138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5EEE7" w14:textId="77777777" w:rsidR="001702CE" w:rsidRDefault="001702CE" w:rsidP="00975A60">
      <w:pPr>
        <w:spacing w:after="0"/>
      </w:pPr>
      <w:r>
        <w:separator/>
      </w:r>
    </w:p>
  </w:endnote>
  <w:endnote w:type="continuationSeparator" w:id="0">
    <w:p w14:paraId="287D6826" w14:textId="77777777" w:rsidR="001702CE" w:rsidRDefault="001702CE" w:rsidP="00975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1C92" w14:textId="77777777" w:rsidR="005D1877" w:rsidRDefault="005D1877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25EBF9" w14:textId="77777777" w:rsidR="005D1877" w:rsidRDefault="005D1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E1119" w14:textId="77777777" w:rsidR="005D1877" w:rsidRPr="003A02A5" w:rsidRDefault="005D1877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C67021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C67021">
      <w:rPr>
        <w:rStyle w:val="PageNumber"/>
        <w:noProof/>
      </w:rPr>
      <w:t>1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2F456" w14:textId="77777777" w:rsidR="00D13825" w:rsidRDefault="00D13825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E0BE0" w14:textId="77777777" w:rsidR="001702CE" w:rsidRDefault="001702CE" w:rsidP="00975A60">
      <w:pPr>
        <w:spacing w:after="0"/>
      </w:pPr>
      <w:r>
        <w:separator/>
      </w:r>
    </w:p>
  </w:footnote>
  <w:footnote w:type="continuationSeparator" w:id="0">
    <w:p w14:paraId="63F68CB8" w14:textId="77777777" w:rsidR="001702CE" w:rsidRDefault="001702CE" w:rsidP="00975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1F3F1" w14:textId="77777777" w:rsidR="00F357A9" w:rsidRDefault="00F357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76AD7" w14:textId="77777777" w:rsidR="00B87A44" w:rsidRPr="00F87812" w:rsidRDefault="00B87A44" w:rsidP="00B87A44">
    <w:pPr>
      <w:pStyle w:val="Header"/>
    </w:pPr>
    <w:r w:rsidRPr="00F87812">
      <w:t>Identification code: MeG-CLS-</w:t>
    </w:r>
    <w:r>
      <w:t>012</w:t>
    </w:r>
    <w:r w:rsidRPr="00F87812">
      <w:tab/>
    </w:r>
  </w:p>
  <w:p w14:paraId="36AAB2BE" w14:textId="6B2FB5F7" w:rsidR="00B87A44" w:rsidRPr="00B87A44" w:rsidRDefault="00B87A44" w:rsidP="00B87A44">
    <w:pPr>
      <w:pStyle w:val="Header"/>
    </w:pPr>
    <w:r w:rsidRPr="00B87A44">
      <w:t>Version: 2.</w:t>
    </w:r>
    <w:r w:rsidR="0063653C">
      <w:t>1</w:t>
    </w:r>
    <w:r w:rsidRPr="00B87A44">
      <w:t xml:space="preserve"> – 31 </w:t>
    </w:r>
    <w:r w:rsidR="00297211">
      <w:t>July</w:t>
    </w:r>
    <w:r w:rsidRPr="00B87A44">
      <w:t xml:space="preserve"> 2018</w:t>
    </w:r>
  </w:p>
  <w:p w14:paraId="4F383D20" w14:textId="1FBB2A6D" w:rsidR="005D1877" w:rsidRPr="00B87A44" w:rsidRDefault="005D1877" w:rsidP="00B87A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3887A" w14:textId="77777777" w:rsidR="00D13825" w:rsidRDefault="00D13825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</w:rPr>
      <w:drawing>
        <wp:anchor distT="0" distB="0" distL="114300" distR="114300" simplePos="0" relativeHeight="251660288" behindDoc="1" locked="0" layoutInCell="1" allowOverlap="1" wp14:anchorId="4D6F51F4" wp14:editId="3A19A367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17B4F2" w14:textId="77777777" w:rsidR="00D13825" w:rsidRDefault="00D13825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03856EE0" w14:textId="77777777" w:rsidR="00D13825" w:rsidRPr="003C0800" w:rsidRDefault="00D13825" w:rsidP="00D13825">
    <w:pPr>
      <w:pStyle w:val="Header"/>
      <w:ind w:firstLine="2880"/>
      <w:rPr>
        <w:rFonts w:cs="Arial"/>
        <w:b/>
      </w:rPr>
    </w:pPr>
  </w:p>
  <w:p w14:paraId="30FB3B60" w14:textId="0FC6E094" w:rsidR="00D13825" w:rsidRPr="00F87812" w:rsidRDefault="00D13825" w:rsidP="00D13825">
    <w:pPr>
      <w:pStyle w:val="Header"/>
    </w:pPr>
    <w:r w:rsidRPr="00F87812">
      <w:t>Identification code: MeG-CLS-</w:t>
    </w:r>
    <w:r w:rsidR="00B87A44">
      <w:t>012</w:t>
    </w:r>
    <w:r w:rsidRPr="00F87812">
      <w:tab/>
    </w:r>
  </w:p>
  <w:p w14:paraId="3121ADF7" w14:textId="54BBAF4F" w:rsidR="00D13825" w:rsidRPr="00B87A44" w:rsidRDefault="00D13825" w:rsidP="00D13825">
    <w:pPr>
      <w:pStyle w:val="Header"/>
    </w:pPr>
    <w:r w:rsidRPr="00B87A44">
      <w:t xml:space="preserve">Version: </w:t>
    </w:r>
    <w:r w:rsidR="00B87A44" w:rsidRPr="00B87A44">
      <w:t>2.</w:t>
    </w:r>
    <w:r w:rsidR="0063653C">
      <w:t>1</w:t>
    </w:r>
    <w:bookmarkStart w:id="0" w:name="_GoBack"/>
    <w:bookmarkEnd w:id="0"/>
    <w:r w:rsidR="00B87A44" w:rsidRPr="00B87A44">
      <w:t xml:space="preserve"> – 31 </w:t>
    </w:r>
    <w:r w:rsidR="00297211">
      <w:t>July</w:t>
    </w:r>
    <w:r w:rsidR="00B87A44" w:rsidRPr="00B87A44">
      <w:t xml:space="preserve"> 2018</w:t>
    </w:r>
  </w:p>
  <w:p w14:paraId="741B9945" w14:textId="77777777" w:rsidR="00D13825" w:rsidRDefault="00D13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2ACF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AB08E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353087"/>
    <w:multiLevelType w:val="hybridMultilevel"/>
    <w:tmpl w:val="B6AED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212AA"/>
    <w:multiLevelType w:val="hybridMultilevel"/>
    <w:tmpl w:val="F9B2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53BE3"/>
    <w:multiLevelType w:val="hybridMultilevel"/>
    <w:tmpl w:val="55A64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C0996"/>
    <w:multiLevelType w:val="hybridMultilevel"/>
    <w:tmpl w:val="EBDE5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3385E"/>
    <w:multiLevelType w:val="hybridMultilevel"/>
    <w:tmpl w:val="7F7C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52731"/>
    <w:multiLevelType w:val="hybridMultilevel"/>
    <w:tmpl w:val="7B2A73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BC6F22"/>
    <w:multiLevelType w:val="hybridMultilevel"/>
    <w:tmpl w:val="83E6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64ECB"/>
    <w:multiLevelType w:val="hybridMultilevel"/>
    <w:tmpl w:val="F4D0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566DE"/>
    <w:multiLevelType w:val="hybridMultilevel"/>
    <w:tmpl w:val="2A72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63667"/>
    <w:multiLevelType w:val="hybridMultilevel"/>
    <w:tmpl w:val="875A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22F25"/>
    <w:multiLevelType w:val="hybridMultilevel"/>
    <w:tmpl w:val="CA940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8B0916"/>
    <w:multiLevelType w:val="hybridMultilevel"/>
    <w:tmpl w:val="9A7A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144FF"/>
    <w:multiLevelType w:val="hybridMultilevel"/>
    <w:tmpl w:val="407E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364FB"/>
    <w:multiLevelType w:val="hybridMultilevel"/>
    <w:tmpl w:val="53647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4630D"/>
    <w:multiLevelType w:val="hybridMultilevel"/>
    <w:tmpl w:val="7538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71E75"/>
    <w:multiLevelType w:val="hybridMultilevel"/>
    <w:tmpl w:val="6B1C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4278C"/>
    <w:multiLevelType w:val="hybridMultilevel"/>
    <w:tmpl w:val="B3100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B0CF2"/>
    <w:multiLevelType w:val="hybridMultilevel"/>
    <w:tmpl w:val="ADDE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C4387"/>
    <w:multiLevelType w:val="hybridMultilevel"/>
    <w:tmpl w:val="4CCE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E9384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662A1"/>
    <w:multiLevelType w:val="hybridMultilevel"/>
    <w:tmpl w:val="EE6C4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64D9C"/>
    <w:multiLevelType w:val="hybridMultilevel"/>
    <w:tmpl w:val="5764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60F1F"/>
    <w:multiLevelType w:val="hybridMultilevel"/>
    <w:tmpl w:val="70B0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05712"/>
    <w:multiLevelType w:val="hybridMultilevel"/>
    <w:tmpl w:val="1DD2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F43D4"/>
    <w:multiLevelType w:val="hybridMultilevel"/>
    <w:tmpl w:val="79B48C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983098"/>
    <w:multiLevelType w:val="hybridMultilevel"/>
    <w:tmpl w:val="C55013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9A4774"/>
    <w:multiLevelType w:val="hybridMultilevel"/>
    <w:tmpl w:val="06B0D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A20B6"/>
    <w:multiLevelType w:val="hybridMultilevel"/>
    <w:tmpl w:val="2F3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C565E"/>
    <w:multiLevelType w:val="hybridMultilevel"/>
    <w:tmpl w:val="3DC05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402B0"/>
    <w:multiLevelType w:val="hybridMultilevel"/>
    <w:tmpl w:val="84A66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A7371"/>
    <w:multiLevelType w:val="hybridMultilevel"/>
    <w:tmpl w:val="FCD8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5B5495"/>
    <w:multiLevelType w:val="hybridMultilevel"/>
    <w:tmpl w:val="2A789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3"/>
  </w:num>
  <w:num w:numId="4">
    <w:abstractNumId w:val="1"/>
  </w:num>
  <w:num w:numId="5">
    <w:abstractNumId w:val="0"/>
  </w:num>
  <w:num w:numId="6">
    <w:abstractNumId w:val="7"/>
  </w:num>
  <w:num w:numId="7">
    <w:abstractNumId w:val="20"/>
  </w:num>
  <w:num w:numId="8">
    <w:abstractNumId w:val="2"/>
  </w:num>
  <w:num w:numId="9">
    <w:abstractNumId w:val="32"/>
  </w:num>
  <w:num w:numId="10">
    <w:abstractNumId w:val="3"/>
  </w:num>
  <w:num w:numId="11">
    <w:abstractNumId w:val="14"/>
  </w:num>
  <w:num w:numId="12">
    <w:abstractNumId w:val="22"/>
  </w:num>
  <w:num w:numId="13">
    <w:abstractNumId w:val="28"/>
  </w:num>
  <w:num w:numId="14">
    <w:abstractNumId w:val="25"/>
  </w:num>
  <w:num w:numId="15">
    <w:abstractNumId w:val="31"/>
  </w:num>
  <w:num w:numId="16">
    <w:abstractNumId w:val="16"/>
  </w:num>
  <w:num w:numId="17">
    <w:abstractNumId w:val="11"/>
  </w:num>
  <w:num w:numId="18">
    <w:abstractNumId w:val="26"/>
  </w:num>
  <w:num w:numId="19">
    <w:abstractNumId w:val="17"/>
  </w:num>
  <w:num w:numId="20">
    <w:abstractNumId w:val="30"/>
  </w:num>
  <w:num w:numId="21">
    <w:abstractNumId w:val="19"/>
  </w:num>
  <w:num w:numId="22">
    <w:abstractNumId w:val="12"/>
  </w:num>
  <w:num w:numId="23">
    <w:abstractNumId w:val="21"/>
  </w:num>
  <w:num w:numId="24">
    <w:abstractNumId w:val="24"/>
  </w:num>
  <w:num w:numId="25">
    <w:abstractNumId w:val="5"/>
  </w:num>
  <w:num w:numId="26">
    <w:abstractNumId w:val="9"/>
  </w:num>
  <w:num w:numId="27">
    <w:abstractNumId w:val="10"/>
  </w:num>
  <w:num w:numId="28">
    <w:abstractNumId w:val="15"/>
  </w:num>
  <w:num w:numId="29">
    <w:abstractNumId w:val="27"/>
  </w:num>
  <w:num w:numId="30">
    <w:abstractNumId w:val="6"/>
  </w:num>
  <w:num w:numId="31">
    <w:abstractNumId w:val="8"/>
  </w:num>
  <w:num w:numId="32">
    <w:abstractNumId w:val="29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2NTY2NzA1tTQ2MDRQ0lEKTi0uzszPAykwrAUApEmv8CwAAAA="/>
  </w:docVars>
  <w:rsids>
    <w:rsidRoot w:val="00B87A44"/>
    <w:rsid w:val="000039D9"/>
    <w:rsid w:val="0007147C"/>
    <w:rsid w:val="00081642"/>
    <w:rsid w:val="00114AAF"/>
    <w:rsid w:val="001203AE"/>
    <w:rsid w:val="001702CE"/>
    <w:rsid w:val="00175153"/>
    <w:rsid w:val="001C1450"/>
    <w:rsid w:val="00223920"/>
    <w:rsid w:val="00252A11"/>
    <w:rsid w:val="0029357D"/>
    <w:rsid w:val="00297211"/>
    <w:rsid w:val="002A2856"/>
    <w:rsid w:val="003020A2"/>
    <w:rsid w:val="003038D3"/>
    <w:rsid w:val="003225CD"/>
    <w:rsid w:val="003C0800"/>
    <w:rsid w:val="003F70CA"/>
    <w:rsid w:val="004A25F0"/>
    <w:rsid w:val="004A4C93"/>
    <w:rsid w:val="004C4442"/>
    <w:rsid w:val="005151D8"/>
    <w:rsid w:val="00515546"/>
    <w:rsid w:val="005638D0"/>
    <w:rsid w:val="005D1877"/>
    <w:rsid w:val="005D390E"/>
    <w:rsid w:val="00633320"/>
    <w:rsid w:val="0063653C"/>
    <w:rsid w:val="007067BE"/>
    <w:rsid w:val="0072046B"/>
    <w:rsid w:val="007A7E8E"/>
    <w:rsid w:val="007B26B1"/>
    <w:rsid w:val="00857027"/>
    <w:rsid w:val="00912232"/>
    <w:rsid w:val="009165E9"/>
    <w:rsid w:val="009325A7"/>
    <w:rsid w:val="00975A60"/>
    <w:rsid w:val="009956F9"/>
    <w:rsid w:val="009B44BE"/>
    <w:rsid w:val="009F5B1B"/>
    <w:rsid w:val="00A312D8"/>
    <w:rsid w:val="00A41080"/>
    <w:rsid w:val="00A4597C"/>
    <w:rsid w:val="00AB1448"/>
    <w:rsid w:val="00AC2333"/>
    <w:rsid w:val="00B31AC4"/>
    <w:rsid w:val="00B844E8"/>
    <w:rsid w:val="00B87A44"/>
    <w:rsid w:val="00B93BED"/>
    <w:rsid w:val="00BD08AB"/>
    <w:rsid w:val="00BD679F"/>
    <w:rsid w:val="00C67021"/>
    <w:rsid w:val="00CC3CF5"/>
    <w:rsid w:val="00CD4A1D"/>
    <w:rsid w:val="00D03AB2"/>
    <w:rsid w:val="00D13825"/>
    <w:rsid w:val="00DA20ED"/>
    <w:rsid w:val="00DC1CC5"/>
    <w:rsid w:val="00DC590C"/>
    <w:rsid w:val="00DE3D6D"/>
    <w:rsid w:val="00DF345F"/>
    <w:rsid w:val="00E162DA"/>
    <w:rsid w:val="00F03F25"/>
    <w:rsid w:val="00F357A9"/>
    <w:rsid w:val="00F53968"/>
    <w:rsid w:val="00F7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78B73"/>
  <w15:docId w15:val="{E92DC718-CD9A-427D-9515-DE633F36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7A44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59"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qFormat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rsid w:val="001203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12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ho.int/iris/bitstream/handle/10665/162441/9789241549127_eng.pdf;jsessionid=3B5C932E177AC0E91DFA84112DEBD6C7?sequence=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who.int/en/news-room/fact-sheets/detail/malaria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orrest\Documents\Custom%20Office%20Templates\Clinical%20guideline%20template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Clinical guideline template 2018</Template>
  <TotalTime>17</TotalTime>
  <Pages>6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Karen</dc:creator>
  <cp:keywords/>
  <dc:description/>
  <cp:lastModifiedBy>Karen Forrest</cp:lastModifiedBy>
  <cp:revision>14</cp:revision>
  <cp:lastPrinted>2019-05-03T10:38:00Z</cp:lastPrinted>
  <dcterms:created xsi:type="dcterms:W3CDTF">2018-07-24T13:06:00Z</dcterms:created>
  <dcterms:modified xsi:type="dcterms:W3CDTF">2019-05-03T10:38:00Z</dcterms:modified>
</cp:coreProperties>
</file>