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6F33B" w14:textId="694DC7BD" w:rsidR="001203AE" w:rsidRPr="003C0800" w:rsidRDefault="0056768F" w:rsidP="001203AE">
      <w:pPr>
        <w:pStyle w:val="Heading1"/>
        <w:rPr>
          <w:rFonts w:cs="Arial"/>
          <w:szCs w:val="22"/>
        </w:rPr>
      </w:pPr>
      <w:bookmarkStart w:id="0" w:name="_GoBack"/>
      <w:bookmarkEnd w:id="0"/>
      <w:r>
        <w:rPr>
          <w:rFonts w:cs="Arial"/>
          <w:szCs w:val="22"/>
        </w:rPr>
        <w:t>Acut</w:t>
      </w:r>
      <w:r w:rsidR="00D614AB">
        <w:rPr>
          <w:rFonts w:cs="Arial"/>
          <w:szCs w:val="22"/>
        </w:rPr>
        <w:t xml:space="preserve">e Kidney Injury </w:t>
      </w:r>
    </w:p>
    <w:p w14:paraId="7E9DDFAF" w14:textId="0A2B5128" w:rsidR="001A3B0B" w:rsidRPr="001A3B0B" w:rsidRDefault="001A3B0B" w:rsidP="00975A60">
      <w:pPr>
        <w:pStyle w:val="Heading2"/>
        <w:rPr>
          <w:rFonts w:cs="Arial"/>
          <w:i/>
          <w:szCs w:val="22"/>
        </w:rPr>
      </w:pPr>
      <w:r w:rsidRPr="001A3B0B">
        <w:rPr>
          <w:rFonts w:cs="Arial"/>
          <w:i/>
          <w:szCs w:val="22"/>
        </w:rPr>
        <w:t>Executive summary</w:t>
      </w:r>
    </w:p>
    <w:p w14:paraId="101DC985" w14:textId="52F791B6" w:rsidR="00975A60" w:rsidRPr="00DC590C" w:rsidRDefault="00975A60" w:rsidP="00975A60">
      <w:pPr>
        <w:pStyle w:val="Heading2"/>
        <w:rPr>
          <w:rFonts w:cs="Arial"/>
          <w:szCs w:val="22"/>
        </w:rPr>
      </w:pPr>
      <w:r w:rsidRPr="00DC590C">
        <w:rPr>
          <w:rFonts w:cs="Arial"/>
          <w:szCs w:val="22"/>
        </w:rPr>
        <w:t>Introduction</w:t>
      </w:r>
    </w:p>
    <w:p w14:paraId="61C8B7CD" w14:textId="5351D6FB" w:rsidR="001203AE" w:rsidRDefault="00D614AB" w:rsidP="00A4751A">
      <w:r w:rsidRPr="00A4751A">
        <w:t>Acute kidney injury (AKI) is an abrupt decline in renal function usually taking place over hours to days. It is defined by a reduction in urine output and / or a laboratory diagnosis of a decline in renal functio</w:t>
      </w:r>
      <w:r w:rsidR="00A54DB0" w:rsidRPr="00A4751A">
        <w:t>n</w:t>
      </w:r>
      <w:r w:rsidRPr="00A4751A">
        <w:t xml:space="preserve"> i.e. increased serum creatinine </w:t>
      </w:r>
      <w:r w:rsidR="00A54DB0" w:rsidRPr="00A4751A">
        <w:t>(</w:t>
      </w:r>
      <w:r w:rsidRPr="00A4751A">
        <w:t xml:space="preserve">Cr) or </w:t>
      </w:r>
      <w:proofErr w:type="gramStart"/>
      <w:r w:rsidRPr="00A4751A">
        <w:t>reduced  glomerular</w:t>
      </w:r>
      <w:proofErr w:type="gramEnd"/>
      <w:r w:rsidRPr="00A4751A">
        <w:t xml:space="preserve"> filtration rate</w:t>
      </w:r>
      <w:r w:rsidR="00A54DB0" w:rsidRPr="00A4751A">
        <w:t xml:space="preserve"> </w:t>
      </w:r>
      <w:r w:rsidRPr="00A4751A">
        <w:t>(GFR). Acute kidney is a significant risk factor for morbidity and mortality – a moderate elevation of serum creatinine is an independent risk factor for mortality. The causes of AKI in adults are not significantly different from the causes in children, however</w:t>
      </w:r>
      <w:r w:rsidR="00DA7CBA" w:rsidRPr="00A4751A">
        <w:t>,</w:t>
      </w:r>
      <w:r w:rsidRPr="00A4751A">
        <w:t xml:space="preserve"> different criteria are used to determine the </w:t>
      </w:r>
      <w:r w:rsidR="00DD1324" w:rsidRPr="00A4751A">
        <w:t>severity</w:t>
      </w:r>
      <w:r w:rsidRPr="00A4751A">
        <w:t xml:space="preserve"> of AKI in </w:t>
      </w:r>
      <w:r w:rsidR="00A54DB0" w:rsidRPr="00A4751A">
        <w:t>each</w:t>
      </w:r>
      <w:r w:rsidRPr="00A4751A">
        <w:t xml:space="preserve"> age group. AKI may progress to </w:t>
      </w:r>
      <w:r w:rsidR="001D3D63" w:rsidRPr="00A4751A">
        <w:t>c</w:t>
      </w:r>
      <w:r w:rsidRPr="00A4751A">
        <w:t xml:space="preserve">hronic kidney </w:t>
      </w:r>
      <w:proofErr w:type="gramStart"/>
      <w:r w:rsidRPr="00A4751A">
        <w:t>disease(</w:t>
      </w:r>
      <w:proofErr w:type="gramEnd"/>
      <w:r w:rsidRPr="00A4751A">
        <w:t>CKD) and may occur in the presence of CKD. It is important to distinguish between the two conditions</w:t>
      </w:r>
      <w:r w:rsidR="00A54DB0" w:rsidRPr="00A4751A">
        <w:t xml:space="preserve"> as </w:t>
      </w:r>
      <w:r w:rsidR="00A4751A" w:rsidRPr="00A4751A">
        <w:t>interventions and prognosis are very different</w:t>
      </w:r>
      <w:r w:rsidRPr="00A4751A">
        <w:t xml:space="preserve">. </w:t>
      </w:r>
      <w:r w:rsidR="00DD1324" w:rsidRPr="00A4751A">
        <w:t>Th</w:t>
      </w:r>
      <w:r w:rsidR="00A4751A" w:rsidRPr="00A4751A">
        <w:t>e</w:t>
      </w:r>
      <w:r w:rsidR="00DD1324" w:rsidRPr="00A4751A">
        <w:t xml:space="preserve"> difference is usually temporal.</w:t>
      </w:r>
    </w:p>
    <w:p w14:paraId="7CF81A12" w14:textId="77777777" w:rsidR="001A3B0B" w:rsidRDefault="001A3B0B" w:rsidP="001A3B0B">
      <w:pPr>
        <w:pStyle w:val="Heading3"/>
        <w:rPr>
          <w:rFonts w:eastAsia="MS Mincho" w:cs="Arial"/>
          <w:bCs w:val="0"/>
          <w:sz w:val="24"/>
          <w:szCs w:val="22"/>
          <w:u w:val="none"/>
        </w:rPr>
      </w:pPr>
      <w:r w:rsidRPr="00612AEE">
        <w:rPr>
          <w:rFonts w:eastAsia="MS Mincho" w:cs="Arial"/>
          <w:bCs w:val="0"/>
          <w:sz w:val="24"/>
          <w:szCs w:val="22"/>
          <w:u w:val="none"/>
        </w:rPr>
        <w:t>Target User</w:t>
      </w:r>
    </w:p>
    <w:p w14:paraId="550D0E90" w14:textId="5169810E" w:rsidR="001A3B0B" w:rsidRDefault="001A3B0B" w:rsidP="001A3B0B">
      <w:pPr>
        <w:pStyle w:val="ListParagraph"/>
        <w:numPr>
          <w:ilvl w:val="0"/>
          <w:numId w:val="39"/>
        </w:numPr>
      </w:pPr>
      <w:r>
        <w:t xml:space="preserve">Doctors </w:t>
      </w:r>
    </w:p>
    <w:p w14:paraId="70F4850C" w14:textId="77777777" w:rsidR="001A3B0B" w:rsidRPr="00612AEE" w:rsidRDefault="001A3B0B" w:rsidP="001A3B0B">
      <w:pPr>
        <w:pStyle w:val="ListParagraph"/>
        <w:numPr>
          <w:ilvl w:val="0"/>
          <w:numId w:val="39"/>
        </w:numPr>
      </w:pPr>
      <w:r>
        <w:t>Nurses</w:t>
      </w:r>
    </w:p>
    <w:p w14:paraId="6FA11C49" w14:textId="77777777" w:rsidR="001A3B0B" w:rsidRDefault="001A3B0B" w:rsidP="001A3B0B">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12C71156" w14:textId="77777777" w:rsidR="001A3B0B" w:rsidRDefault="001A3B0B" w:rsidP="001A3B0B">
      <w:pPr>
        <w:pStyle w:val="ListParagraph"/>
        <w:numPr>
          <w:ilvl w:val="0"/>
          <w:numId w:val="40"/>
        </w:numPr>
      </w:pPr>
      <w:r>
        <w:t>Ward</w:t>
      </w:r>
    </w:p>
    <w:p w14:paraId="79F0CA9C" w14:textId="047E6D12" w:rsidR="001A3B0B" w:rsidRPr="00612AEE" w:rsidRDefault="001A3B0B" w:rsidP="001A3B0B">
      <w:pPr>
        <w:pStyle w:val="ListParagraph"/>
        <w:numPr>
          <w:ilvl w:val="0"/>
          <w:numId w:val="40"/>
        </w:numPr>
      </w:pPr>
      <w:r>
        <w:t>Outpatient department</w:t>
      </w:r>
    </w:p>
    <w:p w14:paraId="2599AF9F" w14:textId="77777777" w:rsidR="001A3B0B" w:rsidRDefault="001A3B0B" w:rsidP="001A3B0B">
      <w:pPr>
        <w:pStyle w:val="Heading3"/>
        <w:rPr>
          <w:rFonts w:eastAsia="MS Mincho" w:cs="Arial"/>
          <w:bCs w:val="0"/>
          <w:sz w:val="24"/>
          <w:szCs w:val="22"/>
          <w:u w:val="none"/>
        </w:rPr>
      </w:pPr>
      <w:r>
        <w:rPr>
          <w:rFonts w:eastAsia="MS Mincho" w:cs="Arial"/>
          <w:bCs w:val="0"/>
          <w:sz w:val="24"/>
          <w:szCs w:val="22"/>
          <w:u w:val="none"/>
        </w:rPr>
        <w:t xml:space="preserve">Key areas of focus </w:t>
      </w:r>
    </w:p>
    <w:p w14:paraId="13F31E70" w14:textId="4F0ADC9E" w:rsidR="001A3B0B" w:rsidRPr="00FB44FA" w:rsidRDefault="001A3B0B" w:rsidP="001A3B0B">
      <w:r>
        <w:t>The main focus of this guideline is to stimulate doctors to recognize and manage AKI promptly. It is necessary to follow up the patients with AKI and those at risk of AKI to reduce morbidity. Furosemide use in the management of AKI is restricted to patients with signs of fluid overload.</w:t>
      </w:r>
    </w:p>
    <w:p w14:paraId="70E36096" w14:textId="77777777" w:rsidR="001A3B0B" w:rsidRDefault="001A3B0B" w:rsidP="001A3B0B">
      <w:pPr>
        <w:pStyle w:val="Heading3"/>
        <w:rPr>
          <w:rFonts w:eastAsia="MS Mincho" w:cs="Arial"/>
          <w:bCs w:val="0"/>
          <w:sz w:val="24"/>
          <w:szCs w:val="22"/>
          <w:u w:val="none"/>
        </w:rPr>
      </w:pPr>
      <w:r w:rsidRPr="00612AEE">
        <w:rPr>
          <w:rFonts w:eastAsia="MS Mincho" w:cs="Arial"/>
          <w:bCs w:val="0"/>
          <w:sz w:val="24"/>
          <w:szCs w:val="22"/>
          <w:u w:val="none"/>
        </w:rPr>
        <w:t xml:space="preserve">Limitations </w:t>
      </w:r>
    </w:p>
    <w:p w14:paraId="5DFD59A5" w14:textId="23D4355C" w:rsidR="001A3B0B" w:rsidRDefault="001A3B0B" w:rsidP="001A3B0B">
      <w:pPr>
        <w:pStyle w:val="Heading2"/>
        <w:rPr>
          <w:b w:val="0"/>
          <w:szCs w:val="22"/>
        </w:rPr>
      </w:pPr>
      <w:r>
        <w:rPr>
          <w:rFonts w:cs="Arial"/>
          <w:b w:val="0"/>
          <w:sz w:val="22"/>
          <w:szCs w:val="22"/>
        </w:rPr>
        <w:t>Management of stage 3 AKI (an indication for renal replacement therapy) is not available at CSD. These patients must be referred to EFSTH.</w:t>
      </w:r>
      <w:r w:rsidR="00C315A1">
        <w:rPr>
          <w:rFonts w:cs="Arial"/>
          <w:b w:val="0"/>
          <w:sz w:val="22"/>
          <w:szCs w:val="22"/>
        </w:rPr>
        <w:t xml:space="preserve"> Patients at Keneba who are suspected to have AKI should be referred for adequate management.</w:t>
      </w:r>
    </w:p>
    <w:p w14:paraId="5B64F238" w14:textId="77777777" w:rsidR="001A3B0B" w:rsidRPr="005638D0" w:rsidRDefault="001A3B0B" w:rsidP="001A3B0B">
      <w:pPr>
        <w:rPr>
          <w:sz w:val="20"/>
          <w:szCs w:val="20"/>
        </w:rPr>
      </w:pPr>
    </w:p>
    <w:p w14:paraId="05B146DC" w14:textId="77777777" w:rsidR="001A3B0B" w:rsidRPr="00A4751A" w:rsidRDefault="001A3B0B" w:rsidP="00A4751A"/>
    <w:p w14:paraId="5C2D5A8C" w14:textId="77777777" w:rsidR="001A3B0B" w:rsidRDefault="001A3B0B">
      <w:pPr>
        <w:spacing w:after="0"/>
        <w:outlineLvl w:val="9"/>
        <w:rPr>
          <w:rFonts w:cs="Times New Roman"/>
          <w:b/>
          <w:sz w:val="24"/>
          <w:szCs w:val="28"/>
        </w:rPr>
      </w:pPr>
      <w:r>
        <w:br w:type="page"/>
      </w:r>
    </w:p>
    <w:p w14:paraId="213264F1" w14:textId="5B3D5D33" w:rsidR="006F53AB" w:rsidRDefault="00D850C1" w:rsidP="00A4751A">
      <w:pPr>
        <w:pStyle w:val="Heading2"/>
      </w:pPr>
      <w:r w:rsidRPr="006F53AB">
        <w:lastRenderedPageBreak/>
        <w:t>Common causes</w:t>
      </w:r>
      <w:r w:rsidR="006F53AB">
        <w:t xml:space="preserve">: </w:t>
      </w:r>
    </w:p>
    <w:p w14:paraId="7DB18DB8" w14:textId="74B72C3B" w:rsidR="006F53AB" w:rsidRPr="006F53AB" w:rsidRDefault="006F53AB" w:rsidP="00A4751A">
      <w:r w:rsidRPr="006F53AB">
        <w:t>The</w:t>
      </w:r>
      <w:r>
        <w:t xml:space="preserve"> following are common causes of AKI in this region</w:t>
      </w:r>
      <w:r w:rsidR="00507221">
        <w:t xml:space="preserve">. </w:t>
      </w:r>
    </w:p>
    <w:p w14:paraId="6C0E4796" w14:textId="10B576CA" w:rsidR="00D850C1" w:rsidRDefault="00D850C1" w:rsidP="00A4751A">
      <w:pPr>
        <w:pStyle w:val="ListParagraph"/>
        <w:numPr>
          <w:ilvl w:val="0"/>
          <w:numId w:val="37"/>
        </w:numPr>
      </w:pPr>
      <w:r>
        <w:t xml:space="preserve">Gastroenteritis </w:t>
      </w:r>
    </w:p>
    <w:p w14:paraId="1C9AE9AB" w14:textId="17DFBF51" w:rsidR="00D850C1" w:rsidRDefault="00D850C1" w:rsidP="00A4751A">
      <w:pPr>
        <w:pStyle w:val="ListParagraph"/>
        <w:numPr>
          <w:ilvl w:val="0"/>
          <w:numId w:val="37"/>
        </w:numPr>
      </w:pPr>
      <w:r>
        <w:t>Sepsis</w:t>
      </w:r>
    </w:p>
    <w:p w14:paraId="7DBB4A15" w14:textId="0FB5F215" w:rsidR="006F53AB" w:rsidRDefault="006F53AB" w:rsidP="00A4751A">
      <w:pPr>
        <w:pStyle w:val="ListParagraph"/>
        <w:numPr>
          <w:ilvl w:val="0"/>
          <w:numId w:val="37"/>
        </w:numPr>
      </w:pPr>
      <w:r>
        <w:t xml:space="preserve">Malaria </w:t>
      </w:r>
    </w:p>
    <w:p w14:paraId="5214BCF6" w14:textId="363C54D6" w:rsidR="006F53AB" w:rsidRDefault="006F53AB" w:rsidP="00A4751A">
      <w:pPr>
        <w:pStyle w:val="ListParagraph"/>
        <w:numPr>
          <w:ilvl w:val="0"/>
          <w:numId w:val="37"/>
        </w:numPr>
      </w:pPr>
      <w:r>
        <w:t xml:space="preserve">Haemorrhage </w:t>
      </w:r>
    </w:p>
    <w:p w14:paraId="438F5C70" w14:textId="78DC91BB" w:rsidR="006F53AB" w:rsidRDefault="006F53AB" w:rsidP="00A4751A">
      <w:pPr>
        <w:pStyle w:val="ListParagraph"/>
        <w:numPr>
          <w:ilvl w:val="0"/>
          <w:numId w:val="37"/>
        </w:numPr>
      </w:pPr>
      <w:r>
        <w:t xml:space="preserve">Glomerulonephritis, especially in children </w:t>
      </w:r>
    </w:p>
    <w:p w14:paraId="75E7FE81" w14:textId="66300D58" w:rsidR="006F53AB" w:rsidRDefault="006F53AB" w:rsidP="00A4751A">
      <w:pPr>
        <w:pStyle w:val="ListParagraph"/>
        <w:numPr>
          <w:ilvl w:val="0"/>
          <w:numId w:val="37"/>
        </w:numPr>
      </w:pPr>
      <w:r>
        <w:t xml:space="preserve">Use of nephrotoxins – NSAIDs, aminoglycosides, </w:t>
      </w:r>
      <w:proofErr w:type="spellStart"/>
      <w:r>
        <w:t>ACEi</w:t>
      </w:r>
      <w:proofErr w:type="spellEnd"/>
      <w:r>
        <w:t xml:space="preserve"> </w:t>
      </w:r>
      <w:r w:rsidR="00A606A8">
        <w:t>/</w:t>
      </w:r>
      <w:r w:rsidR="00A4751A">
        <w:t xml:space="preserve"> </w:t>
      </w:r>
      <w:r>
        <w:t xml:space="preserve">ARBs, diuretics overuse, </w:t>
      </w:r>
      <w:r w:rsidR="00507221">
        <w:t>metformin, herbal</w:t>
      </w:r>
      <w:r>
        <w:t xml:space="preserve"> medications, contrast dyes</w:t>
      </w:r>
    </w:p>
    <w:p w14:paraId="7F163F0B" w14:textId="53DD6487" w:rsidR="00D850C1" w:rsidRDefault="00D850C1" w:rsidP="00A4751A">
      <w:pPr>
        <w:pStyle w:val="ListParagraph"/>
        <w:numPr>
          <w:ilvl w:val="0"/>
          <w:numId w:val="37"/>
        </w:numPr>
      </w:pPr>
      <w:r>
        <w:t xml:space="preserve">Heart failure </w:t>
      </w:r>
    </w:p>
    <w:p w14:paraId="6F668414" w14:textId="0EB19D2A" w:rsidR="00D850C1" w:rsidRDefault="00D850C1" w:rsidP="00A4751A">
      <w:pPr>
        <w:pStyle w:val="ListParagraph"/>
        <w:numPr>
          <w:ilvl w:val="0"/>
          <w:numId w:val="37"/>
        </w:numPr>
      </w:pPr>
      <w:r>
        <w:t>Liver</w:t>
      </w:r>
      <w:r w:rsidR="006F53AB">
        <w:t xml:space="preserve"> </w:t>
      </w:r>
      <w:r>
        <w:t xml:space="preserve">failure </w:t>
      </w:r>
    </w:p>
    <w:p w14:paraId="4EE70F87" w14:textId="39784ECD" w:rsidR="006F53AB" w:rsidRDefault="006F53AB" w:rsidP="00A4751A">
      <w:pPr>
        <w:pStyle w:val="ListParagraph"/>
        <w:numPr>
          <w:ilvl w:val="0"/>
          <w:numId w:val="37"/>
        </w:numPr>
      </w:pPr>
      <w:r>
        <w:t xml:space="preserve">Urinary tract obstruction - stones, </w:t>
      </w:r>
      <w:proofErr w:type="spellStart"/>
      <w:r>
        <w:t>tumo</w:t>
      </w:r>
      <w:r w:rsidR="00E81BFA">
        <w:t>u</w:t>
      </w:r>
      <w:r>
        <w:t>rs</w:t>
      </w:r>
      <w:proofErr w:type="spellEnd"/>
      <w:r>
        <w:t xml:space="preserve"> </w:t>
      </w:r>
    </w:p>
    <w:p w14:paraId="619139E0" w14:textId="5773F2A7" w:rsidR="00507221" w:rsidRPr="00507221" w:rsidRDefault="00507221" w:rsidP="00E81BFA">
      <w:pPr>
        <w:pStyle w:val="Heading2"/>
      </w:pPr>
      <w:r>
        <w:t xml:space="preserve">Risk factors for </w:t>
      </w:r>
      <w:r w:rsidRPr="00507221">
        <w:t xml:space="preserve">AKI </w:t>
      </w:r>
    </w:p>
    <w:p w14:paraId="6D175542" w14:textId="77777777" w:rsidR="00507221" w:rsidRDefault="00507221" w:rsidP="00507221">
      <w:pPr>
        <w:pStyle w:val="ListParagraph"/>
        <w:numPr>
          <w:ilvl w:val="0"/>
          <w:numId w:val="28"/>
        </w:numPr>
      </w:pPr>
      <w:r>
        <w:t>Patients older than 65 years of age</w:t>
      </w:r>
    </w:p>
    <w:p w14:paraId="5B679F8B" w14:textId="77777777" w:rsidR="00507221" w:rsidRDefault="00507221" w:rsidP="00507221">
      <w:pPr>
        <w:pStyle w:val="ListParagraph"/>
        <w:numPr>
          <w:ilvl w:val="0"/>
          <w:numId w:val="28"/>
        </w:numPr>
      </w:pPr>
      <w:r>
        <w:t>CKD</w:t>
      </w:r>
    </w:p>
    <w:p w14:paraId="31606E1D" w14:textId="77777777" w:rsidR="00507221" w:rsidRDefault="00507221" w:rsidP="00507221">
      <w:pPr>
        <w:pStyle w:val="ListParagraph"/>
        <w:numPr>
          <w:ilvl w:val="0"/>
          <w:numId w:val="28"/>
        </w:numPr>
      </w:pPr>
      <w:r>
        <w:t>Heart failure</w:t>
      </w:r>
    </w:p>
    <w:p w14:paraId="5B6D2779" w14:textId="77777777" w:rsidR="00507221" w:rsidRDefault="00507221" w:rsidP="00507221">
      <w:pPr>
        <w:pStyle w:val="ListParagraph"/>
        <w:numPr>
          <w:ilvl w:val="0"/>
          <w:numId w:val="28"/>
        </w:numPr>
      </w:pPr>
      <w:r>
        <w:t>Liver disease</w:t>
      </w:r>
    </w:p>
    <w:p w14:paraId="05903E1A" w14:textId="77777777" w:rsidR="00507221" w:rsidRDefault="00507221" w:rsidP="00507221">
      <w:pPr>
        <w:pStyle w:val="ListParagraph"/>
        <w:numPr>
          <w:ilvl w:val="0"/>
          <w:numId w:val="28"/>
        </w:numPr>
      </w:pPr>
      <w:r>
        <w:t>Diabetes</w:t>
      </w:r>
    </w:p>
    <w:p w14:paraId="09AB2991" w14:textId="77777777" w:rsidR="00507221" w:rsidRDefault="00507221" w:rsidP="00507221">
      <w:pPr>
        <w:pStyle w:val="ListParagraph"/>
        <w:numPr>
          <w:ilvl w:val="0"/>
          <w:numId w:val="28"/>
        </w:numPr>
      </w:pPr>
      <w:proofErr w:type="spellStart"/>
      <w:r>
        <w:t>Haematological</w:t>
      </w:r>
      <w:proofErr w:type="spellEnd"/>
      <w:r>
        <w:t xml:space="preserve"> malignancy</w:t>
      </w:r>
    </w:p>
    <w:p w14:paraId="0666430C" w14:textId="6D2140EE" w:rsidR="00507221" w:rsidRDefault="00507221" w:rsidP="00507221">
      <w:pPr>
        <w:pStyle w:val="ListParagraph"/>
        <w:numPr>
          <w:ilvl w:val="0"/>
          <w:numId w:val="28"/>
        </w:numPr>
      </w:pPr>
      <w:r>
        <w:t xml:space="preserve">History of </w:t>
      </w:r>
      <w:r w:rsidR="00E81BFA">
        <w:t>AKI</w:t>
      </w:r>
    </w:p>
    <w:p w14:paraId="1C26CCA6" w14:textId="2DA54D60" w:rsidR="00507221" w:rsidRDefault="00507221" w:rsidP="00507221">
      <w:pPr>
        <w:pStyle w:val="ListParagraph"/>
        <w:numPr>
          <w:ilvl w:val="0"/>
          <w:numId w:val="28"/>
        </w:numPr>
      </w:pPr>
      <w:r>
        <w:t>Neurological/</w:t>
      </w:r>
      <w:r w:rsidR="00E81BFA">
        <w:t>c</w:t>
      </w:r>
      <w:r>
        <w:t>ognitive impairment</w:t>
      </w:r>
    </w:p>
    <w:p w14:paraId="70306585" w14:textId="1785B301" w:rsidR="00507221" w:rsidRDefault="00507221" w:rsidP="00507221">
      <w:pPr>
        <w:pStyle w:val="ListParagraph"/>
        <w:numPr>
          <w:ilvl w:val="0"/>
          <w:numId w:val="28"/>
        </w:numPr>
      </w:pPr>
      <w:r>
        <w:t xml:space="preserve">Reliance on carers for fluids </w:t>
      </w:r>
    </w:p>
    <w:p w14:paraId="6C400E0F" w14:textId="2C3443C4" w:rsidR="00975A60" w:rsidRPr="008802C5" w:rsidRDefault="00975A60" w:rsidP="008802C5">
      <w:pPr>
        <w:pStyle w:val="Heading2"/>
      </w:pPr>
      <w:r w:rsidRPr="008802C5">
        <w:t>Presenting symptoms and signs</w:t>
      </w:r>
    </w:p>
    <w:p w14:paraId="2AAAC17D" w14:textId="2164CAAE" w:rsidR="00B6133E" w:rsidRDefault="00B6133E" w:rsidP="006F53AB">
      <w:pPr>
        <w:pStyle w:val="ListParagraph"/>
        <w:numPr>
          <w:ilvl w:val="0"/>
          <w:numId w:val="26"/>
        </w:numPr>
      </w:pPr>
      <w:r>
        <w:t xml:space="preserve">Reduced urine volume </w:t>
      </w:r>
      <w:r w:rsidR="00D850C1">
        <w:t>or a</w:t>
      </w:r>
      <w:r>
        <w:t xml:space="preserve">bsent urine </w:t>
      </w:r>
    </w:p>
    <w:p w14:paraId="43392994" w14:textId="130CD4D4" w:rsidR="00B6133E" w:rsidRDefault="00B6133E" w:rsidP="006F53AB">
      <w:pPr>
        <w:pStyle w:val="ListParagraph"/>
        <w:numPr>
          <w:ilvl w:val="0"/>
          <w:numId w:val="26"/>
        </w:numPr>
      </w:pPr>
      <w:r>
        <w:t xml:space="preserve">Features </w:t>
      </w:r>
      <w:r w:rsidR="006F53AB">
        <w:t xml:space="preserve">suggestive </w:t>
      </w:r>
      <w:r>
        <w:t xml:space="preserve">of </w:t>
      </w:r>
      <w:proofErr w:type="spellStart"/>
      <w:r>
        <w:t>uraemia</w:t>
      </w:r>
      <w:proofErr w:type="spellEnd"/>
      <w:r w:rsidR="00C315A1">
        <w:t xml:space="preserve"> including</w:t>
      </w:r>
      <w:r>
        <w:t xml:space="preserve"> epigastric pain, </w:t>
      </w:r>
      <w:proofErr w:type="spellStart"/>
      <w:r w:rsidR="006F53AB">
        <w:t>haematemesis</w:t>
      </w:r>
      <w:proofErr w:type="spellEnd"/>
      <w:r>
        <w:t xml:space="preserve">, </w:t>
      </w:r>
      <w:proofErr w:type="spellStart"/>
      <w:r>
        <w:t>h</w:t>
      </w:r>
      <w:r w:rsidR="008802C5">
        <w:t>a</w:t>
      </w:r>
      <w:r>
        <w:t>ematochezia</w:t>
      </w:r>
      <w:proofErr w:type="spellEnd"/>
      <w:r>
        <w:t>,</w:t>
      </w:r>
      <w:r w:rsidR="00DF4927">
        <w:t xml:space="preserve"> chest pain, </w:t>
      </w:r>
      <w:r w:rsidR="00D850C1">
        <w:t>confusion, obtundation</w:t>
      </w:r>
      <w:r w:rsidR="00B5488D">
        <w:t xml:space="preserve">, </w:t>
      </w:r>
      <w:r w:rsidR="006F53AB">
        <w:t>loss</w:t>
      </w:r>
      <w:r w:rsidR="00D850C1">
        <w:t xml:space="preserve"> of consciousness, increased somnolence, dyspnea, abnormal bleeding and bruising, </w:t>
      </w:r>
      <w:proofErr w:type="spellStart"/>
      <w:r w:rsidR="00D850C1">
        <w:t>generalised</w:t>
      </w:r>
      <w:proofErr w:type="spellEnd"/>
      <w:r w:rsidR="00D850C1">
        <w:t xml:space="preserve"> body weakness</w:t>
      </w:r>
    </w:p>
    <w:p w14:paraId="5AC9B5DF" w14:textId="5745B45C" w:rsidR="00D850C1" w:rsidRPr="00B6133E" w:rsidRDefault="00D850C1" w:rsidP="006F53AB">
      <w:pPr>
        <w:pStyle w:val="ListParagraph"/>
        <w:numPr>
          <w:ilvl w:val="0"/>
          <w:numId w:val="26"/>
        </w:numPr>
      </w:pPr>
      <w:r>
        <w:t xml:space="preserve">Features of </w:t>
      </w:r>
      <w:r w:rsidR="00C315A1">
        <w:t xml:space="preserve">the underlying </w:t>
      </w:r>
      <w:r>
        <w:t>cause</w:t>
      </w:r>
      <w:r w:rsidR="006F53AB">
        <w:t>s</w:t>
      </w:r>
      <w:r>
        <w:t>: fever, vomiting</w:t>
      </w:r>
      <w:r w:rsidR="006F53AB">
        <w:t>,</w:t>
      </w:r>
      <w:r>
        <w:t xml:space="preserve"> </w:t>
      </w:r>
      <w:proofErr w:type="spellStart"/>
      <w:r>
        <w:t>diarrhoea</w:t>
      </w:r>
      <w:proofErr w:type="spellEnd"/>
      <w:r w:rsidR="006F53AB">
        <w:t>,</w:t>
      </w:r>
      <w:r>
        <w:t xml:space="preserve"> </w:t>
      </w:r>
      <w:proofErr w:type="spellStart"/>
      <w:r w:rsidR="006F53AB">
        <w:t>haematuria</w:t>
      </w:r>
      <w:proofErr w:type="spellEnd"/>
    </w:p>
    <w:p w14:paraId="68F0939C" w14:textId="3BC3A960" w:rsidR="006F53AB" w:rsidRPr="008802C5" w:rsidRDefault="006F53AB" w:rsidP="008802C5">
      <w:pPr>
        <w:pStyle w:val="Heading2"/>
      </w:pPr>
      <w:r w:rsidRPr="008802C5">
        <w:t>Examination findings</w:t>
      </w:r>
    </w:p>
    <w:p w14:paraId="5C459DAB" w14:textId="734FFE74" w:rsidR="00A606A8" w:rsidRPr="00A606A8" w:rsidRDefault="00A606A8" w:rsidP="00A606A8">
      <w:r>
        <w:t xml:space="preserve">This includes </w:t>
      </w:r>
      <w:r w:rsidR="006D44A8">
        <w:t>features</w:t>
      </w:r>
      <w:r>
        <w:t xml:space="preserve"> of A</w:t>
      </w:r>
      <w:r w:rsidR="006D44A8">
        <w:t>K</w:t>
      </w:r>
      <w:r>
        <w:t>I (</w:t>
      </w:r>
      <w:r w:rsidR="008802C5">
        <w:t>o</w:t>
      </w:r>
      <w:r>
        <w:t>liguria or anuria)</w:t>
      </w:r>
      <w:r w:rsidR="00DC2FB9">
        <w:t xml:space="preserve"> as well as those of </w:t>
      </w:r>
      <w:r>
        <w:t>the underlying cause or complications</w:t>
      </w:r>
      <w:r w:rsidR="00DC2FB9">
        <w:t>.</w:t>
      </w:r>
    </w:p>
    <w:p w14:paraId="4D71D31C" w14:textId="77777777" w:rsidR="006D44A8" w:rsidRPr="006D44A8" w:rsidRDefault="006D44A8" w:rsidP="006D44A8">
      <w:pPr>
        <w:pStyle w:val="ListParagraph"/>
        <w:numPr>
          <w:ilvl w:val="0"/>
          <w:numId w:val="27"/>
        </w:numPr>
      </w:pPr>
      <w:r w:rsidRPr="006D44A8">
        <w:t xml:space="preserve">Oliguria or anuria </w:t>
      </w:r>
    </w:p>
    <w:p w14:paraId="624D5C3F" w14:textId="38061CD9" w:rsidR="00D614AB" w:rsidRDefault="00BD555A" w:rsidP="00A606A8">
      <w:pPr>
        <w:pStyle w:val="ListParagraph"/>
        <w:numPr>
          <w:ilvl w:val="0"/>
          <w:numId w:val="27"/>
        </w:numPr>
      </w:pPr>
      <w:r>
        <w:t xml:space="preserve">Fever or hypothermia </w:t>
      </w:r>
    </w:p>
    <w:p w14:paraId="57CA815D" w14:textId="1016FCFF" w:rsidR="00BD555A" w:rsidRDefault="00BD555A" w:rsidP="00A606A8">
      <w:pPr>
        <w:pStyle w:val="ListParagraph"/>
        <w:numPr>
          <w:ilvl w:val="0"/>
          <w:numId w:val="27"/>
        </w:numPr>
      </w:pPr>
      <w:r>
        <w:t xml:space="preserve">Pallor </w:t>
      </w:r>
    </w:p>
    <w:p w14:paraId="5CF486BF" w14:textId="62C37B17" w:rsidR="00BD555A" w:rsidRDefault="00BD555A" w:rsidP="00A606A8">
      <w:pPr>
        <w:pStyle w:val="ListParagraph"/>
        <w:numPr>
          <w:ilvl w:val="0"/>
          <w:numId w:val="27"/>
        </w:numPr>
      </w:pPr>
      <w:r>
        <w:t>Dehydration</w:t>
      </w:r>
    </w:p>
    <w:p w14:paraId="005607F0" w14:textId="0089A676" w:rsidR="00BD555A" w:rsidRDefault="00BD555A" w:rsidP="00A606A8">
      <w:pPr>
        <w:pStyle w:val="ListParagraph"/>
        <w:numPr>
          <w:ilvl w:val="0"/>
          <w:numId w:val="27"/>
        </w:numPr>
      </w:pPr>
      <w:r>
        <w:t xml:space="preserve">Jaundice </w:t>
      </w:r>
    </w:p>
    <w:p w14:paraId="6CA1DE52" w14:textId="1CD52556" w:rsidR="00BD555A" w:rsidRDefault="00BD555A" w:rsidP="00A606A8">
      <w:pPr>
        <w:pStyle w:val="ListParagraph"/>
        <w:numPr>
          <w:ilvl w:val="0"/>
          <w:numId w:val="27"/>
        </w:numPr>
      </w:pPr>
      <w:proofErr w:type="spellStart"/>
      <w:r>
        <w:t>Oedema</w:t>
      </w:r>
      <w:proofErr w:type="spellEnd"/>
      <w:r>
        <w:t xml:space="preserve"> </w:t>
      </w:r>
    </w:p>
    <w:p w14:paraId="1FCB021B" w14:textId="77777777" w:rsidR="001A3B0B" w:rsidRDefault="001A3B0B">
      <w:pPr>
        <w:spacing w:after="0"/>
        <w:outlineLvl w:val="9"/>
        <w:rPr>
          <w:rFonts w:cs="Times New Roman"/>
          <w:b/>
          <w:sz w:val="24"/>
          <w:szCs w:val="28"/>
        </w:rPr>
      </w:pPr>
      <w:r>
        <w:br w:type="page"/>
      </w:r>
    </w:p>
    <w:p w14:paraId="0ECB1FB4" w14:textId="3AD53124" w:rsidR="00A1405F" w:rsidRDefault="00A1405F" w:rsidP="00DC2FB9">
      <w:pPr>
        <w:pStyle w:val="Heading2"/>
      </w:pPr>
      <w:r>
        <w:lastRenderedPageBreak/>
        <w:t>Investigations</w:t>
      </w:r>
    </w:p>
    <w:p w14:paraId="404BA382" w14:textId="4EAC7878" w:rsidR="00A1405F" w:rsidRPr="00A1405F" w:rsidRDefault="00A1405F" w:rsidP="00A1405F">
      <w:pPr>
        <w:pStyle w:val="ListParagraph"/>
        <w:numPr>
          <w:ilvl w:val="0"/>
          <w:numId w:val="30"/>
        </w:numPr>
        <w:rPr>
          <w:szCs w:val="22"/>
        </w:rPr>
      </w:pPr>
      <w:r w:rsidRPr="00A1405F">
        <w:rPr>
          <w:szCs w:val="22"/>
        </w:rPr>
        <w:t>Urinalysis</w:t>
      </w:r>
    </w:p>
    <w:p w14:paraId="49966D6F" w14:textId="4B5DE67C" w:rsidR="00A1405F" w:rsidRPr="00A1405F" w:rsidRDefault="00A1405F" w:rsidP="00A1405F">
      <w:pPr>
        <w:pStyle w:val="ListParagraph"/>
        <w:numPr>
          <w:ilvl w:val="0"/>
          <w:numId w:val="30"/>
        </w:numPr>
        <w:rPr>
          <w:szCs w:val="22"/>
        </w:rPr>
      </w:pPr>
      <w:r w:rsidRPr="00A1405F">
        <w:rPr>
          <w:szCs w:val="22"/>
        </w:rPr>
        <w:t xml:space="preserve">Urine microscopy </w:t>
      </w:r>
    </w:p>
    <w:p w14:paraId="3009D22A" w14:textId="7C1DFA47" w:rsidR="00A1405F" w:rsidRPr="00A1405F" w:rsidRDefault="00A1405F" w:rsidP="00A1405F">
      <w:pPr>
        <w:pStyle w:val="ListParagraph"/>
        <w:numPr>
          <w:ilvl w:val="0"/>
          <w:numId w:val="30"/>
        </w:numPr>
        <w:rPr>
          <w:szCs w:val="22"/>
        </w:rPr>
      </w:pPr>
      <w:r w:rsidRPr="00A1405F">
        <w:rPr>
          <w:szCs w:val="22"/>
        </w:rPr>
        <w:t>Serum electrolytes, urea,</w:t>
      </w:r>
      <w:r w:rsidR="00DC2FB9">
        <w:rPr>
          <w:szCs w:val="22"/>
        </w:rPr>
        <w:t xml:space="preserve"> </w:t>
      </w:r>
      <w:r w:rsidRPr="00A1405F">
        <w:rPr>
          <w:szCs w:val="22"/>
        </w:rPr>
        <w:t>creatinine, calcium and phosphate</w:t>
      </w:r>
    </w:p>
    <w:p w14:paraId="03D04FC8" w14:textId="77777777" w:rsidR="00A1405F" w:rsidRPr="00A1405F" w:rsidRDefault="00A1405F" w:rsidP="00A1405F">
      <w:pPr>
        <w:pStyle w:val="ListParagraph"/>
        <w:numPr>
          <w:ilvl w:val="0"/>
          <w:numId w:val="30"/>
        </w:numPr>
        <w:rPr>
          <w:szCs w:val="22"/>
        </w:rPr>
      </w:pPr>
      <w:r w:rsidRPr="00A1405F">
        <w:rPr>
          <w:szCs w:val="22"/>
        </w:rPr>
        <w:t>FBC and blood film</w:t>
      </w:r>
    </w:p>
    <w:p w14:paraId="0F3268DF" w14:textId="77777777" w:rsidR="00A1405F" w:rsidRPr="00A1405F" w:rsidRDefault="00A1405F" w:rsidP="00A1405F">
      <w:pPr>
        <w:pStyle w:val="ListParagraph"/>
        <w:numPr>
          <w:ilvl w:val="0"/>
          <w:numId w:val="30"/>
        </w:numPr>
        <w:rPr>
          <w:szCs w:val="22"/>
        </w:rPr>
      </w:pPr>
      <w:r w:rsidRPr="00A1405F">
        <w:rPr>
          <w:szCs w:val="22"/>
        </w:rPr>
        <w:t>Renal ultrasound</w:t>
      </w:r>
    </w:p>
    <w:p w14:paraId="5A45A6A5" w14:textId="30687638" w:rsidR="001203AE" w:rsidRPr="00A1405F" w:rsidRDefault="00507221" w:rsidP="002A2856">
      <w:pPr>
        <w:rPr>
          <w:b/>
          <w:sz w:val="24"/>
        </w:rPr>
      </w:pPr>
      <w:r w:rsidRPr="00A1405F">
        <w:rPr>
          <w:b/>
          <w:sz w:val="24"/>
        </w:rPr>
        <w:t xml:space="preserve">Diagnosis of AKI  </w:t>
      </w:r>
    </w:p>
    <w:p w14:paraId="1E736392" w14:textId="0F0295CD" w:rsidR="00A1405F" w:rsidRDefault="00A54726" w:rsidP="002A2856">
      <w:r>
        <w:t xml:space="preserve">The diagnosis of AKI </w:t>
      </w:r>
      <w:r w:rsidR="00A1405F">
        <w:t>is made if any</w:t>
      </w:r>
      <w:r w:rsidR="001832DB" w:rsidRPr="001832DB">
        <w:rPr>
          <w:u w:val="single"/>
        </w:rPr>
        <w:t xml:space="preserve"> ONE</w:t>
      </w:r>
      <w:r w:rsidR="00A1405F">
        <w:t xml:space="preserve"> of the following criteria is fulfilled</w:t>
      </w:r>
      <w:r w:rsidR="00DF4927">
        <w:t>:</w:t>
      </w:r>
    </w:p>
    <w:p w14:paraId="1F3D4A64" w14:textId="71399F74" w:rsidR="00507221" w:rsidRPr="00507221" w:rsidRDefault="00507221" w:rsidP="00A1405F">
      <w:pPr>
        <w:pStyle w:val="ListParagraph"/>
        <w:numPr>
          <w:ilvl w:val="0"/>
          <w:numId w:val="29"/>
        </w:numPr>
      </w:pPr>
      <w:r w:rsidRPr="00507221">
        <w:t xml:space="preserve">Increase in Cr by 26.5 </w:t>
      </w:r>
      <w:r w:rsidR="00710861">
        <w:t>µ</w:t>
      </w:r>
      <w:r w:rsidRPr="00507221">
        <w:t>mol/l within 48 hours; or</w:t>
      </w:r>
    </w:p>
    <w:p w14:paraId="0D5BA4FD" w14:textId="22DC79A6" w:rsidR="00507221" w:rsidRPr="00507221" w:rsidRDefault="00507221" w:rsidP="00A1405F">
      <w:pPr>
        <w:pStyle w:val="ListParagraph"/>
        <w:numPr>
          <w:ilvl w:val="0"/>
          <w:numId w:val="29"/>
        </w:numPr>
      </w:pPr>
      <w:r w:rsidRPr="00507221">
        <w:t>Increase in Cr ≥</w:t>
      </w:r>
      <w:r w:rsidR="00DC2FB9">
        <w:t xml:space="preserve"> </w:t>
      </w:r>
      <w:r w:rsidRPr="00507221">
        <w:t>1.5 times baseline, which is known or presumed to have occurred within the prior 7 days; or</w:t>
      </w:r>
    </w:p>
    <w:p w14:paraId="7814DD9A" w14:textId="0D9ECD50" w:rsidR="00AF1367" w:rsidRDefault="00507221" w:rsidP="00AF1367">
      <w:pPr>
        <w:pStyle w:val="ListParagraph"/>
        <w:numPr>
          <w:ilvl w:val="0"/>
          <w:numId w:val="29"/>
        </w:numPr>
      </w:pPr>
      <w:r w:rsidRPr="00507221">
        <w:t>Urine volume of ˂</w:t>
      </w:r>
      <w:r w:rsidR="00DC2FB9">
        <w:t xml:space="preserve"> </w:t>
      </w:r>
      <w:r w:rsidRPr="00507221">
        <w:t>0.5 ml/kg/h for 6 hours</w:t>
      </w:r>
      <w:r w:rsidR="00AF1367">
        <w:t xml:space="preserve"> (adults) or 8 hours (children); or</w:t>
      </w:r>
    </w:p>
    <w:p w14:paraId="203730BC" w14:textId="31E458C0" w:rsidR="00AF1367" w:rsidRDefault="00AF1367" w:rsidP="00AF1367">
      <w:pPr>
        <w:pStyle w:val="ListParagraph"/>
        <w:numPr>
          <w:ilvl w:val="0"/>
          <w:numId w:val="29"/>
        </w:numPr>
      </w:pPr>
      <w:r>
        <w:t>25% of greater fall in eGFR in children within past 7 days.</w:t>
      </w:r>
    </w:p>
    <w:p w14:paraId="3410D7B8" w14:textId="084C7CF6" w:rsidR="00747C87" w:rsidRDefault="00D85788" w:rsidP="00D85788">
      <w:r>
        <w:t xml:space="preserve">The staging of AKI severity </w:t>
      </w:r>
      <w:r w:rsidR="00747C87">
        <w:t xml:space="preserve">is determined by creatinine levels in adults and by creatinine clearance in children as well as urine output in both age groups </w:t>
      </w:r>
    </w:p>
    <w:p w14:paraId="09DD31EE" w14:textId="77777777" w:rsidR="00747C87" w:rsidRDefault="00747C87" w:rsidP="00747C87">
      <w:r>
        <w:t xml:space="preserve"> </w:t>
      </w:r>
    </w:p>
    <w:tbl>
      <w:tblPr>
        <w:tblStyle w:val="TableGrid"/>
        <w:tblW w:w="10921" w:type="dxa"/>
        <w:tblInd w:w="-861" w:type="dxa"/>
        <w:tblLook w:val="04A0" w:firstRow="1" w:lastRow="0" w:firstColumn="1" w:lastColumn="0" w:noHBand="0" w:noVBand="1"/>
      </w:tblPr>
      <w:tblGrid>
        <w:gridCol w:w="846"/>
        <w:gridCol w:w="2410"/>
        <w:gridCol w:w="1922"/>
        <w:gridCol w:w="3323"/>
        <w:gridCol w:w="2420"/>
      </w:tblGrid>
      <w:tr w:rsidR="00BA0992" w14:paraId="6DB0F95F" w14:textId="77777777" w:rsidTr="000334F3">
        <w:tc>
          <w:tcPr>
            <w:tcW w:w="846" w:type="dxa"/>
            <w:vMerge w:val="restart"/>
            <w:tcBorders>
              <w:top w:val="single" w:sz="12" w:space="0" w:color="auto"/>
              <w:left w:val="single" w:sz="12" w:space="0" w:color="auto"/>
              <w:right w:val="single" w:sz="12" w:space="0" w:color="auto"/>
            </w:tcBorders>
          </w:tcPr>
          <w:p w14:paraId="2AFA5ABA" w14:textId="2272A617" w:rsidR="00747C87" w:rsidRPr="000C28EA" w:rsidRDefault="00747C87" w:rsidP="00747C87">
            <w:pPr>
              <w:rPr>
                <w:b/>
              </w:rPr>
            </w:pPr>
            <w:r w:rsidRPr="000C28EA">
              <w:rPr>
                <w:b/>
              </w:rPr>
              <w:t xml:space="preserve">Stage </w:t>
            </w:r>
          </w:p>
        </w:tc>
        <w:tc>
          <w:tcPr>
            <w:tcW w:w="4332" w:type="dxa"/>
            <w:gridSpan w:val="2"/>
            <w:tcBorders>
              <w:top w:val="single" w:sz="12" w:space="0" w:color="auto"/>
              <w:left w:val="single" w:sz="12" w:space="0" w:color="auto"/>
              <w:right w:val="single" w:sz="12" w:space="0" w:color="auto"/>
            </w:tcBorders>
          </w:tcPr>
          <w:p w14:paraId="3D776BC8" w14:textId="385150C2" w:rsidR="00747C87" w:rsidRPr="000C28EA" w:rsidRDefault="00747C87" w:rsidP="000C28EA">
            <w:pPr>
              <w:jc w:val="center"/>
              <w:rPr>
                <w:b/>
              </w:rPr>
            </w:pPr>
            <w:r w:rsidRPr="000C28EA">
              <w:rPr>
                <w:b/>
              </w:rPr>
              <w:t>Children</w:t>
            </w:r>
          </w:p>
        </w:tc>
        <w:tc>
          <w:tcPr>
            <w:tcW w:w="5743" w:type="dxa"/>
            <w:gridSpan w:val="2"/>
            <w:tcBorders>
              <w:top w:val="single" w:sz="12" w:space="0" w:color="auto"/>
              <w:left w:val="single" w:sz="12" w:space="0" w:color="auto"/>
              <w:bottom w:val="single" w:sz="12" w:space="0" w:color="auto"/>
              <w:right w:val="single" w:sz="12" w:space="0" w:color="auto"/>
            </w:tcBorders>
          </w:tcPr>
          <w:p w14:paraId="1759DE47" w14:textId="5F4A1696" w:rsidR="00747C87" w:rsidRPr="000C28EA" w:rsidRDefault="00747C87" w:rsidP="000C28EA">
            <w:pPr>
              <w:jc w:val="center"/>
              <w:rPr>
                <w:b/>
              </w:rPr>
            </w:pPr>
            <w:r w:rsidRPr="000C28EA">
              <w:rPr>
                <w:b/>
              </w:rPr>
              <w:t>Adults</w:t>
            </w:r>
          </w:p>
        </w:tc>
      </w:tr>
      <w:tr w:rsidR="000C28EA" w14:paraId="4DC77AB1" w14:textId="77777777" w:rsidTr="00E3749A">
        <w:tc>
          <w:tcPr>
            <w:tcW w:w="846" w:type="dxa"/>
            <w:vMerge/>
            <w:tcBorders>
              <w:left w:val="single" w:sz="12" w:space="0" w:color="auto"/>
              <w:bottom w:val="single" w:sz="12" w:space="0" w:color="auto"/>
              <w:right w:val="single" w:sz="12" w:space="0" w:color="auto"/>
            </w:tcBorders>
          </w:tcPr>
          <w:p w14:paraId="395B9877" w14:textId="77777777" w:rsidR="00747C87" w:rsidRDefault="00747C87" w:rsidP="00747C87"/>
        </w:tc>
        <w:tc>
          <w:tcPr>
            <w:tcW w:w="2410" w:type="dxa"/>
            <w:tcBorders>
              <w:top w:val="single" w:sz="12" w:space="0" w:color="auto"/>
              <w:left w:val="single" w:sz="12" w:space="0" w:color="auto"/>
              <w:bottom w:val="single" w:sz="12" w:space="0" w:color="auto"/>
            </w:tcBorders>
          </w:tcPr>
          <w:p w14:paraId="09F4D6E3" w14:textId="47CF948D" w:rsidR="00747C87" w:rsidRPr="001D3D63" w:rsidRDefault="000334F3" w:rsidP="00747C87">
            <w:pPr>
              <w:rPr>
                <w:b/>
              </w:rPr>
            </w:pPr>
            <w:r w:rsidRPr="001D3D63">
              <w:rPr>
                <w:b/>
              </w:rPr>
              <w:t>e</w:t>
            </w:r>
            <w:r w:rsidR="00710861" w:rsidRPr="001D3D63">
              <w:rPr>
                <w:b/>
              </w:rPr>
              <w:t>GFR criteria</w:t>
            </w:r>
          </w:p>
        </w:tc>
        <w:tc>
          <w:tcPr>
            <w:tcW w:w="1922" w:type="dxa"/>
            <w:tcBorders>
              <w:top w:val="single" w:sz="12" w:space="0" w:color="auto"/>
              <w:bottom w:val="single" w:sz="12" w:space="0" w:color="auto"/>
              <w:right w:val="single" w:sz="12" w:space="0" w:color="auto"/>
            </w:tcBorders>
          </w:tcPr>
          <w:p w14:paraId="10E48B26" w14:textId="133746D4" w:rsidR="00747C87" w:rsidRPr="001D3D63" w:rsidRDefault="00710861" w:rsidP="00747C87">
            <w:pPr>
              <w:rPr>
                <w:b/>
              </w:rPr>
            </w:pPr>
            <w:r w:rsidRPr="001D3D63">
              <w:rPr>
                <w:b/>
              </w:rPr>
              <w:t xml:space="preserve">Urine output criteria </w:t>
            </w:r>
          </w:p>
        </w:tc>
        <w:tc>
          <w:tcPr>
            <w:tcW w:w="3323" w:type="dxa"/>
            <w:tcBorders>
              <w:top w:val="single" w:sz="12" w:space="0" w:color="auto"/>
              <w:left w:val="single" w:sz="12" w:space="0" w:color="auto"/>
              <w:bottom w:val="single" w:sz="12" w:space="0" w:color="auto"/>
            </w:tcBorders>
          </w:tcPr>
          <w:p w14:paraId="2ABAEBA0" w14:textId="259C4479" w:rsidR="00747C87" w:rsidRPr="001D3D63" w:rsidRDefault="00710861" w:rsidP="00747C87">
            <w:pPr>
              <w:rPr>
                <w:b/>
              </w:rPr>
            </w:pPr>
            <w:r w:rsidRPr="001D3D63">
              <w:rPr>
                <w:b/>
              </w:rPr>
              <w:t>Creatinine criteria</w:t>
            </w:r>
          </w:p>
        </w:tc>
        <w:tc>
          <w:tcPr>
            <w:tcW w:w="2420" w:type="dxa"/>
            <w:tcBorders>
              <w:top w:val="single" w:sz="12" w:space="0" w:color="auto"/>
              <w:bottom w:val="single" w:sz="12" w:space="0" w:color="auto"/>
              <w:right w:val="single" w:sz="12" w:space="0" w:color="auto"/>
            </w:tcBorders>
          </w:tcPr>
          <w:p w14:paraId="5FEE2327" w14:textId="4DDBEB6C" w:rsidR="00747C87" w:rsidRPr="001D3D63" w:rsidRDefault="00710861" w:rsidP="00747C87">
            <w:pPr>
              <w:rPr>
                <w:b/>
              </w:rPr>
            </w:pPr>
            <w:r w:rsidRPr="001D3D63">
              <w:rPr>
                <w:b/>
              </w:rPr>
              <w:t>Urine output criteria</w:t>
            </w:r>
          </w:p>
        </w:tc>
      </w:tr>
      <w:tr w:rsidR="000C28EA" w14:paraId="6A155E18" w14:textId="77777777" w:rsidTr="00E3749A">
        <w:tc>
          <w:tcPr>
            <w:tcW w:w="846" w:type="dxa"/>
            <w:tcBorders>
              <w:top w:val="single" w:sz="12" w:space="0" w:color="auto"/>
              <w:left w:val="single" w:sz="12" w:space="0" w:color="auto"/>
              <w:right w:val="single" w:sz="12" w:space="0" w:color="auto"/>
            </w:tcBorders>
          </w:tcPr>
          <w:p w14:paraId="78BAA4E0" w14:textId="1E8D9CBD" w:rsidR="00710861" w:rsidRDefault="00710861" w:rsidP="00710861">
            <w:r>
              <w:t>1</w:t>
            </w:r>
          </w:p>
        </w:tc>
        <w:tc>
          <w:tcPr>
            <w:tcW w:w="2410" w:type="dxa"/>
            <w:tcBorders>
              <w:top w:val="single" w:sz="12" w:space="0" w:color="auto"/>
              <w:left w:val="single" w:sz="12" w:space="0" w:color="auto"/>
            </w:tcBorders>
          </w:tcPr>
          <w:p w14:paraId="2B5417A4" w14:textId="364673A7" w:rsidR="00710861" w:rsidRDefault="00BA0992" w:rsidP="00710861">
            <w:r>
              <w:t>e</w:t>
            </w:r>
            <w:r w:rsidR="005D6246">
              <w:t>GFR</w:t>
            </w:r>
            <w:r>
              <w:t xml:space="preserve"> decreased by 25%</w:t>
            </w:r>
          </w:p>
        </w:tc>
        <w:tc>
          <w:tcPr>
            <w:tcW w:w="1922" w:type="dxa"/>
            <w:tcBorders>
              <w:top w:val="single" w:sz="12" w:space="0" w:color="auto"/>
              <w:right w:val="single" w:sz="12" w:space="0" w:color="auto"/>
            </w:tcBorders>
          </w:tcPr>
          <w:p w14:paraId="541BC891" w14:textId="1F73867B" w:rsidR="00710861" w:rsidRDefault="000C28EA" w:rsidP="00710861">
            <w:r w:rsidRPr="000C28EA">
              <w:t>&lt; 0.5ml/kg/</w:t>
            </w:r>
            <w:proofErr w:type="spellStart"/>
            <w:r w:rsidRPr="000C28EA">
              <w:t>hr</w:t>
            </w:r>
            <w:proofErr w:type="spellEnd"/>
            <w:r w:rsidRPr="000C28EA">
              <w:t xml:space="preserve"> x </w:t>
            </w:r>
            <w:r>
              <w:t xml:space="preserve">8 </w:t>
            </w:r>
            <w:r w:rsidRPr="000C28EA">
              <w:t>hours</w:t>
            </w:r>
          </w:p>
        </w:tc>
        <w:tc>
          <w:tcPr>
            <w:tcW w:w="3323" w:type="dxa"/>
            <w:tcBorders>
              <w:top w:val="single" w:sz="12" w:space="0" w:color="auto"/>
              <w:left w:val="single" w:sz="12" w:space="0" w:color="auto"/>
            </w:tcBorders>
          </w:tcPr>
          <w:p w14:paraId="359601E0" w14:textId="08AFF73C" w:rsidR="00710861" w:rsidRDefault="00710861" w:rsidP="00710861">
            <w:r>
              <w:t xml:space="preserve">1.5 – 1.9 times base line Cr OR  </w:t>
            </w:r>
          </w:p>
          <w:p w14:paraId="48EA4249" w14:textId="2C9AA3EF" w:rsidR="00710861" w:rsidRDefault="00710861" w:rsidP="00710861">
            <w:r>
              <w:t xml:space="preserve">Cr </w:t>
            </w:r>
            <w:r w:rsidRPr="00710861">
              <w:t>≥</w:t>
            </w:r>
            <w:r>
              <w:t xml:space="preserve"> 26.5µmol from base line</w:t>
            </w:r>
          </w:p>
        </w:tc>
        <w:tc>
          <w:tcPr>
            <w:tcW w:w="2420" w:type="dxa"/>
            <w:tcBorders>
              <w:top w:val="single" w:sz="12" w:space="0" w:color="auto"/>
              <w:right w:val="single" w:sz="12" w:space="0" w:color="auto"/>
            </w:tcBorders>
          </w:tcPr>
          <w:p w14:paraId="5DFDBBAA" w14:textId="7F97E208" w:rsidR="00710861" w:rsidRDefault="00BA0992" w:rsidP="00710861">
            <w:r>
              <w:t>&lt; 0.5</w:t>
            </w:r>
            <w:r w:rsidR="00E3749A">
              <w:t xml:space="preserve"> </w:t>
            </w:r>
            <w:r>
              <w:t>ml/kg/</w:t>
            </w:r>
            <w:proofErr w:type="spellStart"/>
            <w:r>
              <w:t>hr</w:t>
            </w:r>
            <w:proofErr w:type="spellEnd"/>
            <w:r>
              <w:t xml:space="preserve"> x 6</w:t>
            </w:r>
            <w:r w:rsidR="00E3749A">
              <w:t xml:space="preserve"> </w:t>
            </w:r>
            <w:r>
              <w:t xml:space="preserve">hours </w:t>
            </w:r>
          </w:p>
        </w:tc>
      </w:tr>
      <w:tr w:rsidR="000C28EA" w14:paraId="463F51DF" w14:textId="77777777" w:rsidTr="00E3749A">
        <w:tc>
          <w:tcPr>
            <w:tcW w:w="846" w:type="dxa"/>
            <w:tcBorders>
              <w:left w:val="single" w:sz="12" w:space="0" w:color="auto"/>
              <w:right w:val="single" w:sz="12" w:space="0" w:color="auto"/>
            </w:tcBorders>
          </w:tcPr>
          <w:p w14:paraId="50C7A9CA" w14:textId="39C2B56F" w:rsidR="00710861" w:rsidRDefault="00710861" w:rsidP="00710861">
            <w:r>
              <w:t>2</w:t>
            </w:r>
          </w:p>
        </w:tc>
        <w:tc>
          <w:tcPr>
            <w:tcW w:w="2410" w:type="dxa"/>
            <w:tcBorders>
              <w:left w:val="single" w:sz="12" w:space="0" w:color="auto"/>
            </w:tcBorders>
          </w:tcPr>
          <w:p w14:paraId="16C999E1" w14:textId="3E095857" w:rsidR="00710861" w:rsidRDefault="00BA0992" w:rsidP="00710861">
            <w:r>
              <w:t>e</w:t>
            </w:r>
            <w:r w:rsidR="005D6246">
              <w:t>GFR</w:t>
            </w:r>
            <w:r>
              <w:t xml:space="preserve"> decreased by 50%</w:t>
            </w:r>
          </w:p>
        </w:tc>
        <w:tc>
          <w:tcPr>
            <w:tcW w:w="1922" w:type="dxa"/>
            <w:tcBorders>
              <w:right w:val="single" w:sz="12" w:space="0" w:color="auto"/>
            </w:tcBorders>
          </w:tcPr>
          <w:p w14:paraId="4F210B01" w14:textId="1D8C5010" w:rsidR="00710861" w:rsidRDefault="000C28EA" w:rsidP="00710861">
            <w:r w:rsidRPr="000C28EA">
              <w:t>&lt;0.5ml/kg/</w:t>
            </w:r>
            <w:proofErr w:type="spellStart"/>
            <w:r w:rsidRPr="000C28EA">
              <w:t>hr</w:t>
            </w:r>
            <w:proofErr w:type="spellEnd"/>
            <w:r w:rsidRPr="000C28EA">
              <w:t xml:space="preserve"> x1</w:t>
            </w:r>
            <w:r>
              <w:t>6</w:t>
            </w:r>
            <w:r w:rsidRPr="000C28EA">
              <w:t xml:space="preserve"> hours</w:t>
            </w:r>
          </w:p>
        </w:tc>
        <w:tc>
          <w:tcPr>
            <w:tcW w:w="3323" w:type="dxa"/>
            <w:tcBorders>
              <w:left w:val="single" w:sz="12" w:space="0" w:color="auto"/>
            </w:tcBorders>
          </w:tcPr>
          <w:p w14:paraId="41AFFD08" w14:textId="7A616BD8" w:rsidR="00710861" w:rsidRDefault="00710861" w:rsidP="00710861">
            <w:r>
              <w:t>2.0-2.9 times baseline Cr</w:t>
            </w:r>
          </w:p>
        </w:tc>
        <w:tc>
          <w:tcPr>
            <w:tcW w:w="2420" w:type="dxa"/>
            <w:tcBorders>
              <w:right w:val="single" w:sz="12" w:space="0" w:color="auto"/>
            </w:tcBorders>
          </w:tcPr>
          <w:p w14:paraId="178AE351" w14:textId="00C75701" w:rsidR="00710861" w:rsidRDefault="00BA0992" w:rsidP="00710861">
            <w:r>
              <w:t>&lt;0.5</w:t>
            </w:r>
            <w:r w:rsidR="00E3749A">
              <w:t xml:space="preserve"> </w:t>
            </w:r>
            <w:r>
              <w:t>ml/kg/</w:t>
            </w:r>
            <w:proofErr w:type="spellStart"/>
            <w:r>
              <w:t>hr</w:t>
            </w:r>
            <w:proofErr w:type="spellEnd"/>
            <w:r>
              <w:t xml:space="preserve"> x12 hours</w:t>
            </w:r>
          </w:p>
        </w:tc>
      </w:tr>
      <w:tr w:rsidR="000C28EA" w14:paraId="7F9C1BFD" w14:textId="77777777" w:rsidTr="00E3749A">
        <w:tc>
          <w:tcPr>
            <w:tcW w:w="846" w:type="dxa"/>
            <w:tcBorders>
              <w:left w:val="single" w:sz="12" w:space="0" w:color="auto"/>
              <w:bottom w:val="single" w:sz="12" w:space="0" w:color="auto"/>
              <w:right w:val="single" w:sz="12" w:space="0" w:color="auto"/>
            </w:tcBorders>
          </w:tcPr>
          <w:p w14:paraId="0634C1BD" w14:textId="7DB734B1" w:rsidR="00710861" w:rsidRDefault="00710861" w:rsidP="00710861">
            <w:r>
              <w:t>3</w:t>
            </w:r>
          </w:p>
        </w:tc>
        <w:tc>
          <w:tcPr>
            <w:tcW w:w="2410" w:type="dxa"/>
            <w:tcBorders>
              <w:left w:val="single" w:sz="12" w:space="0" w:color="auto"/>
              <w:bottom w:val="single" w:sz="12" w:space="0" w:color="auto"/>
            </w:tcBorders>
          </w:tcPr>
          <w:p w14:paraId="252483D6" w14:textId="7F35BE0E" w:rsidR="00710861" w:rsidRDefault="00BA0992" w:rsidP="00710861">
            <w:r>
              <w:t>e</w:t>
            </w:r>
            <w:r w:rsidR="005D6246">
              <w:t xml:space="preserve">GFR </w:t>
            </w:r>
            <w:r>
              <w:t xml:space="preserve">decreased by 75% </w:t>
            </w:r>
            <w:r w:rsidR="000C28EA">
              <w:t>OR</w:t>
            </w:r>
          </w:p>
          <w:p w14:paraId="30F92E74" w14:textId="7E4665AD" w:rsidR="00BA0992" w:rsidRPr="00BA0992" w:rsidRDefault="00BA0992" w:rsidP="00710861">
            <w:pPr>
              <w:rPr>
                <w:vertAlign w:val="superscript"/>
              </w:rPr>
            </w:pPr>
            <w:r>
              <w:t>eGFR</w:t>
            </w:r>
            <w:r w:rsidR="005D6246">
              <w:t xml:space="preserve"> </w:t>
            </w:r>
            <w:r w:rsidR="000C28EA">
              <w:t>&lt;</w:t>
            </w:r>
            <w:r>
              <w:t xml:space="preserve"> 35</w:t>
            </w:r>
            <w:r w:rsidR="005D6246">
              <w:t xml:space="preserve"> </w:t>
            </w:r>
            <w:r>
              <w:t>ml/min/1.73m</w:t>
            </w:r>
            <w:r>
              <w:rPr>
                <w:vertAlign w:val="superscript"/>
              </w:rPr>
              <w:t>2</w:t>
            </w:r>
          </w:p>
        </w:tc>
        <w:tc>
          <w:tcPr>
            <w:tcW w:w="1922" w:type="dxa"/>
            <w:tcBorders>
              <w:bottom w:val="single" w:sz="12" w:space="0" w:color="auto"/>
              <w:right w:val="single" w:sz="12" w:space="0" w:color="auto"/>
            </w:tcBorders>
          </w:tcPr>
          <w:p w14:paraId="6277D3DB" w14:textId="487DE680" w:rsidR="00710861" w:rsidRDefault="000C28EA" w:rsidP="00710861">
            <w:r w:rsidRPr="000C28EA">
              <w:t>&lt;0.3</w:t>
            </w:r>
            <w:r w:rsidR="00E3749A">
              <w:t xml:space="preserve"> </w:t>
            </w:r>
            <w:r w:rsidRPr="000C28EA">
              <w:t>ml/kg/</w:t>
            </w:r>
            <w:proofErr w:type="spellStart"/>
            <w:r w:rsidRPr="000C28EA">
              <w:t>hr</w:t>
            </w:r>
            <w:proofErr w:type="spellEnd"/>
            <w:r w:rsidRPr="000C28EA">
              <w:t xml:space="preserve"> x 24</w:t>
            </w:r>
            <w:r>
              <w:t xml:space="preserve"> hours OR</w:t>
            </w:r>
            <w:r w:rsidRPr="000C28EA">
              <w:t xml:space="preserve"> </w:t>
            </w:r>
            <w:r w:rsidR="00E3749A">
              <w:t>a</w:t>
            </w:r>
            <w:r w:rsidRPr="000C28EA">
              <w:t>nuria (≤100ml)</w:t>
            </w:r>
            <w:r w:rsidR="00E3749A">
              <w:t xml:space="preserve"> </w:t>
            </w:r>
            <w:r w:rsidRPr="000C28EA">
              <w:t>for 12 hours</w:t>
            </w:r>
          </w:p>
        </w:tc>
        <w:tc>
          <w:tcPr>
            <w:tcW w:w="3323" w:type="dxa"/>
            <w:tcBorders>
              <w:left w:val="single" w:sz="12" w:space="0" w:color="auto"/>
              <w:bottom w:val="single" w:sz="12" w:space="0" w:color="auto"/>
            </w:tcBorders>
          </w:tcPr>
          <w:p w14:paraId="2B75691C" w14:textId="21009D89" w:rsidR="00710861" w:rsidRDefault="00710861" w:rsidP="00710861">
            <w:r>
              <w:t xml:space="preserve">≥ 3.0 times baseline Cr </w:t>
            </w:r>
          </w:p>
          <w:p w14:paraId="524E1630" w14:textId="77777777" w:rsidR="00710861" w:rsidRDefault="00710861" w:rsidP="00710861">
            <w:r>
              <w:t xml:space="preserve"> OR</w:t>
            </w:r>
          </w:p>
          <w:p w14:paraId="18B60010" w14:textId="2FA84CDD" w:rsidR="00710861" w:rsidRDefault="00710861" w:rsidP="00710861">
            <w:r>
              <w:t>Cr ≥ 353.6µmol/L</w:t>
            </w:r>
          </w:p>
          <w:p w14:paraId="192D2A60" w14:textId="77777777" w:rsidR="00710861" w:rsidRDefault="00710861" w:rsidP="00710861">
            <w:r>
              <w:t xml:space="preserve">OR </w:t>
            </w:r>
          </w:p>
          <w:p w14:paraId="2A076FD9" w14:textId="74BF6011" w:rsidR="00710861" w:rsidRDefault="00710861" w:rsidP="00710861">
            <w:r>
              <w:t xml:space="preserve">Initiation of renal replacement therapy </w:t>
            </w:r>
          </w:p>
        </w:tc>
        <w:tc>
          <w:tcPr>
            <w:tcW w:w="2420" w:type="dxa"/>
            <w:tcBorders>
              <w:bottom w:val="single" w:sz="12" w:space="0" w:color="auto"/>
              <w:right w:val="single" w:sz="12" w:space="0" w:color="auto"/>
            </w:tcBorders>
          </w:tcPr>
          <w:p w14:paraId="7A5A91E6" w14:textId="2D1512DF" w:rsidR="00710861" w:rsidRDefault="00BA0992" w:rsidP="00710861">
            <w:r>
              <w:t>&lt;0.3</w:t>
            </w:r>
            <w:r w:rsidR="00E3749A">
              <w:t xml:space="preserve"> </w:t>
            </w:r>
            <w:r>
              <w:t>ml/kg/</w:t>
            </w:r>
            <w:proofErr w:type="spellStart"/>
            <w:r>
              <w:t>hr</w:t>
            </w:r>
            <w:proofErr w:type="spellEnd"/>
            <w:r>
              <w:t xml:space="preserve"> x 24</w:t>
            </w:r>
            <w:r w:rsidR="00E3749A">
              <w:t xml:space="preserve"> </w:t>
            </w:r>
            <w:r>
              <w:t>h</w:t>
            </w:r>
            <w:r w:rsidR="000C28EA">
              <w:t>ours</w:t>
            </w:r>
            <w:r>
              <w:t xml:space="preserve"> or </w:t>
            </w:r>
            <w:r w:rsidR="00E3749A">
              <w:t>a</w:t>
            </w:r>
            <w:r>
              <w:t>nuria (≤100</w:t>
            </w:r>
            <w:r w:rsidR="00E3749A">
              <w:t xml:space="preserve"> </w:t>
            </w:r>
            <w:r>
              <w:t>ml)</w:t>
            </w:r>
            <w:r w:rsidR="00E3749A">
              <w:t xml:space="preserve"> </w:t>
            </w:r>
            <w:r>
              <w:t>for 12 hours</w:t>
            </w:r>
          </w:p>
        </w:tc>
      </w:tr>
    </w:tbl>
    <w:p w14:paraId="24C529EE" w14:textId="77777777" w:rsidR="006C786C" w:rsidRDefault="006C786C" w:rsidP="006C786C"/>
    <w:p w14:paraId="66341827" w14:textId="6E4D8F98" w:rsidR="00A54726" w:rsidRPr="00762C49" w:rsidRDefault="000334F3" w:rsidP="006C786C">
      <w:r>
        <w:t>For children, the eGFR is calculated usin</w:t>
      </w:r>
      <w:r w:rsidR="00076379">
        <w:t xml:space="preserve">g the Bedside Schwartz </w:t>
      </w:r>
      <w:r>
        <w:t>formula</w:t>
      </w:r>
      <w:r w:rsidR="00076379">
        <w:t xml:space="preserve"> </w:t>
      </w:r>
      <w:r>
        <w:t>which can be found on this link</w:t>
      </w:r>
      <w:r w:rsidR="00076379">
        <w:t xml:space="preserve"> </w:t>
      </w:r>
      <w:hyperlink r:id="rId7" w:history="1">
        <w:r w:rsidR="00076379" w:rsidRPr="008569CB">
          <w:rPr>
            <w:rStyle w:val="Hyperlink"/>
          </w:rPr>
          <w:t>http://nephron.com/bedside_peds_nic.cgi</w:t>
        </w:r>
      </w:hyperlink>
      <w:r>
        <w:t>.</w:t>
      </w:r>
    </w:p>
    <w:p w14:paraId="415A37B5" w14:textId="77777777" w:rsidR="001A3B0B" w:rsidRDefault="001A3B0B">
      <w:pPr>
        <w:spacing w:after="0"/>
        <w:outlineLvl w:val="9"/>
        <w:rPr>
          <w:b/>
          <w:sz w:val="24"/>
          <w:szCs w:val="22"/>
        </w:rPr>
      </w:pPr>
      <w:r>
        <w:rPr>
          <w:szCs w:val="22"/>
        </w:rPr>
        <w:br w:type="page"/>
      </w:r>
    </w:p>
    <w:p w14:paraId="699C79D9" w14:textId="4A1C78FC" w:rsidR="000334F3" w:rsidRDefault="001203AE" w:rsidP="000334F3">
      <w:pPr>
        <w:pStyle w:val="Heading2"/>
        <w:rPr>
          <w:rFonts w:cs="Arial"/>
          <w:szCs w:val="22"/>
        </w:rPr>
      </w:pPr>
      <w:r w:rsidRPr="003C0800">
        <w:rPr>
          <w:rFonts w:cs="Arial"/>
          <w:szCs w:val="22"/>
        </w:rPr>
        <w:lastRenderedPageBreak/>
        <w:t>Management</w:t>
      </w:r>
      <w:r>
        <w:rPr>
          <w:rFonts w:cs="Arial"/>
          <w:szCs w:val="22"/>
        </w:rPr>
        <w:t xml:space="preserve"> </w:t>
      </w:r>
    </w:p>
    <w:p w14:paraId="0209A728" w14:textId="402D3F8C" w:rsidR="001D3D63" w:rsidRPr="001D3D63" w:rsidRDefault="001D3D63" w:rsidP="001D3D63">
      <w:r>
        <w:t xml:space="preserve">Management of AKI is similar for both adults and children </w:t>
      </w:r>
    </w:p>
    <w:p w14:paraId="4DA23AFF" w14:textId="77777777" w:rsidR="003E7CFC" w:rsidRDefault="000334F3" w:rsidP="003E7CFC">
      <w:pPr>
        <w:pStyle w:val="Heading3"/>
      </w:pPr>
      <w:r w:rsidRPr="000334F3">
        <w:t>Patients at risk:</w:t>
      </w:r>
    </w:p>
    <w:p w14:paraId="38B15242" w14:textId="050ED1BC" w:rsidR="000334F3" w:rsidRDefault="000334F3" w:rsidP="000334F3">
      <w:r>
        <w:t>Serum creatinine levels should be</w:t>
      </w:r>
      <w:r w:rsidR="0047583D">
        <w:t xml:space="preserve"> d</w:t>
      </w:r>
      <w:r>
        <w:t xml:space="preserve">one at baseline </w:t>
      </w:r>
      <w:proofErr w:type="gramStart"/>
      <w:r>
        <w:t>and  this</w:t>
      </w:r>
      <w:proofErr w:type="gramEnd"/>
      <w:r>
        <w:t xml:space="preserve"> should be </w:t>
      </w:r>
      <w:r w:rsidR="0047583D">
        <w:t>repeated periodically. While</w:t>
      </w:r>
      <w:r>
        <w:t xml:space="preserve"> on admission</w:t>
      </w:r>
      <w:r w:rsidR="0047583D">
        <w:t xml:space="preserve">, </w:t>
      </w:r>
      <w:r>
        <w:t xml:space="preserve">creatinine levels should be </w:t>
      </w:r>
      <w:r w:rsidR="0047583D">
        <w:t>done</w:t>
      </w:r>
      <w:r>
        <w:t xml:space="preserve"> at least on a weekly basis</w:t>
      </w:r>
      <w:r w:rsidR="00DD1324">
        <w:t xml:space="preserve"> </w:t>
      </w:r>
      <w:r w:rsidR="0047583D">
        <w:t>(more often depending on the patient’s clinical status)</w:t>
      </w:r>
      <w:r>
        <w:t xml:space="preserve">. </w:t>
      </w:r>
      <w:r w:rsidR="0047583D">
        <w:t>U</w:t>
      </w:r>
      <w:r>
        <w:t>rine output</w:t>
      </w:r>
      <w:r w:rsidR="006630B4">
        <w:t xml:space="preserve"> should be </w:t>
      </w:r>
      <w:r>
        <w:t xml:space="preserve">monitored </w:t>
      </w:r>
      <w:r w:rsidR="0047583D">
        <w:t>throughout</w:t>
      </w:r>
      <w:r>
        <w:t xml:space="preserve"> admission. </w:t>
      </w:r>
    </w:p>
    <w:p w14:paraId="010A32F4" w14:textId="26CBD494" w:rsidR="0047583D" w:rsidRDefault="001207C5" w:rsidP="003E7CFC">
      <w:pPr>
        <w:pStyle w:val="Heading3"/>
      </w:pPr>
      <w:r>
        <w:t>Conservative management</w:t>
      </w:r>
      <w:r w:rsidR="006630B4">
        <w:t>:</w:t>
      </w:r>
      <w:r>
        <w:t xml:space="preserve"> </w:t>
      </w:r>
    </w:p>
    <w:p w14:paraId="717716E3" w14:textId="60BD15A1" w:rsidR="009A3704" w:rsidRDefault="009A3704" w:rsidP="00DF4927">
      <w:pPr>
        <w:pStyle w:val="ListParagraph"/>
        <w:numPr>
          <w:ilvl w:val="0"/>
          <w:numId w:val="33"/>
        </w:numPr>
      </w:pPr>
      <w:r w:rsidRPr="00E905DD">
        <w:t xml:space="preserve">Treat underlying cause </w:t>
      </w:r>
      <w:r w:rsidR="00E905DD">
        <w:t>e.g. antibiotics for sepsis, antimalarials for malaria etc.</w:t>
      </w:r>
    </w:p>
    <w:p w14:paraId="18D9E980" w14:textId="6ACB759D" w:rsidR="00E905DD" w:rsidRDefault="00E905DD" w:rsidP="00DF4927">
      <w:pPr>
        <w:pStyle w:val="ListParagraph"/>
        <w:numPr>
          <w:ilvl w:val="0"/>
          <w:numId w:val="33"/>
        </w:numPr>
      </w:pPr>
      <w:r>
        <w:t>Replace fluid</w:t>
      </w:r>
      <w:r w:rsidR="001D3D63" w:rsidRPr="001D3D63">
        <w:t xml:space="preserve"> losses </w:t>
      </w:r>
      <w:r>
        <w:t>(insensible</w:t>
      </w:r>
      <w:r w:rsidR="001D3D63">
        <w:t xml:space="preserve"> water loss</w:t>
      </w:r>
      <w:r>
        <w:t xml:space="preserve"> plus fluid loss from vomiting or diarrhea) with colloids, preferably containing saline</w:t>
      </w:r>
      <w:r w:rsidR="00586A47">
        <w:t>.</w:t>
      </w:r>
    </w:p>
    <w:p w14:paraId="53397BA0" w14:textId="50F39EC6" w:rsidR="00E905DD" w:rsidRDefault="00E905DD" w:rsidP="00DF4927">
      <w:pPr>
        <w:pStyle w:val="ListParagraph"/>
        <w:numPr>
          <w:ilvl w:val="0"/>
          <w:numId w:val="33"/>
        </w:numPr>
      </w:pPr>
      <w:r>
        <w:t xml:space="preserve">Monitor input and output. Use urethral catheter only if it will be difficult to estimate urine volume or if a urethral obstruction is suspected. </w:t>
      </w:r>
    </w:p>
    <w:p w14:paraId="2D1EF13D" w14:textId="1A6BFB0D" w:rsidR="00E905DD" w:rsidRDefault="00E905DD" w:rsidP="00DF4927">
      <w:pPr>
        <w:pStyle w:val="ListParagraph"/>
        <w:numPr>
          <w:ilvl w:val="0"/>
          <w:numId w:val="33"/>
        </w:numPr>
      </w:pPr>
      <w:r>
        <w:t xml:space="preserve">Ensure patient is feeding well: High caloric intake with low to normal protein. </w:t>
      </w:r>
    </w:p>
    <w:p w14:paraId="0233EB92" w14:textId="3B0F7B1E" w:rsidR="00E905DD" w:rsidRDefault="00E905DD" w:rsidP="00DF4927">
      <w:pPr>
        <w:pStyle w:val="ListParagraph"/>
        <w:numPr>
          <w:ilvl w:val="0"/>
          <w:numId w:val="33"/>
        </w:numPr>
      </w:pPr>
      <w:r>
        <w:t xml:space="preserve">Manage electrolyte disturbances such as </w:t>
      </w:r>
      <w:proofErr w:type="spellStart"/>
      <w:r>
        <w:t>hyperkalaemia</w:t>
      </w:r>
      <w:proofErr w:type="spellEnd"/>
      <w:r>
        <w:t xml:space="preserve"> and metabolic acidosis using the guidelines on the management of electrolyte disturbances</w:t>
      </w:r>
      <w:r w:rsidR="001D3D63">
        <w:t>.</w:t>
      </w:r>
    </w:p>
    <w:p w14:paraId="05786D78" w14:textId="1F1E257B" w:rsidR="00E905DD" w:rsidRDefault="001D3D63" w:rsidP="00DF4927">
      <w:pPr>
        <w:pStyle w:val="ListParagraph"/>
        <w:numPr>
          <w:ilvl w:val="0"/>
          <w:numId w:val="33"/>
        </w:numPr>
      </w:pPr>
      <w:r w:rsidRPr="001D3D63">
        <w:rPr>
          <w:u w:val="single"/>
        </w:rPr>
        <w:t>Note</w:t>
      </w:r>
      <w:r>
        <w:t xml:space="preserve">: The use of diuretics </w:t>
      </w:r>
      <w:r w:rsidR="00E905DD">
        <w:t xml:space="preserve">is restricted to </w:t>
      </w:r>
      <w:r w:rsidR="001207C5">
        <w:t xml:space="preserve">conditions in which there is fluid overload e.g. peripheral and pulmonary </w:t>
      </w:r>
      <w:proofErr w:type="spellStart"/>
      <w:r w:rsidR="00D478E5">
        <w:t>o</w:t>
      </w:r>
      <w:r w:rsidR="001207C5">
        <w:t>edema</w:t>
      </w:r>
      <w:proofErr w:type="spellEnd"/>
      <w:r w:rsidR="00D478E5">
        <w:t>.</w:t>
      </w:r>
      <w:r w:rsidR="001207C5">
        <w:t xml:space="preserve"> </w:t>
      </w:r>
      <w:r w:rsidR="00D478E5">
        <w:t>They</w:t>
      </w:r>
      <w:r w:rsidR="001207C5">
        <w:t xml:space="preserve"> </w:t>
      </w:r>
      <w:r w:rsidR="00586A47">
        <w:t xml:space="preserve">should </w:t>
      </w:r>
      <w:r w:rsidR="001207C5">
        <w:t xml:space="preserve">not </w:t>
      </w:r>
      <w:r w:rsidR="00586A47">
        <w:t>be</w:t>
      </w:r>
      <w:r w:rsidR="00D478E5">
        <w:t xml:space="preserve"> used </w:t>
      </w:r>
      <w:r w:rsidR="001207C5">
        <w:t>routine</w:t>
      </w:r>
      <w:r w:rsidR="00D478E5">
        <w:t>ly</w:t>
      </w:r>
      <w:r w:rsidR="001207C5">
        <w:t xml:space="preserve">. </w:t>
      </w:r>
    </w:p>
    <w:p w14:paraId="395B67A4" w14:textId="347D16BC" w:rsidR="00DF4927" w:rsidRPr="00DF4927" w:rsidRDefault="001207C5" w:rsidP="003E7CFC">
      <w:pPr>
        <w:pStyle w:val="Heading3"/>
      </w:pPr>
      <w:r w:rsidRPr="00DF4927">
        <w:t>Indications for renal replacement therapy</w:t>
      </w:r>
      <w:r w:rsidR="00C315A1">
        <w:t xml:space="preserve"> </w:t>
      </w:r>
      <w:r w:rsidR="001D3D63">
        <w:t>(referral to EFSTH)</w:t>
      </w:r>
      <w:r w:rsidR="006630B4">
        <w:t>:</w:t>
      </w:r>
    </w:p>
    <w:p w14:paraId="7C0FBE38" w14:textId="77777777" w:rsidR="00DF4927" w:rsidRPr="00DF4927" w:rsidRDefault="00DF4927" w:rsidP="000334F3">
      <w:pPr>
        <w:rPr>
          <w:b/>
        </w:rPr>
      </w:pPr>
      <w:r w:rsidRPr="00DF4927">
        <w:rPr>
          <w:b/>
        </w:rPr>
        <w:t xml:space="preserve">Biochemical </w:t>
      </w:r>
    </w:p>
    <w:p w14:paraId="5066B1B2" w14:textId="4188A89C" w:rsidR="001207C5" w:rsidRDefault="00DF4927" w:rsidP="00DF4927">
      <w:pPr>
        <w:pStyle w:val="ListParagraph"/>
        <w:numPr>
          <w:ilvl w:val="0"/>
          <w:numId w:val="31"/>
        </w:numPr>
      </w:pPr>
      <w:r>
        <w:t xml:space="preserve">Refractory </w:t>
      </w:r>
      <w:proofErr w:type="spellStart"/>
      <w:r>
        <w:t>hyperkalaemia</w:t>
      </w:r>
      <w:proofErr w:type="spellEnd"/>
      <w:r>
        <w:t xml:space="preserve"> of </w:t>
      </w:r>
      <w:r w:rsidR="001207C5">
        <w:t xml:space="preserve"> </w:t>
      </w:r>
      <w:r>
        <w:t>≥ 6.5</w:t>
      </w:r>
      <w:r w:rsidR="00586A47">
        <w:t xml:space="preserve"> </w:t>
      </w:r>
      <w:r>
        <w:t xml:space="preserve">mmol/L or </w:t>
      </w:r>
      <w:r w:rsidR="001D3D63">
        <w:t>6</w:t>
      </w:r>
      <w:r w:rsidR="00586A47">
        <w:t xml:space="preserve"> </w:t>
      </w:r>
      <w:r>
        <w:t>mmol</w:t>
      </w:r>
      <w:r w:rsidR="001D3D63">
        <w:t xml:space="preserve">/L </w:t>
      </w:r>
      <w:r>
        <w:t xml:space="preserve">with ECG changes or </w:t>
      </w:r>
      <w:r w:rsidR="001D3D63">
        <w:t xml:space="preserve">a </w:t>
      </w:r>
      <w:r>
        <w:t>daily rise of 1</w:t>
      </w:r>
      <w:r w:rsidR="00C56BC6">
        <w:t xml:space="preserve"> </w:t>
      </w:r>
      <w:r>
        <w:t xml:space="preserve">mmol/L/ day </w:t>
      </w:r>
    </w:p>
    <w:p w14:paraId="553A30F1" w14:textId="2B8D1772" w:rsidR="00DF4927" w:rsidRDefault="00DF4927" w:rsidP="00DF4927">
      <w:pPr>
        <w:pStyle w:val="ListParagraph"/>
        <w:numPr>
          <w:ilvl w:val="0"/>
          <w:numId w:val="31"/>
        </w:numPr>
      </w:pPr>
      <w:r>
        <w:t>Refractory metabolic acidosis : Bicarbonate levels ≤ 12</w:t>
      </w:r>
      <w:r w:rsidR="001D3D63">
        <w:t xml:space="preserve"> </w:t>
      </w:r>
      <w:r>
        <w:t xml:space="preserve">mmol/L </w:t>
      </w:r>
    </w:p>
    <w:p w14:paraId="73E833E1" w14:textId="62909328" w:rsidR="00DF4927" w:rsidRDefault="00DF4927" w:rsidP="00DF4927">
      <w:pPr>
        <w:pStyle w:val="ListParagraph"/>
        <w:numPr>
          <w:ilvl w:val="0"/>
          <w:numId w:val="31"/>
        </w:numPr>
      </w:pPr>
      <w:r>
        <w:t>Urea level of &gt; 25</w:t>
      </w:r>
      <w:r w:rsidR="00D478E5">
        <w:t xml:space="preserve"> </w:t>
      </w:r>
      <w:r>
        <w:t>mmol/L or increase of &gt;10</w:t>
      </w:r>
      <w:r w:rsidR="001D3D63">
        <w:t xml:space="preserve"> </w:t>
      </w:r>
      <w:r>
        <w:t xml:space="preserve">mmol/L/day </w:t>
      </w:r>
    </w:p>
    <w:p w14:paraId="71B1EF25" w14:textId="5E092E13" w:rsidR="00DF4927" w:rsidRDefault="00DF4927" w:rsidP="00DF4927">
      <w:pPr>
        <w:pStyle w:val="ListParagraph"/>
        <w:numPr>
          <w:ilvl w:val="0"/>
          <w:numId w:val="31"/>
        </w:numPr>
      </w:pPr>
      <w:r>
        <w:t>Stage 3 AKI (Serum creatinine ≥ 353.6</w:t>
      </w:r>
      <w:r w:rsidR="00D478E5">
        <w:t xml:space="preserve"> </w:t>
      </w:r>
      <w:r>
        <w:t>µmol/L) or daily rise of ≥</w:t>
      </w:r>
      <w:r w:rsidR="00D478E5">
        <w:t xml:space="preserve"> </w:t>
      </w:r>
      <w:r>
        <w:t>100</w:t>
      </w:r>
      <w:r w:rsidR="001D3D63">
        <w:t xml:space="preserve"> </w:t>
      </w:r>
      <w:r>
        <w:t xml:space="preserve">mmol/L/ day </w:t>
      </w:r>
    </w:p>
    <w:p w14:paraId="1D9BD1DD" w14:textId="489015E2" w:rsidR="00DF4927" w:rsidRPr="00DF4927" w:rsidRDefault="00DF4927" w:rsidP="000334F3">
      <w:pPr>
        <w:rPr>
          <w:b/>
        </w:rPr>
      </w:pPr>
      <w:r w:rsidRPr="00DF4927">
        <w:rPr>
          <w:b/>
        </w:rPr>
        <w:t xml:space="preserve">Clinical </w:t>
      </w:r>
    </w:p>
    <w:p w14:paraId="5AA4483B" w14:textId="143071C5" w:rsidR="00DF4927" w:rsidRDefault="00DF4927" w:rsidP="00DF4927">
      <w:pPr>
        <w:pStyle w:val="ListParagraph"/>
        <w:numPr>
          <w:ilvl w:val="0"/>
          <w:numId w:val="32"/>
        </w:numPr>
      </w:pPr>
      <w:r>
        <w:t xml:space="preserve">Refractory </w:t>
      </w:r>
      <w:r w:rsidR="001D3D63">
        <w:t>p</w:t>
      </w:r>
      <w:r>
        <w:t xml:space="preserve">ulmonary </w:t>
      </w:r>
      <w:proofErr w:type="spellStart"/>
      <w:r>
        <w:t>oedema</w:t>
      </w:r>
      <w:proofErr w:type="spellEnd"/>
    </w:p>
    <w:p w14:paraId="133F2C80" w14:textId="1EDE5AD6" w:rsidR="00DF4927" w:rsidRDefault="00DF4927" w:rsidP="00DF4927">
      <w:pPr>
        <w:pStyle w:val="ListParagraph"/>
        <w:numPr>
          <w:ilvl w:val="0"/>
          <w:numId w:val="32"/>
        </w:numPr>
      </w:pPr>
      <w:proofErr w:type="spellStart"/>
      <w:r>
        <w:t>Uraemic</w:t>
      </w:r>
      <w:proofErr w:type="spellEnd"/>
      <w:r>
        <w:t xml:space="preserve"> gastritis with persistent symptoms</w:t>
      </w:r>
    </w:p>
    <w:p w14:paraId="0E0AB40C" w14:textId="534F883A" w:rsidR="00DF4927" w:rsidRDefault="00DF4927" w:rsidP="00DF4927">
      <w:pPr>
        <w:pStyle w:val="ListParagraph"/>
        <w:numPr>
          <w:ilvl w:val="0"/>
          <w:numId w:val="32"/>
        </w:numPr>
      </w:pPr>
      <w:proofErr w:type="spellStart"/>
      <w:r>
        <w:t>Uraemic</w:t>
      </w:r>
      <w:proofErr w:type="spellEnd"/>
      <w:r>
        <w:t xml:space="preserve"> pericarditis</w:t>
      </w:r>
    </w:p>
    <w:p w14:paraId="2D29F3A9" w14:textId="3F0E63A1" w:rsidR="00DF4927" w:rsidRDefault="00DF4927" w:rsidP="00DF4927">
      <w:pPr>
        <w:pStyle w:val="ListParagraph"/>
        <w:numPr>
          <w:ilvl w:val="0"/>
          <w:numId w:val="32"/>
        </w:numPr>
      </w:pPr>
      <w:proofErr w:type="spellStart"/>
      <w:r>
        <w:t>Uraemic</w:t>
      </w:r>
      <w:proofErr w:type="spellEnd"/>
      <w:r>
        <w:t xml:space="preserve"> encephalopathy </w:t>
      </w:r>
    </w:p>
    <w:p w14:paraId="0C47EE9F" w14:textId="357B1E27" w:rsidR="006630B4" w:rsidRDefault="001D3D63" w:rsidP="006630B4">
      <w:pPr>
        <w:pStyle w:val="ListParagraph"/>
        <w:numPr>
          <w:ilvl w:val="0"/>
          <w:numId w:val="32"/>
        </w:numPr>
      </w:pPr>
      <w:r>
        <w:t xml:space="preserve">Bleeding diathesis </w:t>
      </w:r>
    </w:p>
    <w:p w14:paraId="67E1DAD1" w14:textId="4372D926" w:rsidR="00DF4927" w:rsidRPr="00DD1324" w:rsidRDefault="001D3D63" w:rsidP="003E7CFC">
      <w:pPr>
        <w:pStyle w:val="Heading3"/>
      </w:pPr>
      <w:r w:rsidRPr="00DD1324">
        <w:t>Follow up</w:t>
      </w:r>
      <w:r w:rsidR="006630B4">
        <w:t>:</w:t>
      </w:r>
    </w:p>
    <w:p w14:paraId="780E49CB" w14:textId="77777777" w:rsidR="001D3D63" w:rsidRDefault="001D3D63" w:rsidP="00DD1324">
      <w:pPr>
        <w:pStyle w:val="ListParagraph"/>
        <w:numPr>
          <w:ilvl w:val="0"/>
          <w:numId w:val="34"/>
        </w:numPr>
      </w:pPr>
      <w:r>
        <w:t xml:space="preserve">Counsel patient on the prognosis of AKI and the need for follow up care. </w:t>
      </w:r>
    </w:p>
    <w:p w14:paraId="24E2FD82" w14:textId="32729684" w:rsidR="001D3D63" w:rsidRDefault="001D3D63" w:rsidP="00DD1324">
      <w:pPr>
        <w:pStyle w:val="ListParagraph"/>
        <w:numPr>
          <w:ilvl w:val="0"/>
          <w:numId w:val="34"/>
        </w:numPr>
      </w:pPr>
      <w:r>
        <w:t>Serum creatinine levels should be measured at least 90 days after recovery from AKI.</w:t>
      </w:r>
      <w:r w:rsidR="00DD1324">
        <w:t xml:space="preserve"> </w:t>
      </w:r>
      <w:r>
        <w:t xml:space="preserve">Monitoring can be as frequent as monthly </w:t>
      </w:r>
    </w:p>
    <w:p w14:paraId="4D6C6194" w14:textId="71050963" w:rsidR="001D3D63" w:rsidRDefault="00DD1324" w:rsidP="00DD1324">
      <w:pPr>
        <w:pStyle w:val="ListParagraph"/>
        <w:numPr>
          <w:ilvl w:val="0"/>
          <w:numId w:val="34"/>
        </w:numPr>
      </w:pPr>
      <w:r>
        <w:t>F</w:t>
      </w:r>
      <w:r w:rsidR="001D3D63">
        <w:t xml:space="preserve">ollow up in clinic </w:t>
      </w:r>
      <w:r>
        <w:t xml:space="preserve">may be extended to the </w:t>
      </w:r>
      <w:r w:rsidR="001D3D63">
        <w:t xml:space="preserve">next 2-3 years to check for progression of the disease, even if creatinine levels are normal and </w:t>
      </w:r>
      <w:proofErr w:type="spellStart"/>
      <w:r w:rsidR="001D3D63">
        <w:t>stabilised</w:t>
      </w:r>
      <w:proofErr w:type="spellEnd"/>
      <w:r w:rsidR="001D3D63">
        <w:t xml:space="preserve">. </w:t>
      </w:r>
    </w:p>
    <w:p w14:paraId="5D766137" w14:textId="77777777" w:rsidR="001A3B0B" w:rsidRDefault="001A3B0B">
      <w:pPr>
        <w:spacing w:after="0"/>
        <w:outlineLvl w:val="9"/>
        <w:rPr>
          <w:b/>
          <w:sz w:val="24"/>
          <w:szCs w:val="22"/>
        </w:rPr>
      </w:pPr>
      <w:r>
        <w:rPr>
          <w:szCs w:val="22"/>
        </w:rPr>
        <w:br w:type="page"/>
      </w:r>
    </w:p>
    <w:p w14:paraId="5E553BBB" w14:textId="3D1804A1" w:rsidR="00F03F25" w:rsidRPr="003C0800" w:rsidRDefault="00F03F25" w:rsidP="00F03F25">
      <w:pPr>
        <w:pStyle w:val="Heading2"/>
        <w:rPr>
          <w:rFonts w:cs="Arial"/>
          <w:szCs w:val="22"/>
        </w:rPr>
      </w:pPr>
      <w:r w:rsidRPr="003C0800">
        <w:rPr>
          <w:rFonts w:cs="Arial"/>
          <w:szCs w:val="22"/>
        </w:rPr>
        <w:lastRenderedPageBreak/>
        <w:t>Key Issues for Nursing care</w:t>
      </w:r>
    </w:p>
    <w:p w14:paraId="7D94698C" w14:textId="5E8CBA7D" w:rsidR="00DD1324" w:rsidRPr="005651C2" w:rsidRDefault="00DD1324" w:rsidP="005651C2">
      <w:pPr>
        <w:pStyle w:val="ListParagraph"/>
        <w:numPr>
          <w:ilvl w:val="0"/>
          <w:numId w:val="38"/>
        </w:numPr>
        <w:rPr>
          <w:b/>
        </w:rPr>
      </w:pPr>
      <w:r>
        <w:t>Strict monitoring of patient’s input and output on the fluid balance chart</w:t>
      </w:r>
      <w:r w:rsidR="006630B4">
        <w:t xml:space="preserve"> with escalation of care where necessary.</w:t>
      </w:r>
    </w:p>
    <w:p w14:paraId="06E160C2" w14:textId="17E72CFA" w:rsidR="002A2856" w:rsidRPr="005651C2" w:rsidRDefault="00DD1324" w:rsidP="005651C2">
      <w:pPr>
        <w:pStyle w:val="ListParagraph"/>
        <w:numPr>
          <w:ilvl w:val="0"/>
          <w:numId w:val="38"/>
        </w:numPr>
        <w:rPr>
          <w:b/>
        </w:rPr>
      </w:pPr>
      <w:r>
        <w:t>Ensure adherence to the management protocol</w:t>
      </w:r>
      <w:r w:rsidR="005651C2" w:rsidRPr="005651C2">
        <w:rPr>
          <w:b/>
        </w:rPr>
        <w:t>.</w:t>
      </w:r>
    </w:p>
    <w:p w14:paraId="0F49B491" w14:textId="3DDE0B1B" w:rsidR="00D13825" w:rsidRPr="005651C2" w:rsidRDefault="00DD1324" w:rsidP="005651C2">
      <w:pPr>
        <w:pStyle w:val="ListParagraph"/>
        <w:numPr>
          <w:ilvl w:val="0"/>
          <w:numId w:val="38"/>
        </w:numPr>
        <w:rPr>
          <w:b/>
          <w:sz w:val="24"/>
        </w:rPr>
      </w:pPr>
      <w:r>
        <w:t>Restrict potassium-rich foods e.g. bananas</w:t>
      </w:r>
      <w:r w:rsidR="006630B4">
        <w:t>,</w:t>
      </w:r>
      <w:r>
        <w:t xml:space="preserve"> </w:t>
      </w:r>
      <w:r w:rsidR="006630B4">
        <w:t>oranges</w:t>
      </w:r>
      <w:r w:rsidR="00C315A1">
        <w:t>,</w:t>
      </w:r>
      <w:r w:rsidR="006630B4">
        <w:t xml:space="preserve"> cooked spinach and potatoes</w:t>
      </w:r>
      <w:r w:rsidR="005651C2">
        <w:t>.</w:t>
      </w:r>
    </w:p>
    <w:p w14:paraId="19A0DA19" w14:textId="77777777" w:rsidR="00F03F25" w:rsidRPr="003C0800" w:rsidRDefault="00F03F25" w:rsidP="00F03F25">
      <w:pPr>
        <w:pStyle w:val="Heading2"/>
        <w:rPr>
          <w:rFonts w:cs="Arial"/>
          <w:szCs w:val="22"/>
        </w:rPr>
      </w:pPr>
      <w:r>
        <w:rPr>
          <w:rFonts w:cs="Arial"/>
          <w:szCs w:val="22"/>
        </w:rPr>
        <w:t>References</w:t>
      </w:r>
    </w:p>
    <w:p w14:paraId="4ADBA622" w14:textId="49B9DF0B" w:rsidR="00F03F25" w:rsidRDefault="00BB24DF" w:rsidP="005638D0">
      <w:pPr>
        <w:rPr>
          <w:sz w:val="20"/>
          <w:szCs w:val="20"/>
        </w:rPr>
      </w:pPr>
      <w:r w:rsidRPr="00BB24DF">
        <w:rPr>
          <w:sz w:val="20"/>
          <w:szCs w:val="20"/>
        </w:rPr>
        <w:t>K</w:t>
      </w:r>
      <w:r w:rsidR="00C315A1">
        <w:rPr>
          <w:sz w:val="20"/>
          <w:szCs w:val="20"/>
        </w:rPr>
        <w:t>DIGO</w:t>
      </w:r>
      <w:r w:rsidRPr="00BB24DF">
        <w:rPr>
          <w:sz w:val="20"/>
          <w:szCs w:val="20"/>
        </w:rPr>
        <w:t xml:space="preserve"> A. K. I. Work Group</w:t>
      </w:r>
      <w:r w:rsidR="00C315A1">
        <w:rPr>
          <w:sz w:val="20"/>
          <w:szCs w:val="20"/>
        </w:rPr>
        <w:t xml:space="preserve"> </w:t>
      </w:r>
      <w:r w:rsidR="00C315A1" w:rsidRPr="00BB24DF">
        <w:rPr>
          <w:sz w:val="20"/>
          <w:szCs w:val="20"/>
        </w:rPr>
        <w:t>(2012)</w:t>
      </w:r>
      <w:r w:rsidRPr="00BB24DF">
        <w:rPr>
          <w:sz w:val="20"/>
          <w:szCs w:val="20"/>
        </w:rPr>
        <w:t xml:space="preserve">. KDIGO clinical practice guideline for acute kidney injury. Kidney Int Suppl, 2(1), 1-138. </w:t>
      </w:r>
    </w:p>
    <w:p w14:paraId="081D6B54" w14:textId="0EC1C605" w:rsidR="00BB24DF" w:rsidRDefault="00BB24DF" w:rsidP="005638D0">
      <w:pPr>
        <w:rPr>
          <w:sz w:val="20"/>
          <w:szCs w:val="20"/>
        </w:rPr>
      </w:pPr>
      <w:r w:rsidRPr="00BB24DF">
        <w:rPr>
          <w:sz w:val="20"/>
          <w:szCs w:val="20"/>
        </w:rPr>
        <w:t xml:space="preserve">Soler, Y. A., Nieves-Plaza, M., Prieto, M., García-De Jesús, R., &amp; Suárez-Rivera, M. (2013). </w:t>
      </w:r>
      <w:proofErr w:type="spellStart"/>
      <w:r w:rsidRPr="00BB24DF">
        <w:rPr>
          <w:sz w:val="20"/>
          <w:szCs w:val="20"/>
        </w:rPr>
        <w:t>pRIFLE</w:t>
      </w:r>
      <w:proofErr w:type="spellEnd"/>
      <w:r w:rsidRPr="00BB24DF">
        <w:rPr>
          <w:sz w:val="20"/>
          <w:szCs w:val="20"/>
        </w:rPr>
        <w:t xml:space="preserve"> (Pediatric Risk, Injury, Failure, Loss, End Stage Renal Disease) score identifies Acute Kidney Injury and predicts mortality in critically ill children: a prospective study. Pediatric critical care medicine: a journal of the Society of Critical Care Medicine and the World Federation of Pediatric Intensive and Critical Care Societies, 14(4), e189.</w:t>
      </w:r>
    </w:p>
    <w:p w14:paraId="3AD66EC8" w14:textId="747F6862" w:rsidR="00BB24DF" w:rsidRDefault="00455A87" w:rsidP="005638D0">
      <w:pPr>
        <w:rPr>
          <w:sz w:val="20"/>
          <w:szCs w:val="20"/>
        </w:rPr>
      </w:pPr>
      <w:hyperlink r:id="rId8" w:history="1">
        <w:r w:rsidR="00941369" w:rsidRPr="00504BED">
          <w:rPr>
            <w:rStyle w:val="Hyperlink"/>
            <w:sz w:val="20"/>
            <w:szCs w:val="20"/>
          </w:rPr>
          <w:t>https://www.nice.org.uk/guidance/cg169/evidence/acute-kidney-injury-full-guideline-pdf-191530621</w:t>
        </w:r>
      </w:hyperlink>
    </w:p>
    <w:p w14:paraId="333D269E" w14:textId="72EDCE12" w:rsidR="00941369" w:rsidRPr="005638D0" w:rsidRDefault="00941369" w:rsidP="005638D0">
      <w:pPr>
        <w:rPr>
          <w:sz w:val="20"/>
          <w:szCs w:val="20"/>
        </w:rPr>
      </w:pPr>
      <w:r w:rsidRPr="00941369">
        <w:rPr>
          <w:sz w:val="20"/>
          <w:szCs w:val="20"/>
        </w:rPr>
        <w:t>Rahman, M., Shad, F., &amp; Smith, M. C. (2012). Acute kidney injury: a guide to diagnosis and management. American family physician, 86(7).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1021CE6E" w14:textId="77777777" w:rsidTr="00515546">
        <w:trPr>
          <w:trHeight w:val="20"/>
        </w:trPr>
        <w:tc>
          <w:tcPr>
            <w:tcW w:w="2139" w:type="dxa"/>
            <w:shd w:val="clear" w:color="auto" w:fill="auto"/>
            <w:vAlign w:val="bottom"/>
          </w:tcPr>
          <w:p w14:paraId="623E03DA" w14:textId="77777777" w:rsidR="004C4442" w:rsidRPr="00515546" w:rsidRDefault="004C4442" w:rsidP="001832DB">
            <w:pPr>
              <w:spacing w:after="0"/>
              <w:rPr>
                <w:b/>
                <w:szCs w:val="22"/>
              </w:rPr>
            </w:pPr>
            <w:r w:rsidRPr="00515546">
              <w:rPr>
                <w:b/>
                <w:szCs w:val="22"/>
              </w:rPr>
              <w:t>Written by:</w:t>
            </w:r>
          </w:p>
        </w:tc>
        <w:tc>
          <w:tcPr>
            <w:tcW w:w="3622" w:type="dxa"/>
            <w:shd w:val="clear" w:color="auto" w:fill="auto"/>
            <w:vAlign w:val="bottom"/>
          </w:tcPr>
          <w:p w14:paraId="0026BEA8" w14:textId="26468BA6" w:rsidR="004C4442" w:rsidRPr="00515546" w:rsidRDefault="00DD1324" w:rsidP="001832DB">
            <w:pPr>
              <w:spacing w:after="0"/>
              <w:rPr>
                <w:szCs w:val="22"/>
              </w:rPr>
            </w:pPr>
            <w:r>
              <w:rPr>
                <w:szCs w:val="22"/>
              </w:rPr>
              <w:t>Orighomisan Agboghoroma</w:t>
            </w:r>
          </w:p>
        </w:tc>
        <w:tc>
          <w:tcPr>
            <w:tcW w:w="2869" w:type="dxa"/>
            <w:shd w:val="clear" w:color="auto" w:fill="auto"/>
            <w:vAlign w:val="bottom"/>
          </w:tcPr>
          <w:p w14:paraId="696CDB31" w14:textId="5C8B650C" w:rsidR="004C4442" w:rsidRPr="00515546" w:rsidRDefault="004C4442" w:rsidP="001832DB">
            <w:pPr>
              <w:spacing w:after="0"/>
              <w:rPr>
                <w:szCs w:val="22"/>
              </w:rPr>
            </w:pPr>
            <w:r w:rsidRPr="00515546">
              <w:rPr>
                <w:szCs w:val="22"/>
              </w:rPr>
              <w:t xml:space="preserve">Date: </w:t>
            </w:r>
            <w:r w:rsidR="00DD1324">
              <w:rPr>
                <w:szCs w:val="22"/>
              </w:rPr>
              <w:t>04 April 2019</w:t>
            </w:r>
          </w:p>
        </w:tc>
      </w:tr>
      <w:tr w:rsidR="004C4442" w:rsidRPr="00515546" w14:paraId="63BE6349" w14:textId="77777777" w:rsidTr="00515546">
        <w:trPr>
          <w:trHeight w:val="20"/>
        </w:trPr>
        <w:tc>
          <w:tcPr>
            <w:tcW w:w="2139" w:type="dxa"/>
            <w:shd w:val="clear" w:color="auto" w:fill="auto"/>
            <w:vAlign w:val="bottom"/>
          </w:tcPr>
          <w:p w14:paraId="7BF91BD6" w14:textId="77777777" w:rsidR="004C4442" w:rsidRPr="00515546" w:rsidRDefault="004C4442" w:rsidP="001832DB">
            <w:pPr>
              <w:spacing w:after="0"/>
              <w:rPr>
                <w:b/>
                <w:szCs w:val="22"/>
              </w:rPr>
            </w:pPr>
            <w:r w:rsidRPr="00515546">
              <w:rPr>
                <w:b/>
                <w:szCs w:val="22"/>
              </w:rPr>
              <w:t>Reviewed by:</w:t>
            </w:r>
          </w:p>
        </w:tc>
        <w:tc>
          <w:tcPr>
            <w:tcW w:w="3622" w:type="dxa"/>
            <w:shd w:val="clear" w:color="auto" w:fill="auto"/>
            <w:vAlign w:val="bottom"/>
          </w:tcPr>
          <w:p w14:paraId="1EADE4B1" w14:textId="47F59D1D" w:rsidR="004C4442" w:rsidRPr="00515546" w:rsidRDefault="001A3B0B" w:rsidP="001832DB">
            <w:pPr>
              <w:spacing w:after="0"/>
              <w:rPr>
                <w:szCs w:val="22"/>
              </w:rPr>
            </w:pPr>
            <w:r>
              <w:rPr>
                <w:szCs w:val="22"/>
              </w:rPr>
              <w:t>Karen Forrest</w:t>
            </w:r>
          </w:p>
        </w:tc>
        <w:tc>
          <w:tcPr>
            <w:tcW w:w="2869" w:type="dxa"/>
            <w:shd w:val="clear" w:color="auto" w:fill="auto"/>
            <w:vAlign w:val="bottom"/>
          </w:tcPr>
          <w:p w14:paraId="102B2F33" w14:textId="246F63CB" w:rsidR="004C4442" w:rsidRPr="00515546" w:rsidRDefault="004C4442" w:rsidP="001832DB">
            <w:pPr>
              <w:spacing w:after="0"/>
              <w:rPr>
                <w:szCs w:val="22"/>
              </w:rPr>
            </w:pPr>
            <w:r w:rsidRPr="00515546">
              <w:rPr>
                <w:szCs w:val="22"/>
              </w:rPr>
              <w:t xml:space="preserve">Date: </w:t>
            </w:r>
            <w:r w:rsidR="001A3B0B">
              <w:rPr>
                <w:szCs w:val="22"/>
              </w:rPr>
              <w:t>07 May 2019</w:t>
            </w:r>
          </w:p>
        </w:tc>
      </w:tr>
      <w:tr w:rsidR="004C4442" w:rsidRPr="00515546" w14:paraId="79C06A81" w14:textId="77777777" w:rsidTr="00515546">
        <w:trPr>
          <w:trHeight w:val="20"/>
        </w:trPr>
        <w:tc>
          <w:tcPr>
            <w:tcW w:w="2139" w:type="dxa"/>
            <w:shd w:val="clear" w:color="auto" w:fill="auto"/>
            <w:vAlign w:val="bottom"/>
          </w:tcPr>
          <w:p w14:paraId="19F3C45C" w14:textId="77777777" w:rsidR="004C4442" w:rsidRPr="00515546" w:rsidRDefault="004C4442" w:rsidP="001832DB">
            <w:pPr>
              <w:spacing w:after="0"/>
              <w:rPr>
                <w:szCs w:val="22"/>
              </w:rPr>
            </w:pPr>
            <w:r w:rsidRPr="00515546">
              <w:rPr>
                <w:b/>
                <w:szCs w:val="22"/>
              </w:rPr>
              <w:t>Version:</w:t>
            </w:r>
          </w:p>
        </w:tc>
        <w:tc>
          <w:tcPr>
            <w:tcW w:w="3622" w:type="dxa"/>
            <w:shd w:val="clear" w:color="auto" w:fill="auto"/>
            <w:vAlign w:val="bottom"/>
          </w:tcPr>
          <w:p w14:paraId="37C0B2EC" w14:textId="77777777" w:rsidR="004C4442" w:rsidRPr="00515546" w:rsidRDefault="004C4442" w:rsidP="001832DB">
            <w:pPr>
              <w:spacing w:after="0"/>
              <w:rPr>
                <w:szCs w:val="22"/>
              </w:rPr>
            </w:pPr>
            <w:r w:rsidRPr="00515546">
              <w:rPr>
                <w:b/>
                <w:szCs w:val="22"/>
              </w:rPr>
              <w:t>Change history:</w:t>
            </w:r>
          </w:p>
        </w:tc>
        <w:tc>
          <w:tcPr>
            <w:tcW w:w="2869" w:type="dxa"/>
            <w:shd w:val="clear" w:color="auto" w:fill="auto"/>
            <w:vAlign w:val="bottom"/>
          </w:tcPr>
          <w:p w14:paraId="769CD5BB" w14:textId="77777777" w:rsidR="004C4442" w:rsidRPr="00515546" w:rsidRDefault="004C4442" w:rsidP="001832DB">
            <w:pPr>
              <w:spacing w:after="0"/>
              <w:rPr>
                <w:b/>
                <w:szCs w:val="22"/>
              </w:rPr>
            </w:pPr>
            <w:r w:rsidRPr="00515546">
              <w:rPr>
                <w:b/>
                <w:szCs w:val="22"/>
              </w:rPr>
              <w:t>Review due date:</w:t>
            </w:r>
          </w:p>
        </w:tc>
      </w:tr>
      <w:tr w:rsidR="004C4442" w:rsidRPr="00515546" w14:paraId="4653DCEB" w14:textId="77777777" w:rsidTr="00515546">
        <w:trPr>
          <w:trHeight w:val="20"/>
        </w:trPr>
        <w:tc>
          <w:tcPr>
            <w:tcW w:w="2139" w:type="dxa"/>
            <w:shd w:val="clear" w:color="auto" w:fill="auto"/>
            <w:vAlign w:val="bottom"/>
          </w:tcPr>
          <w:p w14:paraId="65C2D591" w14:textId="77777777" w:rsidR="004C4442" w:rsidRPr="00515546" w:rsidRDefault="004C4442" w:rsidP="001832DB">
            <w:pPr>
              <w:spacing w:after="0"/>
              <w:rPr>
                <w:szCs w:val="22"/>
              </w:rPr>
            </w:pPr>
            <w:r w:rsidRPr="00515546">
              <w:rPr>
                <w:szCs w:val="22"/>
              </w:rPr>
              <w:t>1.0</w:t>
            </w:r>
          </w:p>
        </w:tc>
        <w:tc>
          <w:tcPr>
            <w:tcW w:w="3622" w:type="dxa"/>
            <w:shd w:val="clear" w:color="auto" w:fill="auto"/>
            <w:vAlign w:val="bottom"/>
          </w:tcPr>
          <w:p w14:paraId="7E87FB81" w14:textId="77777777" w:rsidR="004C4442" w:rsidRPr="00515546" w:rsidRDefault="004C4442" w:rsidP="001832DB">
            <w:pPr>
              <w:spacing w:after="0"/>
              <w:rPr>
                <w:szCs w:val="22"/>
              </w:rPr>
            </w:pPr>
            <w:r w:rsidRPr="00515546">
              <w:rPr>
                <w:szCs w:val="22"/>
              </w:rPr>
              <w:t>New document</w:t>
            </w:r>
          </w:p>
        </w:tc>
        <w:tc>
          <w:tcPr>
            <w:tcW w:w="2869" w:type="dxa"/>
            <w:shd w:val="clear" w:color="auto" w:fill="auto"/>
            <w:vAlign w:val="bottom"/>
          </w:tcPr>
          <w:p w14:paraId="41C89047" w14:textId="2B69EC1D" w:rsidR="004C4442" w:rsidRPr="00515546" w:rsidRDefault="00E34002" w:rsidP="001832DB">
            <w:pPr>
              <w:spacing w:after="0"/>
              <w:rPr>
                <w:szCs w:val="22"/>
              </w:rPr>
            </w:pPr>
            <w:r>
              <w:rPr>
                <w:szCs w:val="22"/>
              </w:rPr>
              <w:t>31 May 2021</w:t>
            </w:r>
          </w:p>
        </w:tc>
      </w:tr>
      <w:tr w:rsidR="005638D0" w:rsidRPr="00515546" w14:paraId="3FE6FD3B" w14:textId="77777777" w:rsidTr="00515546">
        <w:trPr>
          <w:trHeight w:val="20"/>
        </w:trPr>
        <w:tc>
          <w:tcPr>
            <w:tcW w:w="2139" w:type="dxa"/>
            <w:shd w:val="clear" w:color="auto" w:fill="auto"/>
            <w:vAlign w:val="bottom"/>
          </w:tcPr>
          <w:p w14:paraId="1A4EF725"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626BFCC3" w14:textId="77777777" w:rsidR="005638D0" w:rsidRPr="00515546" w:rsidRDefault="005638D0" w:rsidP="005638D0">
            <w:pPr>
              <w:spacing w:after="0"/>
              <w:rPr>
                <w:szCs w:val="22"/>
              </w:rPr>
            </w:pPr>
          </w:p>
        </w:tc>
        <w:tc>
          <w:tcPr>
            <w:tcW w:w="2869" w:type="dxa"/>
            <w:shd w:val="clear" w:color="auto" w:fill="auto"/>
            <w:vAlign w:val="bottom"/>
          </w:tcPr>
          <w:p w14:paraId="63CCB920" w14:textId="77777777" w:rsidR="005638D0" w:rsidRPr="00515546" w:rsidRDefault="005638D0" w:rsidP="005638D0">
            <w:pPr>
              <w:spacing w:after="0"/>
              <w:rPr>
                <w:b/>
                <w:szCs w:val="22"/>
              </w:rPr>
            </w:pPr>
          </w:p>
        </w:tc>
      </w:tr>
    </w:tbl>
    <w:p w14:paraId="1B8D9CE6" w14:textId="77777777" w:rsidR="00975A60" w:rsidRPr="00CC3CF5" w:rsidRDefault="00975A60" w:rsidP="00975A60">
      <w:pPr>
        <w:rPr>
          <w:szCs w:val="22"/>
        </w:rPr>
      </w:pPr>
    </w:p>
    <w:sectPr w:rsidR="00975A60" w:rsidRPr="00CC3CF5" w:rsidSect="00D1382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DA2D4" w14:textId="77777777" w:rsidR="00455A87" w:rsidRDefault="00455A87" w:rsidP="00975A60">
      <w:pPr>
        <w:spacing w:after="0"/>
      </w:pPr>
      <w:r>
        <w:separator/>
      </w:r>
    </w:p>
  </w:endnote>
  <w:endnote w:type="continuationSeparator" w:id="0">
    <w:p w14:paraId="5764CF67" w14:textId="77777777" w:rsidR="00455A87" w:rsidRDefault="00455A87"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61270" w14:textId="77777777" w:rsidR="001832DB" w:rsidRDefault="001832DB"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9DF933" w14:textId="77777777" w:rsidR="001832DB" w:rsidRDefault="00183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4D6C3" w14:textId="77777777" w:rsidR="001832DB" w:rsidRPr="003A02A5" w:rsidRDefault="001832DB"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FC1674">
      <w:rPr>
        <w:rStyle w:val="PageNumber"/>
        <w:noProof/>
      </w:rPr>
      <w:t>5</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FC1674">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1D5A" w14:textId="77777777" w:rsidR="001832DB" w:rsidRDefault="001832DB"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FC1674">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FC1674">
      <w:rPr>
        <w:rStyle w:val="PageNumber"/>
        <w:noProof/>
      </w:rPr>
      <w:t>1</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8B9C2" w14:textId="77777777" w:rsidR="00455A87" w:rsidRDefault="00455A87" w:rsidP="00975A60">
      <w:pPr>
        <w:spacing w:after="0"/>
      </w:pPr>
      <w:r>
        <w:separator/>
      </w:r>
    </w:p>
  </w:footnote>
  <w:footnote w:type="continuationSeparator" w:id="0">
    <w:p w14:paraId="31393568" w14:textId="77777777" w:rsidR="00455A87" w:rsidRDefault="00455A87"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47C5F" w14:textId="5BD9FB07" w:rsidR="001832DB" w:rsidRPr="00F87812" w:rsidRDefault="001832DB" w:rsidP="00D13825">
    <w:pPr>
      <w:pStyle w:val="Header"/>
    </w:pPr>
    <w:r w:rsidRPr="00F87812">
      <w:t>Identification code: MeG-CLS-</w:t>
    </w:r>
    <w:r w:rsidR="00875E76">
      <w:t>071</w:t>
    </w:r>
    <w:r w:rsidRPr="00F87812">
      <w:tab/>
    </w:r>
  </w:p>
  <w:p w14:paraId="6B041157" w14:textId="413AEFD5" w:rsidR="001832DB" w:rsidRPr="00875E76" w:rsidRDefault="001832DB" w:rsidP="00D13825">
    <w:pPr>
      <w:pStyle w:val="Header"/>
    </w:pPr>
    <w:r w:rsidRPr="00875E76">
      <w:t xml:space="preserve">Version: 1.0 – </w:t>
    </w:r>
    <w:r w:rsidR="00E34002">
      <w:t>31 May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0B23A" w14:textId="77777777" w:rsidR="001832DB" w:rsidRDefault="001832DB" w:rsidP="00D13825">
    <w:pPr>
      <w:pStyle w:val="Header"/>
      <w:ind w:firstLine="2880"/>
      <w:rPr>
        <w:rFonts w:cs="Arial"/>
        <w:b/>
      </w:rPr>
    </w:pPr>
    <w:r>
      <w:rPr>
        <w:rFonts w:cs="Arial"/>
        <w:b/>
        <w:noProof/>
        <w:lang w:val="en-GB" w:eastAsia="en-GB"/>
      </w:rPr>
      <w:drawing>
        <wp:anchor distT="0" distB="0" distL="114300" distR="114300" simplePos="0" relativeHeight="251659776" behindDoc="1" locked="0" layoutInCell="1" allowOverlap="1" wp14:anchorId="6B496D89" wp14:editId="7AFC102F">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0A22B04" w14:textId="77777777" w:rsidR="001832DB" w:rsidRDefault="001832DB"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8593164" w14:textId="77777777" w:rsidR="001832DB" w:rsidRPr="003C0800" w:rsidRDefault="001832DB" w:rsidP="00D13825">
    <w:pPr>
      <w:pStyle w:val="Header"/>
      <w:ind w:firstLine="2880"/>
      <w:rPr>
        <w:rFonts w:cs="Arial"/>
        <w:b/>
      </w:rPr>
    </w:pPr>
  </w:p>
  <w:p w14:paraId="30C88366" w14:textId="4BC0D6EB" w:rsidR="001832DB" w:rsidRPr="00F87812" w:rsidRDefault="001832DB" w:rsidP="00D13825">
    <w:pPr>
      <w:pStyle w:val="Header"/>
    </w:pPr>
    <w:r w:rsidRPr="00F87812">
      <w:t>Identification code: MeG-CLS-</w:t>
    </w:r>
    <w:r w:rsidR="00875E76">
      <w:t>071</w:t>
    </w:r>
    <w:r w:rsidRPr="00F87812">
      <w:tab/>
    </w:r>
  </w:p>
  <w:p w14:paraId="1765B121" w14:textId="3728F1FF" w:rsidR="001832DB" w:rsidRPr="00875E76" w:rsidRDefault="001832DB" w:rsidP="00D13825">
    <w:pPr>
      <w:pStyle w:val="Header"/>
    </w:pPr>
    <w:r w:rsidRPr="00875E76">
      <w:t xml:space="preserve">Version: 1.0 – </w:t>
    </w:r>
    <w:r w:rsidR="00E34002">
      <w:t>31 May 2019</w:t>
    </w:r>
  </w:p>
  <w:p w14:paraId="334906FF" w14:textId="77777777" w:rsidR="001832DB" w:rsidRDefault="00183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CC1994"/>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5A3AF92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E02F14"/>
    <w:multiLevelType w:val="hybridMultilevel"/>
    <w:tmpl w:val="A924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169287A"/>
    <w:multiLevelType w:val="hybridMultilevel"/>
    <w:tmpl w:val="F566F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3DD1"/>
    <w:multiLevelType w:val="hybridMultilevel"/>
    <w:tmpl w:val="88BA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B8073C"/>
    <w:multiLevelType w:val="hybridMultilevel"/>
    <w:tmpl w:val="6152F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0C6CB6"/>
    <w:multiLevelType w:val="hybridMultilevel"/>
    <w:tmpl w:val="96EC7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7F4754"/>
    <w:multiLevelType w:val="hybridMultilevel"/>
    <w:tmpl w:val="37E82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001DDA"/>
    <w:multiLevelType w:val="hybridMultilevel"/>
    <w:tmpl w:val="C31A6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ED505C"/>
    <w:multiLevelType w:val="hybridMultilevel"/>
    <w:tmpl w:val="630EA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3F79AF"/>
    <w:multiLevelType w:val="hybridMultilevel"/>
    <w:tmpl w:val="E558F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F95EC4"/>
    <w:multiLevelType w:val="hybridMultilevel"/>
    <w:tmpl w:val="83FA8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C5F3CA2"/>
    <w:multiLevelType w:val="hybridMultilevel"/>
    <w:tmpl w:val="9E325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0052A9"/>
    <w:multiLevelType w:val="hybridMultilevel"/>
    <w:tmpl w:val="DEF29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935EDE"/>
    <w:multiLevelType w:val="hybridMultilevel"/>
    <w:tmpl w:val="5F409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C76FC9"/>
    <w:multiLevelType w:val="hybridMultilevel"/>
    <w:tmpl w:val="5E10F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0E7BBF"/>
    <w:multiLevelType w:val="hybridMultilevel"/>
    <w:tmpl w:val="2A429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89046C"/>
    <w:multiLevelType w:val="hybridMultilevel"/>
    <w:tmpl w:val="90ACA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3"/>
  </w:num>
  <w:num w:numId="4">
    <w:abstractNumId w:val="1"/>
  </w:num>
  <w:num w:numId="5">
    <w:abstractNumId w:val="0"/>
  </w:num>
  <w:num w:numId="6">
    <w:abstractNumId w:val="5"/>
  </w:num>
  <w:num w:numId="7">
    <w:abstractNumId w:val="21"/>
  </w:num>
  <w:num w:numId="8">
    <w:abstractNumId w:val="2"/>
  </w:num>
  <w:num w:numId="9">
    <w:abstractNumId w:val="38"/>
  </w:num>
  <w:num w:numId="10">
    <w:abstractNumId w:val="3"/>
  </w:num>
  <w:num w:numId="11">
    <w:abstractNumId w:val="14"/>
  </w:num>
  <w:num w:numId="12">
    <w:abstractNumId w:val="24"/>
  </w:num>
  <w:num w:numId="13">
    <w:abstractNumId w:val="32"/>
  </w:num>
  <w:num w:numId="14">
    <w:abstractNumId w:val="28"/>
  </w:num>
  <w:num w:numId="15">
    <w:abstractNumId w:val="36"/>
  </w:num>
  <w:num w:numId="16">
    <w:abstractNumId w:val="15"/>
  </w:num>
  <w:num w:numId="17">
    <w:abstractNumId w:val="9"/>
  </w:num>
  <w:num w:numId="18">
    <w:abstractNumId w:val="29"/>
  </w:num>
  <w:num w:numId="19">
    <w:abstractNumId w:val="17"/>
  </w:num>
  <w:num w:numId="20">
    <w:abstractNumId w:val="33"/>
  </w:num>
  <w:num w:numId="21">
    <w:abstractNumId w:val="19"/>
  </w:num>
  <w:num w:numId="22">
    <w:abstractNumId w:val="10"/>
  </w:num>
  <w:num w:numId="23">
    <w:abstractNumId w:val="23"/>
  </w:num>
  <w:num w:numId="24">
    <w:abstractNumId w:val="27"/>
  </w:num>
  <w:num w:numId="25">
    <w:abstractNumId w:val="11"/>
  </w:num>
  <w:num w:numId="26">
    <w:abstractNumId w:val="39"/>
  </w:num>
  <w:num w:numId="27">
    <w:abstractNumId w:val="4"/>
  </w:num>
  <w:num w:numId="28">
    <w:abstractNumId w:val="12"/>
  </w:num>
  <w:num w:numId="29">
    <w:abstractNumId w:val="7"/>
  </w:num>
  <w:num w:numId="30">
    <w:abstractNumId w:val="30"/>
  </w:num>
  <w:num w:numId="31">
    <w:abstractNumId w:val="35"/>
  </w:num>
  <w:num w:numId="32">
    <w:abstractNumId w:val="16"/>
  </w:num>
  <w:num w:numId="33">
    <w:abstractNumId w:val="34"/>
  </w:num>
  <w:num w:numId="34">
    <w:abstractNumId w:val="31"/>
  </w:num>
  <w:num w:numId="35">
    <w:abstractNumId w:val="22"/>
  </w:num>
  <w:num w:numId="36">
    <w:abstractNumId w:val="25"/>
  </w:num>
  <w:num w:numId="37">
    <w:abstractNumId w:val="37"/>
  </w:num>
  <w:num w:numId="38">
    <w:abstractNumId w:val="20"/>
  </w:num>
  <w:num w:numId="39">
    <w:abstractNumId w:val="6"/>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DI2BEILA0sTEyUdpeDU4uLM/DyQAuNaAP6NBsUsAAAA"/>
  </w:docVars>
  <w:rsids>
    <w:rsidRoot w:val="0056768F"/>
    <w:rsid w:val="000039D9"/>
    <w:rsid w:val="000334F3"/>
    <w:rsid w:val="0007147C"/>
    <w:rsid w:val="00076379"/>
    <w:rsid w:val="00081642"/>
    <w:rsid w:val="000C28EA"/>
    <w:rsid w:val="00114AAF"/>
    <w:rsid w:val="001203AE"/>
    <w:rsid w:val="001207C5"/>
    <w:rsid w:val="00122685"/>
    <w:rsid w:val="00175153"/>
    <w:rsid w:val="001832DB"/>
    <w:rsid w:val="001A3B0B"/>
    <w:rsid w:val="001B2970"/>
    <w:rsid w:val="001C1450"/>
    <w:rsid w:val="001D3D63"/>
    <w:rsid w:val="00223920"/>
    <w:rsid w:val="00252A11"/>
    <w:rsid w:val="00252AC9"/>
    <w:rsid w:val="0029357D"/>
    <w:rsid w:val="002A2856"/>
    <w:rsid w:val="002B3481"/>
    <w:rsid w:val="003020A2"/>
    <w:rsid w:val="003038D3"/>
    <w:rsid w:val="003225CD"/>
    <w:rsid w:val="003C0800"/>
    <w:rsid w:val="003E7CFC"/>
    <w:rsid w:val="003F70CA"/>
    <w:rsid w:val="00455A87"/>
    <w:rsid w:val="0047583D"/>
    <w:rsid w:val="004A25F0"/>
    <w:rsid w:val="004A4C93"/>
    <w:rsid w:val="004C4442"/>
    <w:rsid w:val="00507221"/>
    <w:rsid w:val="00513C95"/>
    <w:rsid w:val="005151D8"/>
    <w:rsid w:val="00515546"/>
    <w:rsid w:val="005638D0"/>
    <w:rsid w:val="005651C2"/>
    <w:rsid w:val="0056768F"/>
    <w:rsid w:val="00586A47"/>
    <w:rsid w:val="005D1877"/>
    <w:rsid w:val="005D6246"/>
    <w:rsid w:val="006212ED"/>
    <w:rsid w:val="00633320"/>
    <w:rsid w:val="006630B4"/>
    <w:rsid w:val="006C786C"/>
    <w:rsid w:val="006D44A8"/>
    <w:rsid w:val="006F53AB"/>
    <w:rsid w:val="007067BE"/>
    <w:rsid w:val="00710861"/>
    <w:rsid w:val="00747C87"/>
    <w:rsid w:val="007B26B1"/>
    <w:rsid w:val="008026C5"/>
    <w:rsid w:val="00857027"/>
    <w:rsid w:val="00875E76"/>
    <w:rsid w:val="008802C5"/>
    <w:rsid w:val="009165E9"/>
    <w:rsid w:val="009325A7"/>
    <w:rsid w:val="00941369"/>
    <w:rsid w:val="00954B70"/>
    <w:rsid w:val="00975A60"/>
    <w:rsid w:val="009956F9"/>
    <w:rsid w:val="009A3704"/>
    <w:rsid w:val="009B44BE"/>
    <w:rsid w:val="009F5B1B"/>
    <w:rsid w:val="00A1405F"/>
    <w:rsid w:val="00A312D8"/>
    <w:rsid w:val="00A41080"/>
    <w:rsid w:val="00A4751A"/>
    <w:rsid w:val="00A54726"/>
    <w:rsid w:val="00A54DB0"/>
    <w:rsid w:val="00A606A8"/>
    <w:rsid w:val="00A839F7"/>
    <w:rsid w:val="00AF1367"/>
    <w:rsid w:val="00B31AC4"/>
    <w:rsid w:val="00B5488D"/>
    <w:rsid w:val="00B6133E"/>
    <w:rsid w:val="00B844E8"/>
    <w:rsid w:val="00BA0992"/>
    <w:rsid w:val="00BB24DF"/>
    <w:rsid w:val="00BD08AB"/>
    <w:rsid w:val="00BD555A"/>
    <w:rsid w:val="00C315A1"/>
    <w:rsid w:val="00C56BC6"/>
    <w:rsid w:val="00C67021"/>
    <w:rsid w:val="00C86287"/>
    <w:rsid w:val="00CC3CF5"/>
    <w:rsid w:val="00CC4A83"/>
    <w:rsid w:val="00CD4A1D"/>
    <w:rsid w:val="00D03AB2"/>
    <w:rsid w:val="00D13825"/>
    <w:rsid w:val="00D478E5"/>
    <w:rsid w:val="00D614AB"/>
    <w:rsid w:val="00D850C1"/>
    <w:rsid w:val="00D85788"/>
    <w:rsid w:val="00DA20ED"/>
    <w:rsid w:val="00DA7CBA"/>
    <w:rsid w:val="00DC1CC5"/>
    <w:rsid w:val="00DC2FB9"/>
    <w:rsid w:val="00DC590C"/>
    <w:rsid w:val="00DD1324"/>
    <w:rsid w:val="00DE3D6D"/>
    <w:rsid w:val="00DF345F"/>
    <w:rsid w:val="00DF4927"/>
    <w:rsid w:val="00E162DA"/>
    <w:rsid w:val="00E34002"/>
    <w:rsid w:val="00E3749A"/>
    <w:rsid w:val="00E81BFA"/>
    <w:rsid w:val="00E905DD"/>
    <w:rsid w:val="00F03F25"/>
    <w:rsid w:val="00F53968"/>
    <w:rsid w:val="00F71F11"/>
    <w:rsid w:val="00FC1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F7DD2"/>
  <w15:docId w15:val="{1FA96D4C-D849-4C8F-A7C9-1601D558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unhideWhenUsed="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styleId="PlaceholderText">
    <w:name w:val="Placeholder Text"/>
    <w:basedOn w:val="DefaultParagraphFont"/>
    <w:semiHidden/>
    <w:rsid w:val="00DF4927"/>
    <w:rPr>
      <w:color w:val="808080"/>
    </w:rPr>
  </w:style>
  <w:style w:type="character" w:styleId="FollowedHyperlink">
    <w:name w:val="FollowedHyperlink"/>
    <w:basedOn w:val="DefaultParagraphFont"/>
    <w:rsid w:val="00AF13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guidance/cg169/evidence/acute-kidney-injury-full-guideline-pdf-191530621"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nephron.com/bedside_peds_nic.cgi"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agboghoroma\Documents\Creating%20New%20CSD%20guidelin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TotalTime>
  <Pages>5</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Agboghoroma Orighomisan</dc:creator>
  <cp:lastModifiedBy>Karen Forrest</cp:lastModifiedBy>
  <cp:revision>3</cp:revision>
  <cp:lastPrinted>2019-05-31T09:28:00Z</cp:lastPrinted>
  <dcterms:created xsi:type="dcterms:W3CDTF">2019-05-27T14:50:00Z</dcterms:created>
  <dcterms:modified xsi:type="dcterms:W3CDTF">2019-05-31T09:29:00Z</dcterms:modified>
</cp:coreProperties>
</file>