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AC062" w14:textId="77777777" w:rsidR="008526C7" w:rsidRDefault="008526C7" w:rsidP="002C4007">
      <w:pPr>
        <w:pStyle w:val="Heading2"/>
      </w:pPr>
      <w:bookmarkStart w:id="0" w:name="_GoBack"/>
      <w:bookmarkEnd w:id="0"/>
      <w:r w:rsidRPr="008526C7">
        <w:t xml:space="preserve">Acute </w:t>
      </w:r>
      <w:r>
        <w:t>Rheumatic Fever</w:t>
      </w:r>
    </w:p>
    <w:p w14:paraId="7ACC6F15" w14:textId="77777777" w:rsidR="00765EED" w:rsidRPr="00F94418" w:rsidRDefault="00765EED" w:rsidP="00765EED">
      <w:pPr>
        <w:pStyle w:val="Heading2"/>
        <w:rPr>
          <w:rFonts w:cs="Arial"/>
          <w:i/>
          <w:szCs w:val="22"/>
        </w:rPr>
      </w:pPr>
      <w:r w:rsidRPr="00F94418">
        <w:rPr>
          <w:rFonts w:cs="Arial"/>
          <w:i/>
          <w:szCs w:val="22"/>
        </w:rPr>
        <w:t>Executive summary</w:t>
      </w:r>
    </w:p>
    <w:p w14:paraId="33B10CB6" w14:textId="0A9782C3" w:rsidR="008526C7" w:rsidRPr="008526C7" w:rsidRDefault="008526C7" w:rsidP="009412DD">
      <w:pPr>
        <w:pStyle w:val="Heading2"/>
      </w:pPr>
      <w:r w:rsidRPr="008526C7">
        <w:t>Introduction</w:t>
      </w:r>
    </w:p>
    <w:p w14:paraId="290FE7C9" w14:textId="59978A89" w:rsidR="008526C7" w:rsidRPr="008526C7" w:rsidRDefault="008526C7" w:rsidP="00650420">
      <w:pPr>
        <w:pStyle w:val="Heading1"/>
        <w:spacing w:after="120"/>
        <w:rPr>
          <w:b w:val="0"/>
          <w:sz w:val="22"/>
          <w:szCs w:val="22"/>
          <w:lang w:val="en-GB"/>
        </w:rPr>
      </w:pPr>
      <w:r w:rsidRPr="008526C7">
        <w:rPr>
          <w:b w:val="0"/>
          <w:sz w:val="22"/>
          <w:szCs w:val="22"/>
          <w:lang w:val="en-GB"/>
        </w:rPr>
        <w:t xml:space="preserve">Acute rheumatic fever (ARF) is an auto-immune consequence of infection with the bacterium group A streptococcus (GAS). The symptoms usually appear 2-4 weeks following infection. It causes an acute generalised inflammatory response and an illness that affects only certain parts of the body, mainly the heart, joints, brain and skin. </w:t>
      </w:r>
    </w:p>
    <w:p w14:paraId="2E5683F5" w14:textId="00D5AEFB" w:rsidR="008526C7" w:rsidRDefault="008526C7" w:rsidP="00650420">
      <w:pPr>
        <w:pStyle w:val="Heading1"/>
        <w:spacing w:after="120"/>
        <w:rPr>
          <w:b w:val="0"/>
          <w:sz w:val="22"/>
          <w:szCs w:val="22"/>
          <w:lang w:val="en-GB"/>
        </w:rPr>
      </w:pPr>
      <w:r w:rsidRPr="008526C7">
        <w:rPr>
          <w:b w:val="0"/>
          <w:sz w:val="22"/>
          <w:szCs w:val="22"/>
          <w:lang w:val="en-GB"/>
        </w:rPr>
        <w:t xml:space="preserve">ARF leaves no lasting damage to the brain, joints or </w:t>
      </w:r>
      <w:r w:rsidR="00440FFD" w:rsidRPr="008526C7">
        <w:rPr>
          <w:b w:val="0"/>
          <w:sz w:val="22"/>
          <w:szCs w:val="22"/>
          <w:lang w:val="en-GB"/>
        </w:rPr>
        <w:t>skin</w:t>
      </w:r>
      <w:r w:rsidR="00440FFD">
        <w:rPr>
          <w:b w:val="0"/>
          <w:sz w:val="22"/>
          <w:szCs w:val="22"/>
          <w:lang w:val="en-GB"/>
        </w:rPr>
        <w:t xml:space="preserve">. </w:t>
      </w:r>
      <w:r w:rsidR="00440FFD" w:rsidRPr="008526C7">
        <w:rPr>
          <w:b w:val="0"/>
          <w:sz w:val="22"/>
          <w:szCs w:val="22"/>
          <w:lang w:val="en-GB"/>
        </w:rPr>
        <w:t>However</w:t>
      </w:r>
      <w:r w:rsidRPr="008526C7">
        <w:rPr>
          <w:b w:val="0"/>
          <w:sz w:val="22"/>
          <w:szCs w:val="22"/>
          <w:lang w:val="en-GB"/>
        </w:rPr>
        <w:t>,</w:t>
      </w:r>
      <w:r w:rsidR="00440FFD">
        <w:rPr>
          <w:b w:val="0"/>
          <w:sz w:val="22"/>
          <w:szCs w:val="22"/>
          <w:lang w:val="en-GB"/>
        </w:rPr>
        <w:t xml:space="preserve"> </w:t>
      </w:r>
      <w:r w:rsidRPr="008526C7">
        <w:rPr>
          <w:b w:val="0"/>
          <w:sz w:val="22"/>
          <w:szCs w:val="22"/>
          <w:lang w:val="en-GB"/>
        </w:rPr>
        <w:t>the damage to the heart, or more specifically the mitral and/or aortic valves, may remain once the acute episode has resolved and these long term changes are termed rheumatic heart disease (RHD). Because of its high prevalence in developing countries, RHD is the most common form of paediatric heart disease globally. In many countries</w:t>
      </w:r>
      <w:r w:rsidR="00FF4FA9">
        <w:rPr>
          <w:b w:val="0"/>
          <w:sz w:val="22"/>
          <w:szCs w:val="22"/>
          <w:lang w:val="en-GB"/>
        </w:rPr>
        <w:t>,</w:t>
      </w:r>
      <w:r w:rsidRPr="008526C7">
        <w:rPr>
          <w:b w:val="0"/>
          <w:sz w:val="22"/>
          <w:szCs w:val="22"/>
          <w:lang w:val="en-GB"/>
        </w:rPr>
        <w:t xml:space="preserve"> it is the most common cause of cardiac mortality in children and adults aged less than 40 years.</w:t>
      </w:r>
    </w:p>
    <w:p w14:paraId="0862ECBF" w14:textId="77777777" w:rsidR="00005BCE" w:rsidRDefault="00005BCE" w:rsidP="00005BCE">
      <w:pPr>
        <w:pStyle w:val="Heading3"/>
        <w:rPr>
          <w:rFonts w:eastAsia="MS Mincho" w:cs="Arial"/>
          <w:bCs w:val="0"/>
          <w:sz w:val="24"/>
          <w:szCs w:val="22"/>
          <w:u w:val="none"/>
        </w:rPr>
      </w:pPr>
      <w:r w:rsidRPr="00612AEE">
        <w:rPr>
          <w:rFonts w:eastAsia="MS Mincho" w:cs="Arial"/>
          <w:bCs w:val="0"/>
          <w:sz w:val="24"/>
          <w:szCs w:val="22"/>
          <w:u w:val="none"/>
        </w:rPr>
        <w:t xml:space="preserve">Target </w:t>
      </w:r>
      <w:r>
        <w:rPr>
          <w:rFonts w:eastAsia="MS Mincho" w:cs="Arial"/>
          <w:bCs w:val="0"/>
          <w:sz w:val="24"/>
          <w:szCs w:val="22"/>
          <w:u w:val="none"/>
        </w:rPr>
        <w:t>u</w:t>
      </w:r>
      <w:r w:rsidRPr="00612AEE">
        <w:rPr>
          <w:rFonts w:eastAsia="MS Mincho" w:cs="Arial"/>
          <w:bCs w:val="0"/>
          <w:sz w:val="24"/>
          <w:szCs w:val="22"/>
          <w:u w:val="none"/>
        </w:rPr>
        <w:t>ser</w:t>
      </w:r>
      <w:r>
        <w:rPr>
          <w:rFonts w:eastAsia="MS Mincho" w:cs="Arial"/>
          <w:bCs w:val="0"/>
          <w:sz w:val="24"/>
          <w:szCs w:val="22"/>
          <w:u w:val="none"/>
        </w:rPr>
        <w:t>s</w:t>
      </w:r>
    </w:p>
    <w:p w14:paraId="56211861" w14:textId="78EEA5A5" w:rsidR="00005BCE" w:rsidRDefault="00260234" w:rsidP="00005BCE">
      <w:pPr>
        <w:pStyle w:val="ListParagraph"/>
        <w:numPr>
          <w:ilvl w:val="0"/>
          <w:numId w:val="41"/>
        </w:numPr>
      </w:pPr>
      <w:r>
        <w:t>Doctors</w:t>
      </w:r>
    </w:p>
    <w:p w14:paraId="4EB11588" w14:textId="59A3D699" w:rsidR="00005BCE" w:rsidRPr="00584E1E" w:rsidRDefault="00260234" w:rsidP="00005BCE">
      <w:pPr>
        <w:pStyle w:val="ListParagraph"/>
        <w:numPr>
          <w:ilvl w:val="0"/>
          <w:numId w:val="41"/>
        </w:numPr>
      </w:pPr>
      <w:r>
        <w:t>Nurses</w:t>
      </w:r>
    </w:p>
    <w:p w14:paraId="7A93E981" w14:textId="77777777" w:rsidR="00005BCE" w:rsidRDefault="00005BCE" w:rsidP="00005BCE">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1771F7AC" w14:textId="1974FA9A" w:rsidR="00005BCE" w:rsidRDefault="00260234" w:rsidP="00005BCE">
      <w:pPr>
        <w:pStyle w:val="ListParagraph"/>
        <w:numPr>
          <w:ilvl w:val="0"/>
          <w:numId w:val="41"/>
        </w:numPr>
      </w:pPr>
      <w:r>
        <w:t>Gate clinic</w:t>
      </w:r>
    </w:p>
    <w:p w14:paraId="37BE9EF7" w14:textId="40A8452D" w:rsidR="00260234" w:rsidRDefault="00260234" w:rsidP="00005BCE">
      <w:pPr>
        <w:pStyle w:val="ListParagraph"/>
        <w:numPr>
          <w:ilvl w:val="0"/>
          <w:numId w:val="41"/>
        </w:numPr>
      </w:pPr>
      <w:r>
        <w:t>OPD</w:t>
      </w:r>
    </w:p>
    <w:p w14:paraId="59142E80" w14:textId="77777777" w:rsidR="00260234" w:rsidRDefault="00260234" w:rsidP="00005BCE">
      <w:pPr>
        <w:pStyle w:val="ListParagraph"/>
        <w:numPr>
          <w:ilvl w:val="0"/>
          <w:numId w:val="41"/>
        </w:numPr>
      </w:pPr>
      <w:r>
        <w:t>Ward</w:t>
      </w:r>
    </w:p>
    <w:p w14:paraId="02D51498" w14:textId="77777777" w:rsidR="00005BCE" w:rsidRDefault="00005BCE" w:rsidP="00005BCE">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43D9B657" w14:textId="77777777" w:rsidR="00260234" w:rsidRDefault="00260234" w:rsidP="00260234">
      <w:pPr>
        <w:pStyle w:val="Heading2"/>
        <w:rPr>
          <w:rFonts w:cs="Arial"/>
          <w:b w:val="0"/>
          <w:sz w:val="22"/>
          <w:szCs w:val="22"/>
        </w:rPr>
      </w:pPr>
      <w:r>
        <w:rPr>
          <w:rFonts w:cs="Arial"/>
          <w:b w:val="0"/>
          <w:sz w:val="22"/>
          <w:szCs w:val="22"/>
        </w:rPr>
        <w:t>This guideline is intended to support clinicians in the diagnosis and management of acute rheumatic fever in adults and children who present to CSD.</w:t>
      </w:r>
    </w:p>
    <w:p w14:paraId="31CFB1FA" w14:textId="77777777" w:rsidR="00005BCE" w:rsidRDefault="00005BCE" w:rsidP="00005BCE">
      <w:pPr>
        <w:pStyle w:val="Heading2"/>
        <w:rPr>
          <w:rFonts w:cs="Arial"/>
          <w:szCs w:val="22"/>
        </w:rPr>
      </w:pPr>
      <w:r w:rsidRPr="00612AEE">
        <w:rPr>
          <w:rFonts w:cs="Arial"/>
          <w:szCs w:val="22"/>
        </w:rPr>
        <w:t>Limitations</w:t>
      </w:r>
    </w:p>
    <w:p w14:paraId="418F57D1" w14:textId="3845B2CA" w:rsidR="00260234" w:rsidRDefault="00260234" w:rsidP="00260234">
      <w:r>
        <w:t>We do not currently have access to streptococcal antibody tests (Anti-</w:t>
      </w:r>
      <w:proofErr w:type="spellStart"/>
      <w:r>
        <w:t>DNAse</w:t>
      </w:r>
      <w:proofErr w:type="spellEnd"/>
      <w:r>
        <w:t xml:space="preserve"> B and Anti</w:t>
      </w:r>
      <w:r w:rsidR="00AB6EF5">
        <w:t>-</w:t>
      </w:r>
      <w:r>
        <w:t xml:space="preserve">Streptolysin </w:t>
      </w:r>
      <w:proofErr w:type="spellStart"/>
      <w:r>
        <w:t>Titre</w:t>
      </w:r>
      <w:proofErr w:type="spellEnd"/>
      <w:r>
        <w:t>) which are highly useful investigations in acute rheumatic fever.</w:t>
      </w:r>
    </w:p>
    <w:p w14:paraId="3328C51E" w14:textId="690AEE8B" w:rsidR="00260234" w:rsidRPr="004848F9" w:rsidRDefault="00260234" w:rsidP="00260234">
      <w:r>
        <w:t xml:space="preserve">There is limited use of intramuscular Benzathine Penicillin G due to historical cases of </w:t>
      </w:r>
      <w:r w:rsidR="008271BD">
        <w:t>severe adverse drug reaction</w:t>
      </w:r>
      <w:r>
        <w:t>.</w:t>
      </w:r>
      <w:r w:rsidR="00FC5FB7">
        <w:t xml:space="preserve"> Throat culture is not routinely available at Keneba.</w:t>
      </w:r>
    </w:p>
    <w:p w14:paraId="2ECFE543" w14:textId="77777777" w:rsidR="007A6CD5" w:rsidRDefault="007A6CD5">
      <w:pPr>
        <w:spacing w:after="0"/>
        <w:outlineLvl w:val="9"/>
        <w:rPr>
          <w:rFonts w:cs="Times New Roman"/>
          <w:b/>
          <w:sz w:val="24"/>
          <w:szCs w:val="28"/>
        </w:rPr>
      </w:pPr>
      <w:r>
        <w:br w:type="page"/>
      </w:r>
    </w:p>
    <w:p w14:paraId="2203C82C" w14:textId="7477B10B" w:rsidR="00931E3E" w:rsidRPr="009412DD" w:rsidRDefault="00931E3E" w:rsidP="009412DD">
      <w:pPr>
        <w:pStyle w:val="Heading2"/>
      </w:pPr>
      <w:r w:rsidRPr="009412DD">
        <w:lastRenderedPageBreak/>
        <w:t>Presenting symptoms and signs</w:t>
      </w:r>
    </w:p>
    <w:p w14:paraId="28CB0A87" w14:textId="24B8702B" w:rsidR="00F441DB" w:rsidRDefault="00DB687D" w:rsidP="00DB687D">
      <w:pPr>
        <w:rPr>
          <w:lang w:val="en-GB"/>
        </w:rPr>
      </w:pPr>
      <w:r w:rsidRPr="00DB687D">
        <w:rPr>
          <w:lang w:val="en-GB"/>
        </w:rPr>
        <w:t xml:space="preserve">WHO criteria for the diagnosis of rheumatic </w:t>
      </w:r>
      <w:r w:rsidR="006D1323" w:rsidRPr="00DB687D">
        <w:rPr>
          <w:lang w:val="en-GB"/>
        </w:rPr>
        <w:t>fever</w:t>
      </w:r>
      <w:r w:rsidR="00F441DB">
        <w:rPr>
          <w:lang w:val="en-GB"/>
        </w:rPr>
        <w:t xml:space="preserve"> are based on the revised Jones criteria</w:t>
      </w:r>
      <w:r w:rsidR="000B47C0">
        <w:rPr>
          <w:lang w:val="en-GB"/>
        </w:rPr>
        <w:t>:</w:t>
      </w:r>
    </w:p>
    <w:tbl>
      <w:tblPr>
        <w:tblStyle w:val="TableGrid"/>
        <w:tblW w:w="0" w:type="auto"/>
        <w:tblLook w:val="04A0" w:firstRow="1" w:lastRow="0" w:firstColumn="1" w:lastColumn="0" w:noHBand="0" w:noVBand="1"/>
      </w:tblPr>
      <w:tblGrid>
        <w:gridCol w:w="4315"/>
        <w:gridCol w:w="4315"/>
      </w:tblGrid>
      <w:tr w:rsidR="000B47C0" w:rsidRPr="00856A47" w14:paraId="4DF2D637" w14:textId="77777777" w:rsidTr="000B47C0">
        <w:tc>
          <w:tcPr>
            <w:tcW w:w="4315" w:type="dxa"/>
          </w:tcPr>
          <w:p w14:paraId="3741736E" w14:textId="578C782C" w:rsidR="000B47C0" w:rsidRPr="00856A47" w:rsidRDefault="000B47C0" w:rsidP="00DB687D">
            <w:pPr>
              <w:rPr>
                <w:b/>
                <w:lang w:val="en-GB"/>
              </w:rPr>
            </w:pPr>
            <w:r w:rsidRPr="00856A47">
              <w:rPr>
                <w:b/>
                <w:lang w:val="en-GB"/>
              </w:rPr>
              <w:t>Diagnostic category</w:t>
            </w:r>
          </w:p>
        </w:tc>
        <w:tc>
          <w:tcPr>
            <w:tcW w:w="4315" w:type="dxa"/>
          </w:tcPr>
          <w:p w14:paraId="64F60A37" w14:textId="7277F5FF" w:rsidR="000B47C0" w:rsidRPr="00856A47" w:rsidRDefault="000B47C0" w:rsidP="00DB687D">
            <w:pPr>
              <w:rPr>
                <w:b/>
                <w:lang w:val="en-GB"/>
              </w:rPr>
            </w:pPr>
            <w:r w:rsidRPr="00856A47">
              <w:rPr>
                <w:b/>
                <w:lang w:val="en-GB"/>
              </w:rPr>
              <w:t>Criteria</w:t>
            </w:r>
          </w:p>
        </w:tc>
      </w:tr>
      <w:tr w:rsidR="000B47C0" w14:paraId="5F27A98C" w14:textId="77777777" w:rsidTr="000B47C0">
        <w:tc>
          <w:tcPr>
            <w:tcW w:w="4315" w:type="dxa"/>
          </w:tcPr>
          <w:p w14:paraId="7810EDF1" w14:textId="084AD188" w:rsidR="000B47C0" w:rsidRDefault="000B47C0" w:rsidP="00DB687D">
            <w:pPr>
              <w:rPr>
                <w:lang w:val="en-GB"/>
              </w:rPr>
            </w:pPr>
            <w:r>
              <w:rPr>
                <w:lang w:val="en-GB"/>
              </w:rPr>
              <w:t>Primary episode of ARF</w:t>
            </w:r>
          </w:p>
        </w:tc>
        <w:tc>
          <w:tcPr>
            <w:tcW w:w="4315" w:type="dxa"/>
          </w:tcPr>
          <w:p w14:paraId="7D3F5B25" w14:textId="02B6758C" w:rsidR="00856A47" w:rsidRDefault="00856A47" w:rsidP="00DB687D">
            <w:pPr>
              <w:rPr>
                <w:lang w:val="en-GB"/>
              </w:rPr>
            </w:pPr>
            <w:r>
              <w:rPr>
                <w:lang w:val="en-GB"/>
              </w:rPr>
              <w:t xml:space="preserve">2 major OR 1 major and 2 minor manifestations </w:t>
            </w:r>
            <w:r w:rsidRPr="0085614C">
              <w:rPr>
                <w:b/>
                <w:lang w:val="en-GB"/>
              </w:rPr>
              <w:t>PLUS</w:t>
            </w:r>
          </w:p>
          <w:p w14:paraId="3C854152" w14:textId="2862C6E1" w:rsidR="00856A47" w:rsidRDefault="00856A47" w:rsidP="00DB687D">
            <w:pPr>
              <w:rPr>
                <w:lang w:val="en-GB"/>
              </w:rPr>
            </w:pPr>
            <w:r>
              <w:rPr>
                <w:lang w:val="en-GB"/>
              </w:rPr>
              <w:t>Evidence of a preceding GAS infection</w:t>
            </w:r>
          </w:p>
        </w:tc>
      </w:tr>
      <w:tr w:rsidR="000B47C0" w14:paraId="1954484C" w14:textId="77777777" w:rsidTr="000B47C0">
        <w:tc>
          <w:tcPr>
            <w:tcW w:w="4315" w:type="dxa"/>
          </w:tcPr>
          <w:p w14:paraId="0FA059FF" w14:textId="0CE47C5A" w:rsidR="000B47C0" w:rsidRDefault="00856A47" w:rsidP="00DB687D">
            <w:pPr>
              <w:rPr>
                <w:lang w:val="en-GB"/>
              </w:rPr>
            </w:pPr>
            <w:r>
              <w:rPr>
                <w:lang w:val="en-GB"/>
              </w:rPr>
              <w:t xml:space="preserve">Recurrent attack of ARF in a patient </w:t>
            </w:r>
            <w:r w:rsidRPr="00856A47">
              <w:rPr>
                <w:b/>
                <w:lang w:val="en-GB"/>
              </w:rPr>
              <w:t>without</w:t>
            </w:r>
            <w:r>
              <w:rPr>
                <w:lang w:val="en-GB"/>
              </w:rPr>
              <w:t xml:space="preserve"> established rheumatic heart disease</w:t>
            </w:r>
          </w:p>
        </w:tc>
        <w:tc>
          <w:tcPr>
            <w:tcW w:w="4315" w:type="dxa"/>
          </w:tcPr>
          <w:p w14:paraId="400FCB33" w14:textId="311EE2D8" w:rsidR="00856A47" w:rsidRDefault="00856A47" w:rsidP="00856A47">
            <w:pPr>
              <w:rPr>
                <w:lang w:val="en-GB"/>
              </w:rPr>
            </w:pPr>
            <w:r>
              <w:rPr>
                <w:lang w:val="en-GB"/>
              </w:rPr>
              <w:t xml:space="preserve">2 major OR 1 major and 2 minor manifestations </w:t>
            </w:r>
            <w:r w:rsidRPr="0085614C">
              <w:rPr>
                <w:b/>
                <w:lang w:val="en-GB"/>
              </w:rPr>
              <w:t>PLUS</w:t>
            </w:r>
          </w:p>
          <w:p w14:paraId="15A941F6" w14:textId="38F32B4F" w:rsidR="000B47C0" w:rsidRDefault="00856A47" w:rsidP="00856A47">
            <w:pPr>
              <w:rPr>
                <w:lang w:val="en-GB"/>
              </w:rPr>
            </w:pPr>
            <w:r>
              <w:rPr>
                <w:lang w:val="en-GB"/>
              </w:rPr>
              <w:t>Evidence of a preceding GAS infection</w:t>
            </w:r>
          </w:p>
        </w:tc>
      </w:tr>
      <w:tr w:rsidR="000B47C0" w14:paraId="0DE57866" w14:textId="77777777" w:rsidTr="000B47C0">
        <w:tc>
          <w:tcPr>
            <w:tcW w:w="4315" w:type="dxa"/>
          </w:tcPr>
          <w:p w14:paraId="51663B7D" w14:textId="01C57243" w:rsidR="000B47C0" w:rsidRDefault="00856A47" w:rsidP="00DB687D">
            <w:pPr>
              <w:rPr>
                <w:lang w:val="en-GB"/>
              </w:rPr>
            </w:pPr>
            <w:r>
              <w:rPr>
                <w:lang w:val="en-GB"/>
              </w:rPr>
              <w:t xml:space="preserve">Recurrent attack of ARF in a patient </w:t>
            </w:r>
            <w:r w:rsidRPr="00856A47">
              <w:rPr>
                <w:b/>
                <w:lang w:val="en-GB"/>
              </w:rPr>
              <w:t>with</w:t>
            </w:r>
            <w:r>
              <w:rPr>
                <w:lang w:val="en-GB"/>
              </w:rPr>
              <w:t xml:space="preserve"> established rheumatic heart disease</w:t>
            </w:r>
          </w:p>
        </w:tc>
        <w:tc>
          <w:tcPr>
            <w:tcW w:w="4315" w:type="dxa"/>
          </w:tcPr>
          <w:p w14:paraId="512C494B" w14:textId="2D8FF93A" w:rsidR="00856A47" w:rsidRDefault="00856A47" w:rsidP="00DB687D">
            <w:pPr>
              <w:rPr>
                <w:lang w:val="en-GB"/>
              </w:rPr>
            </w:pPr>
            <w:r>
              <w:rPr>
                <w:lang w:val="en-GB"/>
              </w:rPr>
              <w:t>2 minor manifestations</w:t>
            </w:r>
            <w:r w:rsidR="0085614C">
              <w:rPr>
                <w:lang w:val="en-GB"/>
              </w:rPr>
              <w:t xml:space="preserve"> </w:t>
            </w:r>
            <w:r w:rsidRPr="0085614C">
              <w:rPr>
                <w:b/>
                <w:lang w:val="en-GB"/>
              </w:rPr>
              <w:t>PLUS</w:t>
            </w:r>
          </w:p>
          <w:p w14:paraId="5A0506DF" w14:textId="34D97B0E" w:rsidR="00856A47" w:rsidRDefault="00856A47" w:rsidP="00DB687D">
            <w:pPr>
              <w:rPr>
                <w:lang w:val="en-GB"/>
              </w:rPr>
            </w:pPr>
            <w:r>
              <w:rPr>
                <w:lang w:val="en-GB"/>
              </w:rPr>
              <w:t>Evidence of a preceding GAS infection</w:t>
            </w:r>
          </w:p>
        </w:tc>
      </w:tr>
    </w:tbl>
    <w:p w14:paraId="64F6AF2F" w14:textId="5CCC6084" w:rsidR="00DB687D" w:rsidRPr="00DB687D" w:rsidRDefault="00DB687D" w:rsidP="00DB687D">
      <w:pPr>
        <w:rPr>
          <w:lang w:val="en-GB"/>
        </w:rPr>
      </w:pPr>
    </w:p>
    <w:tbl>
      <w:tblPr>
        <w:tblStyle w:val="TableGrid"/>
        <w:tblW w:w="8516" w:type="dxa"/>
        <w:tblLook w:val="04A0" w:firstRow="1" w:lastRow="0" w:firstColumn="1" w:lastColumn="0" w:noHBand="0" w:noVBand="1"/>
      </w:tblPr>
      <w:tblGrid>
        <w:gridCol w:w="2689"/>
        <w:gridCol w:w="5827"/>
      </w:tblGrid>
      <w:tr w:rsidR="00931E3E" w:rsidRPr="00805754" w14:paraId="7E70CBE5" w14:textId="77777777" w:rsidTr="00DB687D">
        <w:tc>
          <w:tcPr>
            <w:tcW w:w="2689" w:type="dxa"/>
            <w:shd w:val="clear" w:color="auto" w:fill="auto"/>
          </w:tcPr>
          <w:p w14:paraId="4E0EC220" w14:textId="77777777" w:rsidR="00931E3E" w:rsidRPr="00805754" w:rsidRDefault="00931E3E" w:rsidP="00931E3E">
            <w:pPr>
              <w:rPr>
                <w:b/>
                <w:lang w:val="en-GB"/>
              </w:rPr>
            </w:pPr>
            <w:r w:rsidRPr="00805754">
              <w:rPr>
                <w:b/>
                <w:lang w:val="en-GB"/>
              </w:rPr>
              <w:t>MAJOR MANIFESTATIONS</w:t>
            </w:r>
          </w:p>
        </w:tc>
        <w:tc>
          <w:tcPr>
            <w:tcW w:w="5827" w:type="dxa"/>
            <w:shd w:val="clear" w:color="auto" w:fill="auto"/>
          </w:tcPr>
          <w:p w14:paraId="273A30D9" w14:textId="77777777" w:rsidR="00931E3E" w:rsidRPr="00805754" w:rsidRDefault="00931E3E" w:rsidP="00931E3E">
            <w:pPr>
              <w:rPr>
                <w:b/>
                <w:lang w:val="en-GB"/>
              </w:rPr>
            </w:pPr>
            <w:r w:rsidRPr="00805754">
              <w:rPr>
                <w:b/>
                <w:lang w:val="en-GB"/>
              </w:rPr>
              <w:t>POINTS FOR DIAGNOSIS</w:t>
            </w:r>
          </w:p>
        </w:tc>
      </w:tr>
      <w:tr w:rsidR="00931E3E" w:rsidRPr="00931E3E" w14:paraId="188B8DC8" w14:textId="77777777" w:rsidTr="00931E3E">
        <w:tc>
          <w:tcPr>
            <w:tcW w:w="2689" w:type="dxa"/>
          </w:tcPr>
          <w:p w14:paraId="484B12F1" w14:textId="77777777" w:rsidR="00931E3E" w:rsidRPr="00931E3E" w:rsidRDefault="00931E3E" w:rsidP="00931E3E">
            <w:pPr>
              <w:rPr>
                <w:lang w:val="en-GB"/>
              </w:rPr>
            </w:pPr>
            <w:r w:rsidRPr="00931E3E">
              <w:rPr>
                <w:lang w:val="en-GB"/>
              </w:rPr>
              <w:t>Arthritis</w:t>
            </w:r>
          </w:p>
        </w:tc>
        <w:tc>
          <w:tcPr>
            <w:tcW w:w="5827" w:type="dxa"/>
          </w:tcPr>
          <w:p w14:paraId="0322800C" w14:textId="77777777" w:rsidR="00931E3E" w:rsidRPr="00931E3E" w:rsidRDefault="00931E3E" w:rsidP="00931E3E">
            <w:pPr>
              <w:rPr>
                <w:lang w:val="en-GB"/>
              </w:rPr>
            </w:pPr>
            <w:r w:rsidRPr="00931E3E">
              <w:rPr>
                <w:lang w:val="en-GB"/>
              </w:rPr>
              <w:t>Most common presenting feature of ARF</w:t>
            </w:r>
          </w:p>
          <w:p w14:paraId="5D96ED54" w14:textId="77777777" w:rsidR="00931E3E" w:rsidRPr="00931E3E" w:rsidRDefault="00931E3E" w:rsidP="00931E3E">
            <w:pPr>
              <w:rPr>
                <w:lang w:val="en-GB"/>
              </w:rPr>
            </w:pPr>
            <w:r w:rsidRPr="00931E3E">
              <w:rPr>
                <w:lang w:val="en-GB"/>
              </w:rPr>
              <w:t>Polyarthritis is usually asymmetrical and migratory</w:t>
            </w:r>
          </w:p>
          <w:p w14:paraId="021B865D" w14:textId="77777777" w:rsidR="00931E3E" w:rsidRPr="00931E3E" w:rsidRDefault="00931E3E" w:rsidP="00931E3E">
            <w:pPr>
              <w:rPr>
                <w:lang w:val="en-GB"/>
              </w:rPr>
            </w:pPr>
            <w:proofErr w:type="spellStart"/>
            <w:r w:rsidRPr="00931E3E">
              <w:rPr>
                <w:lang w:val="en-GB"/>
              </w:rPr>
              <w:t>Monoarthritis</w:t>
            </w:r>
            <w:proofErr w:type="spellEnd"/>
            <w:r w:rsidRPr="00931E3E">
              <w:rPr>
                <w:lang w:val="en-GB"/>
              </w:rPr>
              <w:t xml:space="preserve"> may also be a presenting feature</w:t>
            </w:r>
          </w:p>
          <w:p w14:paraId="74FE55E7" w14:textId="77777777" w:rsidR="00931E3E" w:rsidRPr="00931E3E" w:rsidRDefault="00931E3E" w:rsidP="00931E3E">
            <w:pPr>
              <w:rPr>
                <w:lang w:val="en-GB"/>
              </w:rPr>
            </w:pPr>
            <w:r w:rsidRPr="00931E3E">
              <w:rPr>
                <w:lang w:val="en-GB"/>
              </w:rPr>
              <w:t>Large joints are usually affected, especially the knees and ankles</w:t>
            </w:r>
          </w:p>
          <w:p w14:paraId="5C3280FF" w14:textId="77777777" w:rsidR="00931E3E" w:rsidRPr="00931E3E" w:rsidRDefault="00931E3E" w:rsidP="00931E3E">
            <w:pPr>
              <w:rPr>
                <w:lang w:val="en-GB"/>
              </w:rPr>
            </w:pPr>
            <w:r w:rsidRPr="00931E3E">
              <w:rPr>
                <w:lang w:val="en-GB"/>
              </w:rPr>
              <w:t>Usually responds within 3 days of starting NSAID therapy</w:t>
            </w:r>
          </w:p>
        </w:tc>
      </w:tr>
      <w:tr w:rsidR="00931E3E" w:rsidRPr="00931E3E" w14:paraId="1F080F05" w14:textId="77777777" w:rsidTr="00931E3E">
        <w:tc>
          <w:tcPr>
            <w:tcW w:w="2689" w:type="dxa"/>
          </w:tcPr>
          <w:p w14:paraId="3CCAEEA6" w14:textId="77777777" w:rsidR="00931E3E" w:rsidRPr="00931E3E" w:rsidRDefault="00931E3E" w:rsidP="00931E3E">
            <w:pPr>
              <w:rPr>
                <w:lang w:val="en-GB"/>
              </w:rPr>
            </w:pPr>
            <w:r w:rsidRPr="00931E3E">
              <w:rPr>
                <w:lang w:val="en-GB"/>
              </w:rPr>
              <w:t>Chorea</w:t>
            </w:r>
          </w:p>
        </w:tc>
        <w:tc>
          <w:tcPr>
            <w:tcW w:w="5827" w:type="dxa"/>
          </w:tcPr>
          <w:p w14:paraId="50322A99" w14:textId="77777777" w:rsidR="00931E3E" w:rsidRPr="00931E3E" w:rsidRDefault="00931E3E" w:rsidP="00931E3E">
            <w:pPr>
              <w:rPr>
                <w:lang w:val="en-GB"/>
              </w:rPr>
            </w:pPr>
            <w:r w:rsidRPr="00931E3E">
              <w:rPr>
                <w:lang w:val="en-GB"/>
              </w:rPr>
              <w:t>Consists of jerky, uncoordinated movements especially affecting the hands, feet, tongue and face</w:t>
            </w:r>
          </w:p>
          <w:p w14:paraId="2F9916AF" w14:textId="77777777" w:rsidR="00931E3E" w:rsidRPr="00931E3E" w:rsidRDefault="00931E3E" w:rsidP="00931E3E">
            <w:pPr>
              <w:rPr>
                <w:lang w:val="en-GB"/>
              </w:rPr>
            </w:pPr>
            <w:r w:rsidRPr="00931E3E">
              <w:rPr>
                <w:lang w:val="en-GB"/>
              </w:rPr>
              <w:t>Disappears during sleep</w:t>
            </w:r>
          </w:p>
        </w:tc>
      </w:tr>
      <w:tr w:rsidR="00931E3E" w:rsidRPr="00931E3E" w14:paraId="27C45C2F" w14:textId="77777777" w:rsidTr="00931E3E">
        <w:tc>
          <w:tcPr>
            <w:tcW w:w="2689" w:type="dxa"/>
          </w:tcPr>
          <w:p w14:paraId="1334E552" w14:textId="77777777" w:rsidR="00931E3E" w:rsidRPr="00931E3E" w:rsidRDefault="00931E3E" w:rsidP="00931E3E">
            <w:pPr>
              <w:rPr>
                <w:lang w:val="en-GB"/>
              </w:rPr>
            </w:pPr>
            <w:r w:rsidRPr="00931E3E">
              <w:rPr>
                <w:lang w:val="en-GB"/>
              </w:rPr>
              <w:t>Carditis</w:t>
            </w:r>
          </w:p>
        </w:tc>
        <w:tc>
          <w:tcPr>
            <w:tcW w:w="5827" w:type="dxa"/>
          </w:tcPr>
          <w:p w14:paraId="6F4E3E99" w14:textId="77777777" w:rsidR="00931E3E" w:rsidRPr="00931E3E" w:rsidRDefault="00931E3E" w:rsidP="00931E3E">
            <w:pPr>
              <w:rPr>
                <w:lang w:val="en-GB"/>
              </w:rPr>
            </w:pPr>
            <w:r w:rsidRPr="00931E3E">
              <w:rPr>
                <w:lang w:val="en-GB"/>
              </w:rPr>
              <w:t>Usually presents as a pansystolic murmur over the apex or an early diastolic murmur at the left sternal edge</w:t>
            </w:r>
          </w:p>
        </w:tc>
      </w:tr>
      <w:tr w:rsidR="00931E3E" w:rsidRPr="00931E3E" w14:paraId="633CD6A7" w14:textId="77777777" w:rsidTr="00931E3E">
        <w:tc>
          <w:tcPr>
            <w:tcW w:w="2689" w:type="dxa"/>
          </w:tcPr>
          <w:p w14:paraId="3311406E" w14:textId="77777777" w:rsidR="00931E3E" w:rsidRPr="00931E3E" w:rsidRDefault="00931E3E" w:rsidP="00931E3E">
            <w:pPr>
              <w:rPr>
                <w:lang w:val="en-GB"/>
              </w:rPr>
            </w:pPr>
            <w:r w:rsidRPr="00931E3E">
              <w:rPr>
                <w:lang w:val="en-GB"/>
              </w:rPr>
              <w:t>Subcutaneous nodules</w:t>
            </w:r>
          </w:p>
        </w:tc>
        <w:tc>
          <w:tcPr>
            <w:tcW w:w="5827" w:type="dxa"/>
          </w:tcPr>
          <w:p w14:paraId="37E18F22" w14:textId="77777777" w:rsidR="00931E3E" w:rsidRPr="00931E3E" w:rsidRDefault="00931E3E" w:rsidP="00931E3E">
            <w:pPr>
              <w:rPr>
                <w:lang w:val="en-GB"/>
              </w:rPr>
            </w:pPr>
            <w:r w:rsidRPr="00931E3E">
              <w:rPr>
                <w:lang w:val="en-GB"/>
              </w:rPr>
              <w:t>Present as crops of small, round, painless nodules over the elbows, wrists, knees, occiput and spinal processes</w:t>
            </w:r>
          </w:p>
        </w:tc>
      </w:tr>
      <w:tr w:rsidR="00931E3E" w:rsidRPr="00931E3E" w14:paraId="0CFA3639" w14:textId="77777777" w:rsidTr="00931E3E">
        <w:tc>
          <w:tcPr>
            <w:tcW w:w="2689" w:type="dxa"/>
            <w:tcBorders>
              <w:bottom w:val="single" w:sz="4" w:space="0" w:color="auto"/>
            </w:tcBorders>
          </w:tcPr>
          <w:p w14:paraId="3003B390" w14:textId="77777777" w:rsidR="00931E3E" w:rsidRPr="00931E3E" w:rsidRDefault="00931E3E" w:rsidP="00931E3E">
            <w:pPr>
              <w:rPr>
                <w:lang w:val="en-GB"/>
              </w:rPr>
            </w:pPr>
            <w:r w:rsidRPr="00931E3E">
              <w:rPr>
                <w:lang w:val="en-GB"/>
              </w:rPr>
              <w:t>Erythema marginatum</w:t>
            </w:r>
          </w:p>
        </w:tc>
        <w:tc>
          <w:tcPr>
            <w:tcW w:w="5827" w:type="dxa"/>
            <w:tcBorders>
              <w:bottom w:val="single" w:sz="4" w:space="0" w:color="auto"/>
            </w:tcBorders>
          </w:tcPr>
          <w:p w14:paraId="190C6E8F" w14:textId="77777777" w:rsidR="00931E3E" w:rsidRPr="00931E3E" w:rsidRDefault="00931E3E" w:rsidP="00931E3E">
            <w:pPr>
              <w:rPr>
                <w:lang w:val="en-GB"/>
              </w:rPr>
            </w:pPr>
            <w:r w:rsidRPr="00931E3E">
              <w:rPr>
                <w:lang w:val="en-GB"/>
              </w:rPr>
              <w:t>Occurs as circular patterns of bright pink macules or papules on the trunk and proximal extremities</w:t>
            </w:r>
          </w:p>
        </w:tc>
      </w:tr>
      <w:tr w:rsidR="00931E3E" w:rsidRPr="00805754" w14:paraId="2FB89C11" w14:textId="77777777" w:rsidTr="00DB687D">
        <w:tc>
          <w:tcPr>
            <w:tcW w:w="2689" w:type="dxa"/>
            <w:shd w:val="clear" w:color="auto" w:fill="auto"/>
          </w:tcPr>
          <w:p w14:paraId="75FEED1D" w14:textId="77777777" w:rsidR="00931E3E" w:rsidRPr="00805754" w:rsidRDefault="00931E3E" w:rsidP="00931E3E">
            <w:pPr>
              <w:rPr>
                <w:b/>
                <w:lang w:val="en-GB"/>
              </w:rPr>
            </w:pPr>
            <w:r w:rsidRPr="00805754">
              <w:rPr>
                <w:b/>
                <w:lang w:val="en-GB"/>
              </w:rPr>
              <w:t>MINOR MANIFESTATIONS</w:t>
            </w:r>
          </w:p>
        </w:tc>
        <w:tc>
          <w:tcPr>
            <w:tcW w:w="5827" w:type="dxa"/>
            <w:shd w:val="clear" w:color="auto" w:fill="auto"/>
          </w:tcPr>
          <w:p w14:paraId="4FDB6B85" w14:textId="77777777" w:rsidR="00931E3E" w:rsidRPr="00805754" w:rsidRDefault="00931E3E" w:rsidP="00931E3E">
            <w:pPr>
              <w:rPr>
                <w:b/>
                <w:lang w:val="en-GB"/>
              </w:rPr>
            </w:pPr>
            <w:r w:rsidRPr="00805754">
              <w:rPr>
                <w:b/>
                <w:lang w:val="en-GB"/>
              </w:rPr>
              <w:t>POINTS FOR DIAGNOSIS</w:t>
            </w:r>
          </w:p>
        </w:tc>
      </w:tr>
      <w:tr w:rsidR="00931E3E" w:rsidRPr="00931E3E" w14:paraId="4539615F" w14:textId="77777777" w:rsidTr="00931E3E">
        <w:tc>
          <w:tcPr>
            <w:tcW w:w="2689" w:type="dxa"/>
          </w:tcPr>
          <w:p w14:paraId="58480E58" w14:textId="77777777" w:rsidR="00931E3E" w:rsidRPr="00931E3E" w:rsidRDefault="00931E3E" w:rsidP="00931E3E">
            <w:pPr>
              <w:rPr>
                <w:lang w:val="en-GB"/>
              </w:rPr>
            </w:pPr>
            <w:r w:rsidRPr="00931E3E">
              <w:rPr>
                <w:lang w:val="en-GB"/>
              </w:rPr>
              <w:t>Arthralgia</w:t>
            </w:r>
          </w:p>
        </w:tc>
        <w:tc>
          <w:tcPr>
            <w:tcW w:w="5827" w:type="dxa"/>
          </w:tcPr>
          <w:p w14:paraId="5F5B1B76" w14:textId="77777777" w:rsidR="00931E3E" w:rsidRPr="00931E3E" w:rsidRDefault="00931E3E" w:rsidP="00931E3E">
            <w:pPr>
              <w:rPr>
                <w:lang w:val="en-GB"/>
              </w:rPr>
            </w:pPr>
            <w:r w:rsidRPr="00931E3E">
              <w:rPr>
                <w:lang w:val="en-GB"/>
              </w:rPr>
              <w:t>Migratory, asymmetrical and affecting large joints</w:t>
            </w:r>
          </w:p>
        </w:tc>
      </w:tr>
      <w:tr w:rsidR="00931E3E" w:rsidRPr="00931E3E" w14:paraId="569B4311" w14:textId="77777777" w:rsidTr="00931E3E">
        <w:tc>
          <w:tcPr>
            <w:tcW w:w="2689" w:type="dxa"/>
          </w:tcPr>
          <w:p w14:paraId="45595BBE" w14:textId="77777777" w:rsidR="00931E3E" w:rsidRPr="00931E3E" w:rsidRDefault="00931E3E" w:rsidP="00931E3E">
            <w:pPr>
              <w:rPr>
                <w:lang w:val="en-GB"/>
              </w:rPr>
            </w:pPr>
            <w:r w:rsidRPr="00931E3E">
              <w:rPr>
                <w:lang w:val="en-GB"/>
              </w:rPr>
              <w:t>Fever</w:t>
            </w:r>
          </w:p>
        </w:tc>
        <w:tc>
          <w:tcPr>
            <w:tcW w:w="5827" w:type="dxa"/>
          </w:tcPr>
          <w:p w14:paraId="102166E3" w14:textId="77777777" w:rsidR="00931E3E" w:rsidRPr="00931E3E" w:rsidRDefault="00931E3E" w:rsidP="00931E3E">
            <w:pPr>
              <w:rPr>
                <w:lang w:val="en-GB"/>
              </w:rPr>
            </w:pPr>
            <w:r w:rsidRPr="00931E3E">
              <w:rPr>
                <w:lang w:val="en-GB"/>
              </w:rPr>
              <w:t>Most manifestations of ARF are accompanied by fever</w:t>
            </w:r>
          </w:p>
          <w:p w14:paraId="6C74C44A" w14:textId="54D8F5A6" w:rsidR="00931E3E" w:rsidRPr="00931E3E" w:rsidRDefault="00931E3E" w:rsidP="002614E9">
            <w:pPr>
              <w:rPr>
                <w:lang w:val="en-GB"/>
              </w:rPr>
            </w:pPr>
            <w:r w:rsidRPr="00931E3E">
              <w:rPr>
                <w:lang w:val="en-GB"/>
              </w:rPr>
              <w:t>A fever o</w:t>
            </w:r>
            <w:r w:rsidRPr="002614E9">
              <w:rPr>
                <w:lang w:val="en-GB"/>
              </w:rPr>
              <w:t>f</w:t>
            </w:r>
            <w:r w:rsidR="002614E9">
              <w:rPr>
                <w:lang w:val="en-GB"/>
              </w:rPr>
              <w:t xml:space="preserve"> </w:t>
            </w:r>
            <w:r w:rsidR="002614E9" w:rsidRPr="002614E9">
              <w:rPr>
                <w:lang w:val="en-GB"/>
              </w:rPr>
              <w:t>≥</w:t>
            </w:r>
            <w:r w:rsidR="002614E9">
              <w:rPr>
                <w:lang w:val="en-GB"/>
              </w:rPr>
              <w:t xml:space="preserve"> </w:t>
            </w:r>
            <w:r w:rsidRPr="00931E3E">
              <w:rPr>
                <w:lang w:val="en-GB"/>
              </w:rPr>
              <w:t>38 degrees meets this criteria</w:t>
            </w:r>
          </w:p>
        </w:tc>
      </w:tr>
      <w:tr w:rsidR="00931E3E" w:rsidRPr="00931E3E" w14:paraId="641B5D55" w14:textId="77777777" w:rsidTr="00931E3E">
        <w:tc>
          <w:tcPr>
            <w:tcW w:w="2689" w:type="dxa"/>
          </w:tcPr>
          <w:p w14:paraId="1D68CA81" w14:textId="77777777" w:rsidR="00931E3E" w:rsidRPr="00931E3E" w:rsidRDefault="00931E3E" w:rsidP="00931E3E">
            <w:pPr>
              <w:rPr>
                <w:lang w:val="en-GB"/>
              </w:rPr>
            </w:pPr>
            <w:r w:rsidRPr="00931E3E">
              <w:rPr>
                <w:lang w:val="en-GB"/>
              </w:rPr>
              <w:t>Elevated acute phase reactants</w:t>
            </w:r>
          </w:p>
        </w:tc>
        <w:tc>
          <w:tcPr>
            <w:tcW w:w="5827" w:type="dxa"/>
          </w:tcPr>
          <w:p w14:paraId="582D7CD8" w14:textId="05A28471" w:rsidR="00931E3E" w:rsidRPr="00931E3E" w:rsidRDefault="00931E3E" w:rsidP="002614E9">
            <w:pPr>
              <w:rPr>
                <w:lang w:val="en-GB"/>
              </w:rPr>
            </w:pPr>
            <w:r w:rsidRPr="00931E3E">
              <w:rPr>
                <w:lang w:val="en-GB"/>
              </w:rPr>
              <w:t xml:space="preserve">ESR </w:t>
            </w:r>
            <w:r w:rsidR="003C2489">
              <w:rPr>
                <w:lang w:val="en-GB"/>
              </w:rPr>
              <w:t>(</w:t>
            </w:r>
            <w:r w:rsidRPr="00931E3E">
              <w:rPr>
                <w:lang w:val="en-GB"/>
              </w:rPr>
              <w:t>or CRP</w:t>
            </w:r>
            <w:r w:rsidR="003C2489">
              <w:rPr>
                <w:lang w:val="en-GB"/>
              </w:rPr>
              <w:t>)</w:t>
            </w:r>
            <w:r w:rsidR="002614E9" w:rsidRPr="00931E3E">
              <w:rPr>
                <w:lang w:val="en-GB"/>
              </w:rPr>
              <w:t xml:space="preserve"> </w:t>
            </w:r>
            <w:r w:rsidR="002614E9" w:rsidRPr="002614E9">
              <w:rPr>
                <w:lang w:val="en-GB"/>
              </w:rPr>
              <w:t>≥</w:t>
            </w:r>
            <w:r w:rsidR="002614E9">
              <w:rPr>
                <w:lang w:val="en-GB"/>
              </w:rPr>
              <w:t xml:space="preserve"> </w:t>
            </w:r>
            <w:r w:rsidRPr="00931E3E">
              <w:rPr>
                <w:lang w:val="en-GB"/>
              </w:rPr>
              <w:t>30 meets this criteria</w:t>
            </w:r>
          </w:p>
        </w:tc>
      </w:tr>
    </w:tbl>
    <w:p w14:paraId="07054CD1" w14:textId="5888FF8C" w:rsidR="00E23EDC" w:rsidRDefault="00E23EDC" w:rsidP="003807F2">
      <w:pPr>
        <w:pStyle w:val="Heading2"/>
        <w:rPr>
          <w:lang w:val="en-GB"/>
        </w:rPr>
      </w:pPr>
      <w:r>
        <w:rPr>
          <w:lang w:val="en-GB"/>
        </w:rPr>
        <w:lastRenderedPageBreak/>
        <w:t>Differential diagnosis</w:t>
      </w:r>
    </w:p>
    <w:p w14:paraId="1AC08197" w14:textId="3F790594" w:rsidR="00E23EDC" w:rsidRDefault="00E23EDC" w:rsidP="007A6CD5">
      <w:pPr>
        <w:rPr>
          <w:lang w:val="en-GB"/>
        </w:rPr>
      </w:pPr>
      <w:r>
        <w:rPr>
          <w:lang w:val="en-GB"/>
        </w:rPr>
        <w:t xml:space="preserve">The following table outlines the features that can help differentiate between pharyngitis caused by GAS </w:t>
      </w:r>
      <w:r w:rsidR="003807F2">
        <w:rPr>
          <w:lang w:val="en-GB"/>
        </w:rPr>
        <w:t>from that caused by a viral illness.</w:t>
      </w:r>
    </w:p>
    <w:tbl>
      <w:tblPr>
        <w:tblStyle w:val="TableGrid"/>
        <w:tblW w:w="0" w:type="auto"/>
        <w:tblLook w:val="04A0" w:firstRow="1" w:lastRow="0" w:firstColumn="1" w:lastColumn="0" w:noHBand="0" w:noVBand="1"/>
      </w:tblPr>
      <w:tblGrid>
        <w:gridCol w:w="4315"/>
        <w:gridCol w:w="4315"/>
      </w:tblGrid>
      <w:tr w:rsidR="003807F2" w:rsidRPr="005B60A1" w14:paraId="2206C793" w14:textId="77777777" w:rsidTr="003807F2">
        <w:tc>
          <w:tcPr>
            <w:tcW w:w="4315" w:type="dxa"/>
          </w:tcPr>
          <w:p w14:paraId="33B45A81" w14:textId="11D4CCC7" w:rsidR="003807F2" w:rsidRPr="005B60A1" w:rsidRDefault="003807F2" w:rsidP="007A6CD5">
            <w:pPr>
              <w:rPr>
                <w:b/>
                <w:lang w:val="en-GB"/>
              </w:rPr>
            </w:pPr>
            <w:r w:rsidRPr="005B60A1">
              <w:rPr>
                <w:b/>
                <w:lang w:val="en-GB"/>
              </w:rPr>
              <w:t>GAS infection</w:t>
            </w:r>
          </w:p>
        </w:tc>
        <w:tc>
          <w:tcPr>
            <w:tcW w:w="4315" w:type="dxa"/>
          </w:tcPr>
          <w:p w14:paraId="2900E2BA" w14:textId="230ED6D6" w:rsidR="003807F2" w:rsidRPr="005B60A1" w:rsidRDefault="003807F2" w:rsidP="007A6CD5">
            <w:pPr>
              <w:rPr>
                <w:b/>
                <w:lang w:val="en-GB"/>
              </w:rPr>
            </w:pPr>
            <w:r w:rsidRPr="005B60A1">
              <w:rPr>
                <w:b/>
                <w:lang w:val="en-GB"/>
              </w:rPr>
              <w:t>Viral infection</w:t>
            </w:r>
          </w:p>
        </w:tc>
      </w:tr>
      <w:tr w:rsidR="003807F2" w14:paraId="77EAE4B0" w14:textId="77777777" w:rsidTr="003807F2">
        <w:tc>
          <w:tcPr>
            <w:tcW w:w="4315" w:type="dxa"/>
          </w:tcPr>
          <w:p w14:paraId="1FFB5212" w14:textId="77777777" w:rsidR="003807F2" w:rsidRPr="005B60A1" w:rsidRDefault="003807F2" w:rsidP="005B60A1">
            <w:pPr>
              <w:pStyle w:val="ListParagraph"/>
              <w:numPr>
                <w:ilvl w:val="0"/>
                <w:numId w:val="43"/>
              </w:numPr>
              <w:rPr>
                <w:lang w:val="en-GB"/>
              </w:rPr>
            </w:pPr>
            <w:r w:rsidRPr="005B60A1">
              <w:rPr>
                <w:lang w:val="en-GB"/>
              </w:rPr>
              <w:t>Sudden onset of sore throat</w:t>
            </w:r>
          </w:p>
          <w:p w14:paraId="07884FDD" w14:textId="77777777" w:rsidR="003807F2" w:rsidRPr="005B60A1" w:rsidRDefault="003807F2" w:rsidP="005B60A1">
            <w:pPr>
              <w:pStyle w:val="ListParagraph"/>
              <w:numPr>
                <w:ilvl w:val="0"/>
                <w:numId w:val="43"/>
              </w:numPr>
              <w:rPr>
                <w:lang w:val="en-GB"/>
              </w:rPr>
            </w:pPr>
            <w:r w:rsidRPr="005B60A1">
              <w:rPr>
                <w:lang w:val="en-GB"/>
              </w:rPr>
              <w:t>Fever</w:t>
            </w:r>
          </w:p>
          <w:p w14:paraId="136C842A" w14:textId="77777777" w:rsidR="003807F2" w:rsidRPr="005B60A1" w:rsidRDefault="003807F2" w:rsidP="005B60A1">
            <w:pPr>
              <w:pStyle w:val="ListParagraph"/>
              <w:numPr>
                <w:ilvl w:val="0"/>
                <w:numId w:val="43"/>
              </w:numPr>
              <w:rPr>
                <w:lang w:val="en-GB"/>
              </w:rPr>
            </w:pPr>
            <w:r w:rsidRPr="005B60A1">
              <w:rPr>
                <w:lang w:val="en-GB"/>
              </w:rPr>
              <w:t>Headache</w:t>
            </w:r>
          </w:p>
          <w:p w14:paraId="4516FF8C" w14:textId="77777777" w:rsidR="003807F2" w:rsidRPr="005B60A1" w:rsidRDefault="003807F2" w:rsidP="005B60A1">
            <w:pPr>
              <w:pStyle w:val="ListParagraph"/>
              <w:numPr>
                <w:ilvl w:val="0"/>
                <w:numId w:val="43"/>
              </w:numPr>
              <w:rPr>
                <w:lang w:val="en-GB"/>
              </w:rPr>
            </w:pPr>
            <w:r w:rsidRPr="005B60A1">
              <w:rPr>
                <w:lang w:val="en-GB"/>
              </w:rPr>
              <w:t>Nausea, vomiting, abdominal pain</w:t>
            </w:r>
          </w:p>
          <w:p w14:paraId="1E5671DB" w14:textId="77777777" w:rsidR="003807F2" w:rsidRPr="005B60A1" w:rsidRDefault="003807F2" w:rsidP="005B60A1">
            <w:pPr>
              <w:pStyle w:val="ListParagraph"/>
              <w:numPr>
                <w:ilvl w:val="0"/>
                <w:numId w:val="43"/>
              </w:numPr>
              <w:rPr>
                <w:lang w:val="en-GB"/>
              </w:rPr>
            </w:pPr>
            <w:proofErr w:type="spellStart"/>
            <w:r w:rsidRPr="005B60A1">
              <w:rPr>
                <w:lang w:val="en-GB"/>
              </w:rPr>
              <w:t>Tonsillopharyngeal</w:t>
            </w:r>
            <w:proofErr w:type="spellEnd"/>
            <w:r w:rsidRPr="005B60A1">
              <w:rPr>
                <w:lang w:val="en-GB"/>
              </w:rPr>
              <w:t xml:space="preserve"> inflammation</w:t>
            </w:r>
          </w:p>
          <w:p w14:paraId="755AA9C9" w14:textId="77777777" w:rsidR="003807F2" w:rsidRPr="005B60A1" w:rsidRDefault="003807F2" w:rsidP="005B60A1">
            <w:pPr>
              <w:pStyle w:val="ListParagraph"/>
              <w:numPr>
                <w:ilvl w:val="0"/>
                <w:numId w:val="43"/>
              </w:numPr>
              <w:rPr>
                <w:lang w:val="en-GB"/>
              </w:rPr>
            </w:pPr>
            <w:proofErr w:type="spellStart"/>
            <w:r w:rsidRPr="005B60A1">
              <w:rPr>
                <w:lang w:val="en-GB"/>
              </w:rPr>
              <w:t>Tonsillopharyngeal</w:t>
            </w:r>
            <w:proofErr w:type="spellEnd"/>
            <w:r w:rsidRPr="005B60A1">
              <w:rPr>
                <w:lang w:val="en-GB"/>
              </w:rPr>
              <w:t xml:space="preserve"> exudates</w:t>
            </w:r>
          </w:p>
          <w:p w14:paraId="32306BF2" w14:textId="77777777" w:rsidR="003807F2" w:rsidRPr="005B60A1" w:rsidRDefault="003807F2" w:rsidP="005B60A1">
            <w:pPr>
              <w:pStyle w:val="ListParagraph"/>
              <w:numPr>
                <w:ilvl w:val="0"/>
                <w:numId w:val="43"/>
              </w:numPr>
              <w:rPr>
                <w:lang w:val="en-GB"/>
              </w:rPr>
            </w:pPr>
            <w:r w:rsidRPr="005B60A1">
              <w:rPr>
                <w:lang w:val="en-GB"/>
              </w:rPr>
              <w:t>Palatal petechiae</w:t>
            </w:r>
          </w:p>
          <w:p w14:paraId="06A9FA5C" w14:textId="77777777" w:rsidR="003807F2" w:rsidRPr="005B60A1" w:rsidRDefault="003807F2" w:rsidP="005B60A1">
            <w:pPr>
              <w:pStyle w:val="ListParagraph"/>
              <w:numPr>
                <w:ilvl w:val="0"/>
                <w:numId w:val="43"/>
              </w:numPr>
              <w:rPr>
                <w:lang w:val="en-GB"/>
              </w:rPr>
            </w:pPr>
            <w:r w:rsidRPr="005B60A1">
              <w:rPr>
                <w:lang w:val="en-GB"/>
              </w:rPr>
              <w:t>Enlarged anterior cervical lymph nodes</w:t>
            </w:r>
          </w:p>
          <w:p w14:paraId="7923093F" w14:textId="0816FE18" w:rsidR="003807F2" w:rsidRPr="005B60A1" w:rsidRDefault="003807F2" w:rsidP="005B60A1">
            <w:pPr>
              <w:pStyle w:val="ListParagraph"/>
              <w:numPr>
                <w:ilvl w:val="0"/>
                <w:numId w:val="43"/>
              </w:numPr>
              <w:rPr>
                <w:lang w:val="en-GB"/>
              </w:rPr>
            </w:pPr>
            <w:r w:rsidRPr="005B60A1">
              <w:rPr>
                <w:lang w:val="en-GB"/>
              </w:rPr>
              <w:t>Scarlatiniform rash</w:t>
            </w:r>
          </w:p>
        </w:tc>
        <w:tc>
          <w:tcPr>
            <w:tcW w:w="4315" w:type="dxa"/>
          </w:tcPr>
          <w:p w14:paraId="5A7AD224" w14:textId="77777777" w:rsidR="003807F2" w:rsidRPr="005B60A1" w:rsidRDefault="003807F2" w:rsidP="005B60A1">
            <w:pPr>
              <w:pStyle w:val="ListParagraph"/>
              <w:numPr>
                <w:ilvl w:val="0"/>
                <w:numId w:val="42"/>
              </w:numPr>
              <w:rPr>
                <w:lang w:val="en-GB"/>
              </w:rPr>
            </w:pPr>
            <w:r w:rsidRPr="005B60A1">
              <w:rPr>
                <w:lang w:val="en-GB"/>
              </w:rPr>
              <w:t>Conjunctivitis</w:t>
            </w:r>
          </w:p>
          <w:p w14:paraId="3BBC544B" w14:textId="77777777" w:rsidR="003807F2" w:rsidRPr="005B60A1" w:rsidRDefault="003807F2" w:rsidP="005B60A1">
            <w:pPr>
              <w:pStyle w:val="ListParagraph"/>
              <w:numPr>
                <w:ilvl w:val="0"/>
                <w:numId w:val="42"/>
              </w:numPr>
              <w:rPr>
                <w:lang w:val="en-GB"/>
              </w:rPr>
            </w:pPr>
            <w:r w:rsidRPr="005B60A1">
              <w:rPr>
                <w:lang w:val="en-GB"/>
              </w:rPr>
              <w:t>Coryza</w:t>
            </w:r>
          </w:p>
          <w:p w14:paraId="076FD0A4" w14:textId="77777777" w:rsidR="003807F2" w:rsidRPr="005B60A1" w:rsidRDefault="003807F2" w:rsidP="005B60A1">
            <w:pPr>
              <w:pStyle w:val="ListParagraph"/>
              <w:numPr>
                <w:ilvl w:val="0"/>
                <w:numId w:val="42"/>
              </w:numPr>
              <w:rPr>
                <w:lang w:val="en-GB"/>
              </w:rPr>
            </w:pPr>
            <w:r w:rsidRPr="005B60A1">
              <w:rPr>
                <w:lang w:val="en-GB"/>
              </w:rPr>
              <w:t>Cough</w:t>
            </w:r>
          </w:p>
          <w:p w14:paraId="03DA1441" w14:textId="77777777" w:rsidR="003807F2" w:rsidRPr="005B60A1" w:rsidRDefault="003807F2" w:rsidP="005B60A1">
            <w:pPr>
              <w:pStyle w:val="ListParagraph"/>
              <w:numPr>
                <w:ilvl w:val="0"/>
                <w:numId w:val="42"/>
              </w:numPr>
              <w:rPr>
                <w:lang w:val="en-GB"/>
              </w:rPr>
            </w:pPr>
            <w:r w:rsidRPr="005B60A1">
              <w:rPr>
                <w:lang w:val="en-GB"/>
              </w:rPr>
              <w:t>Diarrhoea</w:t>
            </w:r>
          </w:p>
          <w:p w14:paraId="1590DF1F" w14:textId="77777777" w:rsidR="003807F2" w:rsidRPr="005B60A1" w:rsidRDefault="003807F2" w:rsidP="005B60A1">
            <w:pPr>
              <w:pStyle w:val="ListParagraph"/>
              <w:numPr>
                <w:ilvl w:val="0"/>
                <w:numId w:val="42"/>
              </w:numPr>
              <w:rPr>
                <w:lang w:val="en-GB"/>
              </w:rPr>
            </w:pPr>
            <w:r w:rsidRPr="005B60A1">
              <w:rPr>
                <w:lang w:val="en-GB"/>
              </w:rPr>
              <w:t>Hoarseness</w:t>
            </w:r>
          </w:p>
          <w:p w14:paraId="1CC4A75C" w14:textId="77777777" w:rsidR="003807F2" w:rsidRPr="005B60A1" w:rsidRDefault="003807F2" w:rsidP="005B60A1">
            <w:pPr>
              <w:pStyle w:val="ListParagraph"/>
              <w:numPr>
                <w:ilvl w:val="0"/>
                <w:numId w:val="42"/>
              </w:numPr>
              <w:rPr>
                <w:lang w:val="en-GB"/>
              </w:rPr>
            </w:pPr>
            <w:r w:rsidRPr="005B60A1">
              <w:rPr>
                <w:lang w:val="en-GB"/>
              </w:rPr>
              <w:t>Ulcerative stomatitis</w:t>
            </w:r>
          </w:p>
          <w:p w14:paraId="5026B497" w14:textId="560E6BF4" w:rsidR="003807F2" w:rsidRPr="005B60A1" w:rsidRDefault="003807F2" w:rsidP="005B60A1">
            <w:pPr>
              <w:pStyle w:val="ListParagraph"/>
              <w:numPr>
                <w:ilvl w:val="0"/>
                <w:numId w:val="42"/>
              </w:numPr>
              <w:rPr>
                <w:lang w:val="en-GB"/>
              </w:rPr>
            </w:pPr>
            <w:r w:rsidRPr="005B60A1">
              <w:rPr>
                <w:lang w:val="en-GB"/>
              </w:rPr>
              <w:t>Viral exanthema</w:t>
            </w:r>
          </w:p>
        </w:tc>
      </w:tr>
    </w:tbl>
    <w:p w14:paraId="20D7E6EB" w14:textId="77777777" w:rsidR="003807F2" w:rsidRDefault="003807F2" w:rsidP="007A6CD5">
      <w:pPr>
        <w:rPr>
          <w:lang w:val="en-GB"/>
        </w:rPr>
      </w:pPr>
    </w:p>
    <w:p w14:paraId="4227E49B" w14:textId="371C6712" w:rsidR="003C2489" w:rsidRDefault="003C2489" w:rsidP="009412DD">
      <w:pPr>
        <w:pStyle w:val="Heading2"/>
        <w:rPr>
          <w:lang w:val="en-GB"/>
        </w:rPr>
      </w:pPr>
      <w:r>
        <w:rPr>
          <w:lang w:val="en-GB"/>
        </w:rPr>
        <w:t>I</w:t>
      </w:r>
      <w:r w:rsidRPr="003C2489">
        <w:rPr>
          <w:lang w:val="en-GB"/>
        </w:rPr>
        <w:t>nvestigations</w:t>
      </w:r>
    </w:p>
    <w:p w14:paraId="0CF6E80E" w14:textId="1B02823E" w:rsidR="003C2489" w:rsidRDefault="003C2489" w:rsidP="003C2489">
      <w:pPr>
        <w:rPr>
          <w:szCs w:val="22"/>
          <w:lang w:val="en-GB"/>
        </w:rPr>
      </w:pPr>
      <w:r w:rsidRPr="003C2489">
        <w:rPr>
          <w:szCs w:val="22"/>
          <w:lang w:val="en-GB"/>
        </w:rPr>
        <w:t>Patients should have the following</w:t>
      </w:r>
      <w:r w:rsidR="001E073F">
        <w:rPr>
          <w:szCs w:val="22"/>
          <w:lang w:val="en-GB"/>
        </w:rPr>
        <w:t>:</w:t>
      </w:r>
    </w:p>
    <w:p w14:paraId="2E4B9153" w14:textId="77777777" w:rsidR="003C2489" w:rsidRPr="003C2489" w:rsidRDefault="003C2489" w:rsidP="003C2489">
      <w:pPr>
        <w:pStyle w:val="ListParagraph"/>
        <w:numPr>
          <w:ilvl w:val="0"/>
          <w:numId w:val="36"/>
        </w:numPr>
        <w:rPr>
          <w:szCs w:val="22"/>
          <w:lang w:val="en-GB"/>
        </w:rPr>
      </w:pPr>
      <w:r w:rsidRPr="003C2489">
        <w:rPr>
          <w:szCs w:val="22"/>
          <w:lang w:val="en-GB"/>
        </w:rPr>
        <w:t>Bloods: FBC, ESR, blood culture</w:t>
      </w:r>
    </w:p>
    <w:p w14:paraId="014D0461" w14:textId="77777777" w:rsidR="003C2489" w:rsidRPr="003C2489" w:rsidRDefault="003C2489" w:rsidP="003C2489">
      <w:pPr>
        <w:pStyle w:val="ListParagraph"/>
        <w:numPr>
          <w:ilvl w:val="0"/>
          <w:numId w:val="36"/>
        </w:numPr>
        <w:rPr>
          <w:szCs w:val="22"/>
          <w:lang w:val="en-GB"/>
        </w:rPr>
      </w:pPr>
      <w:r w:rsidRPr="003C2489">
        <w:rPr>
          <w:szCs w:val="22"/>
          <w:lang w:val="en-GB"/>
        </w:rPr>
        <w:t>Throat swab</w:t>
      </w:r>
    </w:p>
    <w:p w14:paraId="31ED0680" w14:textId="77777777" w:rsidR="003C2489" w:rsidRPr="003C2489" w:rsidRDefault="003C2489" w:rsidP="003C2489">
      <w:pPr>
        <w:pStyle w:val="ListParagraph"/>
        <w:numPr>
          <w:ilvl w:val="0"/>
          <w:numId w:val="36"/>
        </w:numPr>
        <w:rPr>
          <w:szCs w:val="22"/>
          <w:lang w:val="en-GB"/>
        </w:rPr>
      </w:pPr>
      <w:r w:rsidRPr="003C2489">
        <w:rPr>
          <w:szCs w:val="22"/>
          <w:lang w:val="en-GB"/>
        </w:rPr>
        <w:t xml:space="preserve">ECG </w:t>
      </w:r>
    </w:p>
    <w:p w14:paraId="225A70B2" w14:textId="77777777" w:rsidR="003C2489" w:rsidRPr="003C2489" w:rsidRDefault="003C2489" w:rsidP="003C2489">
      <w:pPr>
        <w:pStyle w:val="ListParagraph"/>
        <w:numPr>
          <w:ilvl w:val="0"/>
          <w:numId w:val="36"/>
        </w:numPr>
        <w:rPr>
          <w:szCs w:val="22"/>
          <w:lang w:val="en-GB"/>
        </w:rPr>
      </w:pPr>
      <w:r w:rsidRPr="003C2489">
        <w:rPr>
          <w:szCs w:val="22"/>
          <w:lang w:val="en-GB"/>
        </w:rPr>
        <w:t>Echocardiogram</w:t>
      </w:r>
    </w:p>
    <w:p w14:paraId="6DB52B33" w14:textId="225588D1" w:rsidR="003C2489" w:rsidRDefault="003C2489" w:rsidP="003C2489">
      <w:pPr>
        <w:pStyle w:val="ListParagraph"/>
        <w:numPr>
          <w:ilvl w:val="0"/>
          <w:numId w:val="36"/>
        </w:numPr>
        <w:rPr>
          <w:szCs w:val="22"/>
          <w:lang w:val="en-GB"/>
        </w:rPr>
      </w:pPr>
      <w:r w:rsidRPr="003C2489">
        <w:rPr>
          <w:szCs w:val="22"/>
          <w:lang w:val="en-GB"/>
        </w:rPr>
        <w:t>CXR (if carditis suspected)</w:t>
      </w:r>
    </w:p>
    <w:p w14:paraId="466E7DAA" w14:textId="4C0D86BF" w:rsidR="004102DE" w:rsidRDefault="004102DE" w:rsidP="004102DE">
      <w:pPr>
        <w:rPr>
          <w:szCs w:val="22"/>
          <w:lang w:val="en-GB"/>
        </w:rPr>
      </w:pPr>
      <w:r>
        <w:rPr>
          <w:szCs w:val="22"/>
          <w:lang w:val="en-GB"/>
        </w:rPr>
        <w:t>Evidence of preceding GAS infection include</w:t>
      </w:r>
      <w:r w:rsidR="00413465">
        <w:rPr>
          <w:szCs w:val="22"/>
          <w:lang w:val="en-GB"/>
        </w:rPr>
        <w:t>s</w:t>
      </w:r>
      <w:r>
        <w:rPr>
          <w:szCs w:val="22"/>
          <w:lang w:val="en-GB"/>
        </w:rPr>
        <w:t>:</w:t>
      </w:r>
    </w:p>
    <w:p w14:paraId="2B51C760" w14:textId="775CB1BC" w:rsidR="006D1323" w:rsidRPr="006D1323" w:rsidRDefault="004102DE" w:rsidP="006D1323">
      <w:pPr>
        <w:pStyle w:val="ListParagraph"/>
        <w:numPr>
          <w:ilvl w:val="0"/>
          <w:numId w:val="38"/>
        </w:numPr>
        <w:rPr>
          <w:szCs w:val="22"/>
          <w:lang w:val="en-GB"/>
        </w:rPr>
      </w:pPr>
      <w:r w:rsidRPr="004102DE">
        <w:rPr>
          <w:szCs w:val="22"/>
          <w:lang w:val="en-GB"/>
        </w:rPr>
        <w:t>Elevated P-R interval on ECG</w:t>
      </w:r>
      <w:r w:rsidR="006256AD">
        <w:rPr>
          <w:szCs w:val="22"/>
          <w:lang w:val="en-GB"/>
        </w:rPr>
        <w:t>:</w:t>
      </w:r>
      <w:r w:rsidR="006D1323">
        <w:rPr>
          <w:szCs w:val="22"/>
          <w:lang w:val="en-GB"/>
        </w:rPr>
        <w:t xml:space="preserve"> &gt; 0.16s</w:t>
      </w:r>
      <w:r w:rsidR="0057389B">
        <w:rPr>
          <w:szCs w:val="22"/>
          <w:lang w:val="en-GB"/>
        </w:rPr>
        <w:t xml:space="preserve"> </w:t>
      </w:r>
      <w:r w:rsidR="006D1323">
        <w:rPr>
          <w:szCs w:val="22"/>
          <w:lang w:val="en-GB"/>
        </w:rPr>
        <w:t>(3-12 years), &gt;</w:t>
      </w:r>
      <w:r w:rsidR="0057389B">
        <w:rPr>
          <w:szCs w:val="22"/>
          <w:lang w:val="en-GB"/>
        </w:rPr>
        <w:t xml:space="preserve"> </w:t>
      </w:r>
      <w:r w:rsidR="006D1323">
        <w:rPr>
          <w:szCs w:val="22"/>
          <w:lang w:val="en-GB"/>
        </w:rPr>
        <w:t>0.18s</w:t>
      </w:r>
      <w:r w:rsidR="0057389B">
        <w:rPr>
          <w:szCs w:val="22"/>
          <w:lang w:val="en-GB"/>
        </w:rPr>
        <w:t xml:space="preserve"> </w:t>
      </w:r>
      <w:r w:rsidR="006D1323">
        <w:rPr>
          <w:szCs w:val="22"/>
          <w:lang w:val="en-GB"/>
        </w:rPr>
        <w:t>(13-16 years), &gt;20</w:t>
      </w:r>
      <w:r w:rsidR="0057389B">
        <w:rPr>
          <w:szCs w:val="22"/>
          <w:lang w:val="en-GB"/>
        </w:rPr>
        <w:t xml:space="preserve">s </w:t>
      </w:r>
      <w:r w:rsidR="006D1323">
        <w:rPr>
          <w:szCs w:val="22"/>
          <w:lang w:val="en-GB"/>
        </w:rPr>
        <w:t>(≥ 17 years)</w:t>
      </w:r>
    </w:p>
    <w:p w14:paraId="3F79C0B7" w14:textId="77777777" w:rsidR="004102DE" w:rsidRPr="004102DE" w:rsidRDefault="004102DE" w:rsidP="004102DE">
      <w:pPr>
        <w:pStyle w:val="ListParagraph"/>
        <w:numPr>
          <w:ilvl w:val="0"/>
          <w:numId w:val="38"/>
        </w:numPr>
        <w:rPr>
          <w:szCs w:val="22"/>
          <w:lang w:val="en-GB"/>
        </w:rPr>
      </w:pPr>
      <w:r w:rsidRPr="004102DE">
        <w:rPr>
          <w:szCs w:val="22"/>
          <w:lang w:val="en-GB"/>
        </w:rPr>
        <w:t>Elevated streptococcal antibodies</w:t>
      </w:r>
    </w:p>
    <w:p w14:paraId="3CE30A97" w14:textId="77777777" w:rsidR="004102DE" w:rsidRPr="004102DE" w:rsidRDefault="004102DE" w:rsidP="004102DE">
      <w:pPr>
        <w:pStyle w:val="ListParagraph"/>
        <w:numPr>
          <w:ilvl w:val="0"/>
          <w:numId w:val="38"/>
        </w:numPr>
        <w:rPr>
          <w:szCs w:val="22"/>
          <w:lang w:val="en-GB"/>
        </w:rPr>
      </w:pPr>
      <w:r w:rsidRPr="004102DE">
        <w:rPr>
          <w:szCs w:val="22"/>
          <w:lang w:val="en-GB"/>
        </w:rPr>
        <w:t>Positive throat culture</w:t>
      </w:r>
    </w:p>
    <w:p w14:paraId="4517938E" w14:textId="6D1A2216" w:rsidR="004102DE" w:rsidRPr="004102DE" w:rsidRDefault="004102DE" w:rsidP="004102DE">
      <w:pPr>
        <w:pStyle w:val="ListParagraph"/>
        <w:numPr>
          <w:ilvl w:val="0"/>
          <w:numId w:val="38"/>
        </w:numPr>
        <w:rPr>
          <w:szCs w:val="22"/>
          <w:lang w:val="en-GB"/>
        </w:rPr>
      </w:pPr>
      <w:r w:rsidRPr="004102DE">
        <w:rPr>
          <w:szCs w:val="22"/>
          <w:lang w:val="en-GB"/>
        </w:rPr>
        <w:t>Recent scarlet fever</w:t>
      </w:r>
    </w:p>
    <w:p w14:paraId="51CBC07D" w14:textId="48B42623" w:rsidR="00931E3E" w:rsidRPr="00931E3E" w:rsidRDefault="00DB687D" w:rsidP="009412DD">
      <w:pPr>
        <w:pStyle w:val="Heading2"/>
        <w:rPr>
          <w:lang w:val="en-GB"/>
        </w:rPr>
      </w:pPr>
      <w:r w:rsidRPr="00DB687D">
        <w:rPr>
          <w:lang w:val="en-GB"/>
        </w:rPr>
        <w:t>Management</w:t>
      </w:r>
    </w:p>
    <w:p w14:paraId="46EF12FF" w14:textId="77777777" w:rsidR="00DB687D" w:rsidRDefault="008526C7" w:rsidP="009412DD">
      <w:pPr>
        <w:pStyle w:val="Heading3"/>
        <w:rPr>
          <w:lang w:val="en-GB"/>
        </w:rPr>
      </w:pPr>
      <w:r w:rsidRPr="008526C7">
        <w:rPr>
          <w:lang w:val="en-GB"/>
        </w:rPr>
        <w:t xml:space="preserve">Primary prevention of ARF </w:t>
      </w:r>
    </w:p>
    <w:p w14:paraId="590E5A1A" w14:textId="4AA00C2C" w:rsidR="00DB687D" w:rsidRDefault="008526C7" w:rsidP="003C2489">
      <w:pPr>
        <w:pStyle w:val="Heading1"/>
        <w:numPr>
          <w:ilvl w:val="0"/>
          <w:numId w:val="31"/>
        </w:numPr>
        <w:spacing w:after="100" w:afterAutospacing="1"/>
        <w:rPr>
          <w:b w:val="0"/>
          <w:sz w:val="22"/>
          <w:szCs w:val="22"/>
          <w:lang w:val="en-GB"/>
        </w:rPr>
      </w:pPr>
      <w:r w:rsidRPr="008526C7">
        <w:rPr>
          <w:b w:val="0"/>
          <w:sz w:val="22"/>
          <w:szCs w:val="22"/>
          <w:lang w:val="en-GB"/>
        </w:rPr>
        <w:t>All patients presenting with a sore throat should have their throat examined</w:t>
      </w:r>
      <w:r w:rsidR="009412DD">
        <w:rPr>
          <w:b w:val="0"/>
          <w:sz w:val="22"/>
          <w:szCs w:val="22"/>
          <w:lang w:val="en-GB"/>
        </w:rPr>
        <w:t>.</w:t>
      </w:r>
    </w:p>
    <w:p w14:paraId="16D0941C" w14:textId="78FFD2D7" w:rsidR="00DB687D" w:rsidRDefault="008526C7" w:rsidP="003C2489">
      <w:pPr>
        <w:pStyle w:val="Heading1"/>
        <w:numPr>
          <w:ilvl w:val="0"/>
          <w:numId w:val="31"/>
        </w:numPr>
        <w:spacing w:after="100" w:afterAutospacing="1"/>
        <w:rPr>
          <w:b w:val="0"/>
          <w:sz w:val="22"/>
          <w:szCs w:val="22"/>
          <w:lang w:val="en-GB"/>
        </w:rPr>
      </w:pPr>
      <w:r w:rsidRPr="008526C7">
        <w:rPr>
          <w:b w:val="0"/>
          <w:sz w:val="22"/>
          <w:szCs w:val="22"/>
          <w:lang w:val="en-GB"/>
        </w:rPr>
        <w:t>All children aged 4-15 years who present with a fever should have their throat examined (unless clear alternative source of their fever)</w:t>
      </w:r>
      <w:r w:rsidR="009412DD">
        <w:rPr>
          <w:b w:val="0"/>
          <w:sz w:val="22"/>
          <w:szCs w:val="22"/>
          <w:lang w:val="en-GB"/>
        </w:rPr>
        <w:t>.</w:t>
      </w:r>
    </w:p>
    <w:p w14:paraId="3BB71F8E" w14:textId="094880AA" w:rsidR="003C2489" w:rsidRDefault="008526C7" w:rsidP="003C2489">
      <w:pPr>
        <w:pStyle w:val="Heading1"/>
        <w:numPr>
          <w:ilvl w:val="0"/>
          <w:numId w:val="31"/>
        </w:numPr>
        <w:spacing w:after="100" w:afterAutospacing="1"/>
        <w:rPr>
          <w:b w:val="0"/>
          <w:sz w:val="22"/>
          <w:szCs w:val="22"/>
          <w:lang w:val="en-GB"/>
        </w:rPr>
      </w:pPr>
      <w:r w:rsidRPr="008526C7">
        <w:rPr>
          <w:b w:val="0"/>
          <w:sz w:val="22"/>
          <w:szCs w:val="22"/>
          <w:lang w:val="en-GB"/>
        </w:rPr>
        <w:t>Any patient who has features suggestive of GAS and all children aged 4-15 years who have evidence of pharyngeal inflammation/exudate should be treated with antibiotics for suspected GAS infection</w:t>
      </w:r>
      <w:r w:rsidR="009412DD">
        <w:rPr>
          <w:b w:val="0"/>
          <w:sz w:val="22"/>
          <w:szCs w:val="22"/>
          <w:lang w:val="en-GB"/>
        </w:rPr>
        <w:t>.</w:t>
      </w:r>
    </w:p>
    <w:p w14:paraId="20035B0B" w14:textId="3D7CA54B" w:rsidR="008526C7" w:rsidRPr="008526C7" w:rsidRDefault="008526C7" w:rsidP="003C2489">
      <w:pPr>
        <w:pStyle w:val="Heading1"/>
        <w:numPr>
          <w:ilvl w:val="0"/>
          <w:numId w:val="31"/>
        </w:numPr>
        <w:spacing w:after="100" w:afterAutospacing="1"/>
        <w:rPr>
          <w:sz w:val="22"/>
          <w:szCs w:val="22"/>
          <w:u w:val="thick"/>
          <w:lang w:val="en-GB"/>
        </w:rPr>
      </w:pPr>
      <w:r w:rsidRPr="008526C7">
        <w:rPr>
          <w:b w:val="0"/>
          <w:sz w:val="22"/>
          <w:szCs w:val="22"/>
          <w:lang w:val="en-GB"/>
        </w:rPr>
        <w:t>A throat swab should be sent for culture in all patients who are being treated with antibiotics for suspected GAS infection</w:t>
      </w:r>
      <w:r w:rsidR="009412DD">
        <w:rPr>
          <w:b w:val="0"/>
          <w:sz w:val="22"/>
          <w:szCs w:val="22"/>
          <w:lang w:val="en-GB"/>
        </w:rPr>
        <w:t>.</w:t>
      </w:r>
    </w:p>
    <w:p w14:paraId="3D0A6138" w14:textId="77777777" w:rsidR="002614E9" w:rsidRDefault="002614E9">
      <w:pPr>
        <w:spacing w:after="0"/>
        <w:outlineLvl w:val="9"/>
        <w:rPr>
          <w:lang w:val="en-GB"/>
        </w:rPr>
      </w:pPr>
      <w:r>
        <w:rPr>
          <w:lang w:val="en-GB"/>
        </w:rPr>
        <w:br w:type="page"/>
      </w:r>
    </w:p>
    <w:p w14:paraId="4B89AFD1" w14:textId="52406EE5" w:rsidR="006256AD" w:rsidRDefault="006256AD">
      <w:pPr>
        <w:spacing w:after="0"/>
        <w:outlineLvl w:val="9"/>
        <w:rPr>
          <w:rFonts w:eastAsia="Times New Roman" w:cs="Times New Roman"/>
          <w:b/>
          <w:bCs/>
          <w:szCs w:val="26"/>
          <w:u w:val="single"/>
          <w:lang w:val="en-GB"/>
        </w:rPr>
      </w:pPr>
    </w:p>
    <w:p w14:paraId="3BC872D0" w14:textId="3A1B7CA6" w:rsidR="008526C7" w:rsidRPr="008526C7" w:rsidRDefault="008526C7" w:rsidP="009412DD">
      <w:pPr>
        <w:pStyle w:val="Heading3"/>
        <w:rPr>
          <w:lang w:val="en-GB"/>
        </w:rPr>
      </w:pPr>
      <w:r w:rsidRPr="008526C7">
        <w:rPr>
          <w:lang w:val="en-GB"/>
        </w:rPr>
        <w:t>Antibiotic therapy for GAS infection</w:t>
      </w:r>
    </w:p>
    <w:tbl>
      <w:tblPr>
        <w:tblStyle w:val="TableGrid"/>
        <w:tblW w:w="0" w:type="auto"/>
        <w:tblLook w:val="04A0" w:firstRow="1" w:lastRow="0" w:firstColumn="1" w:lastColumn="0" w:noHBand="0" w:noVBand="1"/>
      </w:tblPr>
      <w:tblGrid>
        <w:gridCol w:w="2955"/>
        <w:gridCol w:w="1576"/>
        <w:gridCol w:w="2299"/>
        <w:gridCol w:w="1686"/>
      </w:tblGrid>
      <w:tr w:rsidR="008526C7" w:rsidRPr="008526C7" w14:paraId="7C8BFDC9" w14:textId="77777777" w:rsidTr="006D1323">
        <w:tc>
          <w:tcPr>
            <w:tcW w:w="8516" w:type="dxa"/>
            <w:gridSpan w:val="4"/>
            <w:shd w:val="clear" w:color="auto" w:fill="auto"/>
          </w:tcPr>
          <w:p w14:paraId="13E969C9" w14:textId="77777777" w:rsidR="008526C7" w:rsidRPr="00416F67" w:rsidRDefault="008526C7" w:rsidP="00416F67">
            <w:pPr>
              <w:pStyle w:val="Heading1"/>
              <w:spacing w:after="120"/>
              <w:rPr>
                <w:sz w:val="22"/>
                <w:szCs w:val="22"/>
                <w:lang w:val="en-GB"/>
              </w:rPr>
            </w:pPr>
            <w:r w:rsidRPr="00416F67">
              <w:rPr>
                <w:sz w:val="22"/>
                <w:szCs w:val="22"/>
                <w:lang w:val="en-GB"/>
              </w:rPr>
              <w:t>For patients without penicillin allergy</w:t>
            </w:r>
          </w:p>
        </w:tc>
      </w:tr>
      <w:tr w:rsidR="008526C7" w:rsidRPr="008526C7" w14:paraId="7C5D0777" w14:textId="77777777" w:rsidTr="00416F67">
        <w:tc>
          <w:tcPr>
            <w:tcW w:w="2955" w:type="dxa"/>
          </w:tcPr>
          <w:p w14:paraId="219409F3" w14:textId="77777777" w:rsidR="008526C7" w:rsidRPr="008526C7" w:rsidRDefault="008526C7" w:rsidP="00416F67">
            <w:pPr>
              <w:rPr>
                <w:b/>
                <w:lang w:val="en-GB"/>
              </w:rPr>
            </w:pPr>
            <w:r w:rsidRPr="008526C7">
              <w:rPr>
                <w:lang w:val="en-GB"/>
              </w:rPr>
              <w:t>Penicillin V</w:t>
            </w:r>
          </w:p>
          <w:p w14:paraId="474E618E" w14:textId="77777777" w:rsidR="008526C7" w:rsidRPr="008526C7" w:rsidRDefault="008526C7" w:rsidP="00416F67">
            <w:pPr>
              <w:rPr>
                <w:b/>
                <w:lang w:val="en-GB"/>
              </w:rPr>
            </w:pPr>
            <w:r w:rsidRPr="008526C7">
              <w:rPr>
                <w:lang w:val="en-GB"/>
              </w:rPr>
              <w:t>(Phenoxymethylpenicillin)</w:t>
            </w:r>
          </w:p>
        </w:tc>
        <w:tc>
          <w:tcPr>
            <w:tcW w:w="1576" w:type="dxa"/>
          </w:tcPr>
          <w:p w14:paraId="250159DB" w14:textId="77777777" w:rsidR="008526C7" w:rsidRPr="008526C7" w:rsidRDefault="008526C7" w:rsidP="00416F67">
            <w:pPr>
              <w:rPr>
                <w:b/>
                <w:lang w:val="en-GB"/>
              </w:rPr>
            </w:pPr>
            <w:r w:rsidRPr="008526C7">
              <w:rPr>
                <w:lang w:val="en-GB"/>
              </w:rPr>
              <w:t>Oral</w:t>
            </w:r>
          </w:p>
        </w:tc>
        <w:tc>
          <w:tcPr>
            <w:tcW w:w="2299" w:type="dxa"/>
          </w:tcPr>
          <w:p w14:paraId="0B3CEF2E" w14:textId="27DDC786" w:rsidR="008526C7" w:rsidRPr="008526C7" w:rsidRDefault="00B66772" w:rsidP="00416F67">
            <w:pPr>
              <w:rPr>
                <w:b/>
                <w:lang w:val="en-GB"/>
              </w:rPr>
            </w:pPr>
            <w:r>
              <w:rPr>
                <w:lang w:val="en-GB"/>
              </w:rPr>
              <w:t xml:space="preserve">7.5 mg/kg (max dose </w:t>
            </w:r>
            <w:r w:rsidR="00C850C5">
              <w:rPr>
                <w:lang w:val="en-GB"/>
              </w:rPr>
              <w:t xml:space="preserve">500 mg) </w:t>
            </w:r>
            <w:r>
              <w:rPr>
                <w:lang w:val="en-GB"/>
              </w:rPr>
              <w:t xml:space="preserve">QDS </w:t>
            </w:r>
          </w:p>
        </w:tc>
        <w:tc>
          <w:tcPr>
            <w:tcW w:w="1686" w:type="dxa"/>
          </w:tcPr>
          <w:p w14:paraId="3BB07A9F" w14:textId="77777777" w:rsidR="008526C7" w:rsidRPr="008526C7" w:rsidRDefault="008526C7" w:rsidP="00416F67">
            <w:pPr>
              <w:rPr>
                <w:b/>
                <w:lang w:val="en-GB"/>
              </w:rPr>
            </w:pPr>
            <w:r w:rsidRPr="008526C7">
              <w:rPr>
                <w:lang w:val="en-GB"/>
              </w:rPr>
              <w:t>10 days</w:t>
            </w:r>
          </w:p>
        </w:tc>
      </w:tr>
      <w:tr w:rsidR="008526C7" w:rsidRPr="008526C7" w14:paraId="55136FF4" w14:textId="77777777" w:rsidTr="00416F67">
        <w:tc>
          <w:tcPr>
            <w:tcW w:w="2955" w:type="dxa"/>
          </w:tcPr>
          <w:p w14:paraId="17F45B0A" w14:textId="77777777" w:rsidR="008526C7" w:rsidRPr="008526C7" w:rsidRDefault="008526C7" w:rsidP="00416F67">
            <w:pPr>
              <w:rPr>
                <w:b/>
                <w:lang w:val="en-GB"/>
              </w:rPr>
            </w:pPr>
            <w:r w:rsidRPr="008526C7">
              <w:rPr>
                <w:lang w:val="en-GB"/>
              </w:rPr>
              <w:t>Amoxicillin</w:t>
            </w:r>
          </w:p>
        </w:tc>
        <w:tc>
          <w:tcPr>
            <w:tcW w:w="1576" w:type="dxa"/>
          </w:tcPr>
          <w:p w14:paraId="14555D63" w14:textId="77777777" w:rsidR="008526C7" w:rsidRPr="008526C7" w:rsidRDefault="008526C7" w:rsidP="00416F67">
            <w:pPr>
              <w:rPr>
                <w:b/>
                <w:lang w:val="en-GB"/>
              </w:rPr>
            </w:pPr>
            <w:r w:rsidRPr="008526C7">
              <w:rPr>
                <w:lang w:val="en-GB"/>
              </w:rPr>
              <w:t>Oral</w:t>
            </w:r>
          </w:p>
        </w:tc>
        <w:tc>
          <w:tcPr>
            <w:tcW w:w="2299" w:type="dxa"/>
          </w:tcPr>
          <w:p w14:paraId="29EC4EC5" w14:textId="023C3494" w:rsidR="008526C7" w:rsidRPr="008526C7" w:rsidRDefault="008526C7" w:rsidP="00416F67">
            <w:pPr>
              <w:rPr>
                <w:b/>
                <w:lang w:val="en-GB"/>
              </w:rPr>
            </w:pPr>
            <w:r w:rsidRPr="008526C7">
              <w:rPr>
                <w:lang w:val="en-GB"/>
              </w:rPr>
              <w:t>50</w:t>
            </w:r>
            <w:r w:rsidR="00D75EDF">
              <w:rPr>
                <w:lang w:val="en-GB"/>
              </w:rPr>
              <w:t xml:space="preserve"> </w:t>
            </w:r>
            <w:r w:rsidRPr="008526C7">
              <w:rPr>
                <w:lang w:val="en-GB"/>
              </w:rPr>
              <w:t>mg/kg (max dose 1000</w:t>
            </w:r>
            <w:r w:rsidR="00C850C5">
              <w:rPr>
                <w:lang w:val="en-GB"/>
              </w:rPr>
              <w:t xml:space="preserve"> </w:t>
            </w:r>
            <w:r w:rsidRPr="008526C7">
              <w:rPr>
                <w:lang w:val="en-GB"/>
              </w:rPr>
              <w:t>mg) OD</w:t>
            </w:r>
          </w:p>
        </w:tc>
        <w:tc>
          <w:tcPr>
            <w:tcW w:w="1686" w:type="dxa"/>
          </w:tcPr>
          <w:p w14:paraId="6996B10F" w14:textId="77777777" w:rsidR="008526C7" w:rsidRPr="008526C7" w:rsidRDefault="008526C7" w:rsidP="00416F67">
            <w:pPr>
              <w:rPr>
                <w:b/>
                <w:lang w:val="en-GB"/>
              </w:rPr>
            </w:pPr>
            <w:r w:rsidRPr="008526C7">
              <w:rPr>
                <w:lang w:val="en-GB"/>
              </w:rPr>
              <w:t>10 days</w:t>
            </w:r>
          </w:p>
        </w:tc>
      </w:tr>
      <w:tr w:rsidR="008526C7" w:rsidRPr="008526C7" w14:paraId="5FBAF965" w14:textId="77777777" w:rsidTr="00416F67">
        <w:tc>
          <w:tcPr>
            <w:tcW w:w="2955" w:type="dxa"/>
          </w:tcPr>
          <w:p w14:paraId="65BAC5DF" w14:textId="77777777" w:rsidR="008526C7" w:rsidRPr="008526C7" w:rsidRDefault="008526C7" w:rsidP="00416F67">
            <w:pPr>
              <w:rPr>
                <w:b/>
                <w:lang w:val="en-GB"/>
              </w:rPr>
            </w:pPr>
            <w:r w:rsidRPr="008526C7">
              <w:rPr>
                <w:lang w:val="en-GB"/>
              </w:rPr>
              <w:t>Benzathine penicillin G</w:t>
            </w:r>
          </w:p>
        </w:tc>
        <w:tc>
          <w:tcPr>
            <w:tcW w:w="1576" w:type="dxa"/>
          </w:tcPr>
          <w:p w14:paraId="4945DADF" w14:textId="77777777" w:rsidR="008526C7" w:rsidRPr="008526C7" w:rsidRDefault="008526C7" w:rsidP="00416F67">
            <w:pPr>
              <w:rPr>
                <w:b/>
                <w:lang w:val="en-GB"/>
              </w:rPr>
            </w:pPr>
            <w:r w:rsidRPr="008526C7">
              <w:rPr>
                <w:lang w:val="en-GB"/>
              </w:rPr>
              <w:t>Intramuscular</w:t>
            </w:r>
          </w:p>
        </w:tc>
        <w:tc>
          <w:tcPr>
            <w:tcW w:w="2299" w:type="dxa"/>
          </w:tcPr>
          <w:p w14:paraId="17EA7535" w14:textId="771A92CE" w:rsidR="008526C7" w:rsidRPr="008526C7" w:rsidRDefault="008526C7" w:rsidP="00416F67">
            <w:pPr>
              <w:rPr>
                <w:b/>
                <w:lang w:val="en-GB"/>
              </w:rPr>
            </w:pPr>
            <w:r w:rsidRPr="008526C7">
              <w:rPr>
                <w:lang w:val="en-GB"/>
              </w:rPr>
              <w:t>Weight &lt; 30</w:t>
            </w:r>
            <w:r w:rsidR="00AC0C24">
              <w:rPr>
                <w:lang w:val="en-GB"/>
              </w:rPr>
              <w:t xml:space="preserve"> </w:t>
            </w:r>
            <w:r w:rsidRPr="008526C7">
              <w:rPr>
                <w:lang w:val="en-GB"/>
              </w:rPr>
              <w:t>kg: 450</w:t>
            </w:r>
            <w:r w:rsidR="00D75EDF">
              <w:rPr>
                <w:lang w:val="en-GB"/>
              </w:rPr>
              <w:t xml:space="preserve"> </w:t>
            </w:r>
            <w:r w:rsidRPr="008526C7">
              <w:rPr>
                <w:lang w:val="en-GB"/>
              </w:rPr>
              <w:t>mg (600,000 units)</w:t>
            </w:r>
          </w:p>
          <w:p w14:paraId="189F1DB7" w14:textId="7085FA43" w:rsidR="008526C7" w:rsidRPr="008526C7" w:rsidRDefault="008526C7" w:rsidP="002614E9">
            <w:pPr>
              <w:rPr>
                <w:b/>
                <w:lang w:val="en-GB"/>
              </w:rPr>
            </w:pPr>
            <w:r w:rsidRPr="008526C7">
              <w:rPr>
                <w:lang w:val="en-GB"/>
              </w:rPr>
              <w:t xml:space="preserve">Weight </w:t>
            </w:r>
            <w:r w:rsidR="002614E9">
              <w:rPr>
                <w:lang w:val="en-GB"/>
              </w:rPr>
              <w:t xml:space="preserve"> </w:t>
            </w:r>
            <w:r w:rsidR="002614E9" w:rsidRPr="002614E9">
              <w:rPr>
                <w:lang w:val="en-GB"/>
              </w:rPr>
              <w:t>≥</w:t>
            </w:r>
            <w:r w:rsidR="002614E9">
              <w:rPr>
                <w:lang w:val="en-GB"/>
              </w:rPr>
              <w:t xml:space="preserve"> </w:t>
            </w:r>
            <w:r w:rsidRPr="008526C7">
              <w:rPr>
                <w:lang w:val="en-GB"/>
              </w:rPr>
              <w:t>30</w:t>
            </w:r>
            <w:r w:rsidR="00AC0C24">
              <w:rPr>
                <w:lang w:val="en-GB"/>
              </w:rPr>
              <w:t xml:space="preserve"> </w:t>
            </w:r>
            <w:r w:rsidRPr="008526C7">
              <w:rPr>
                <w:lang w:val="en-GB"/>
              </w:rPr>
              <w:t>kg: 900</w:t>
            </w:r>
            <w:r w:rsidR="00D75EDF">
              <w:rPr>
                <w:lang w:val="en-GB"/>
              </w:rPr>
              <w:t xml:space="preserve"> </w:t>
            </w:r>
            <w:r w:rsidRPr="008526C7">
              <w:rPr>
                <w:lang w:val="en-GB"/>
              </w:rPr>
              <w:t>mg (1,200,000 units)</w:t>
            </w:r>
          </w:p>
        </w:tc>
        <w:tc>
          <w:tcPr>
            <w:tcW w:w="1686" w:type="dxa"/>
          </w:tcPr>
          <w:p w14:paraId="2B43B672" w14:textId="77777777" w:rsidR="008526C7" w:rsidRPr="008526C7" w:rsidRDefault="008526C7" w:rsidP="00416F67">
            <w:pPr>
              <w:rPr>
                <w:b/>
                <w:lang w:val="en-GB"/>
              </w:rPr>
            </w:pPr>
            <w:r w:rsidRPr="008526C7">
              <w:rPr>
                <w:lang w:val="en-GB"/>
              </w:rPr>
              <w:t>One dose</w:t>
            </w:r>
          </w:p>
        </w:tc>
      </w:tr>
      <w:tr w:rsidR="008526C7" w:rsidRPr="00416F67" w14:paraId="1A1654E3" w14:textId="77777777" w:rsidTr="006D1323">
        <w:tc>
          <w:tcPr>
            <w:tcW w:w="8516" w:type="dxa"/>
            <w:gridSpan w:val="4"/>
            <w:shd w:val="clear" w:color="auto" w:fill="auto"/>
          </w:tcPr>
          <w:p w14:paraId="22FE8A8F" w14:textId="77777777" w:rsidR="008526C7" w:rsidRPr="00416F67" w:rsidRDefault="008526C7" w:rsidP="00416F67">
            <w:pPr>
              <w:rPr>
                <w:b/>
                <w:lang w:val="en-GB"/>
              </w:rPr>
            </w:pPr>
            <w:r w:rsidRPr="00416F67">
              <w:rPr>
                <w:b/>
                <w:lang w:val="en-GB"/>
              </w:rPr>
              <w:t>For patients with penicillin allergy</w:t>
            </w:r>
          </w:p>
        </w:tc>
      </w:tr>
      <w:tr w:rsidR="008526C7" w:rsidRPr="008526C7" w14:paraId="43A5521E" w14:textId="77777777" w:rsidTr="00416F67">
        <w:tc>
          <w:tcPr>
            <w:tcW w:w="2955" w:type="dxa"/>
            <w:shd w:val="clear" w:color="auto" w:fill="auto"/>
          </w:tcPr>
          <w:p w14:paraId="65C34022" w14:textId="77777777" w:rsidR="008526C7" w:rsidRPr="008526C7" w:rsidRDefault="008526C7" w:rsidP="00C850C5">
            <w:pPr>
              <w:rPr>
                <w:b/>
                <w:lang w:val="en-GB"/>
              </w:rPr>
            </w:pPr>
            <w:r w:rsidRPr="008526C7">
              <w:rPr>
                <w:lang w:val="en-GB"/>
              </w:rPr>
              <w:t>Erythromycin</w:t>
            </w:r>
          </w:p>
        </w:tc>
        <w:tc>
          <w:tcPr>
            <w:tcW w:w="1576" w:type="dxa"/>
            <w:shd w:val="clear" w:color="auto" w:fill="auto"/>
          </w:tcPr>
          <w:p w14:paraId="0E8056FC" w14:textId="77777777" w:rsidR="008526C7" w:rsidRPr="008526C7" w:rsidRDefault="008526C7" w:rsidP="00C850C5">
            <w:pPr>
              <w:rPr>
                <w:b/>
                <w:lang w:val="en-GB"/>
              </w:rPr>
            </w:pPr>
            <w:r w:rsidRPr="008526C7">
              <w:rPr>
                <w:lang w:val="en-GB"/>
              </w:rPr>
              <w:t>Oral</w:t>
            </w:r>
          </w:p>
        </w:tc>
        <w:tc>
          <w:tcPr>
            <w:tcW w:w="2299" w:type="dxa"/>
            <w:shd w:val="clear" w:color="auto" w:fill="auto"/>
          </w:tcPr>
          <w:p w14:paraId="6C95B3F9" w14:textId="4FD05F47" w:rsidR="008526C7" w:rsidRPr="008526C7" w:rsidRDefault="00C850C5" w:rsidP="00C850C5">
            <w:pPr>
              <w:rPr>
                <w:b/>
                <w:lang w:val="en-GB"/>
              </w:rPr>
            </w:pPr>
            <w:r>
              <w:rPr>
                <w:lang w:val="en-GB"/>
              </w:rPr>
              <w:t>20</w:t>
            </w:r>
            <w:r w:rsidR="00D75EDF">
              <w:rPr>
                <w:lang w:val="en-GB"/>
              </w:rPr>
              <w:t xml:space="preserve"> </w:t>
            </w:r>
            <w:r w:rsidR="008526C7" w:rsidRPr="008526C7">
              <w:rPr>
                <w:lang w:val="en-GB"/>
              </w:rPr>
              <w:t>mg/kg</w:t>
            </w:r>
            <w:r>
              <w:rPr>
                <w:lang w:val="en-GB"/>
              </w:rPr>
              <w:t xml:space="preserve"> </w:t>
            </w:r>
            <w:r w:rsidR="008526C7" w:rsidRPr="008526C7">
              <w:rPr>
                <w:lang w:val="en-GB"/>
              </w:rPr>
              <w:t xml:space="preserve">(max </w:t>
            </w:r>
            <w:r w:rsidR="00E37BBE">
              <w:rPr>
                <w:lang w:val="en-GB"/>
              </w:rPr>
              <w:t>500</w:t>
            </w:r>
            <w:r>
              <w:rPr>
                <w:lang w:val="en-GB"/>
              </w:rPr>
              <w:t xml:space="preserve"> </w:t>
            </w:r>
            <w:r w:rsidR="008526C7" w:rsidRPr="008526C7">
              <w:rPr>
                <w:lang w:val="en-GB"/>
              </w:rPr>
              <w:t>mg)</w:t>
            </w:r>
            <w:r>
              <w:rPr>
                <w:lang w:val="en-GB"/>
              </w:rPr>
              <w:t xml:space="preserve"> BD</w:t>
            </w:r>
          </w:p>
        </w:tc>
        <w:tc>
          <w:tcPr>
            <w:tcW w:w="1686" w:type="dxa"/>
            <w:shd w:val="clear" w:color="auto" w:fill="auto"/>
          </w:tcPr>
          <w:p w14:paraId="46263AA9" w14:textId="77777777" w:rsidR="008526C7" w:rsidRPr="008526C7" w:rsidRDefault="008526C7" w:rsidP="00C850C5">
            <w:pPr>
              <w:rPr>
                <w:b/>
                <w:lang w:val="en-GB"/>
              </w:rPr>
            </w:pPr>
            <w:r w:rsidRPr="008526C7">
              <w:rPr>
                <w:lang w:val="en-GB"/>
              </w:rPr>
              <w:t>10 days</w:t>
            </w:r>
          </w:p>
        </w:tc>
      </w:tr>
    </w:tbl>
    <w:p w14:paraId="03D0BAE8" w14:textId="69BAA81C" w:rsidR="009F0348" w:rsidRDefault="009F0348" w:rsidP="00D75EDF">
      <w:pPr>
        <w:rPr>
          <w:lang w:val="en-GB"/>
        </w:rPr>
      </w:pPr>
    </w:p>
    <w:p w14:paraId="68A30C18" w14:textId="4780C874" w:rsidR="004102DE" w:rsidRPr="004102DE" w:rsidRDefault="004102DE" w:rsidP="00D75EDF">
      <w:pPr>
        <w:pStyle w:val="Heading3"/>
        <w:rPr>
          <w:lang w:val="en-GB"/>
        </w:rPr>
      </w:pPr>
      <w:r w:rsidRPr="004102DE">
        <w:rPr>
          <w:lang w:val="en-GB"/>
        </w:rPr>
        <w:t>Treatment of ARF</w:t>
      </w:r>
    </w:p>
    <w:p w14:paraId="339050B7" w14:textId="146FC2AB" w:rsidR="008526C7" w:rsidRPr="00D75EDF" w:rsidRDefault="008526C7" w:rsidP="00D75EDF">
      <w:pPr>
        <w:pStyle w:val="ListParagraph"/>
        <w:numPr>
          <w:ilvl w:val="0"/>
          <w:numId w:val="40"/>
        </w:numPr>
        <w:rPr>
          <w:b/>
          <w:lang w:val="en-GB"/>
        </w:rPr>
      </w:pPr>
      <w:r w:rsidRPr="00D75EDF">
        <w:rPr>
          <w:b/>
          <w:lang w:val="en-GB"/>
        </w:rPr>
        <w:t>Antibiotics:</w:t>
      </w:r>
      <w:r w:rsidRPr="00D75EDF">
        <w:rPr>
          <w:lang w:val="en-GB"/>
        </w:rPr>
        <w:t xml:space="preserve"> All patients diagnosed with ARF should receive a course of antibiotics to treat GAS infection (see above on antibiotics)</w:t>
      </w:r>
      <w:r w:rsidR="00D75EDF">
        <w:rPr>
          <w:lang w:val="en-GB"/>
        </w:rPr>
        <w:t>.</w:t>
      </w:r>
    </w:p>
    <w:p w14:paraId="049254B7" w14:textId="22307944" w:rsidR="004102DE" w:rsidRPr="00D75EDF" w:rsidRDefault="008526C7" w:rsidP="00D75EDF">
      <w:pPr>
        <w:pStyle w:val="ListParagraph"/>
        <w:numPr>
          <w:ilvl w:val="0"/>
          <w:numId w:val="40"/>
        </w:numPr>
        <w:rPr>
          <w:b/>
          <w:lang w:val="en-GB"/>
        </w:rPr>
      </w:pPr>
      <w:r w:rsidRPr="00D75EDF">
        <w:rPr>
          <w:b/>
          <w:lang w:val="en-GB"/>
        </w:rPr>
        <w:t>Analgesia/anti-inflammatories</w:t>
      </w:r>
      <w:r w:rsidRPr="00D75EDF">
        <w:rPr>
          <w:lang w:val="en-GB"/>
        </w:rPr>
        <w:t xml:space="preserve">: Paracetamol may be sufficient for fever and mild </w:t>
      </w:r>
      <w:r w:rsidR="004102DE" w:rsidRPr="00D75EDF">
        <w:rPr>
          <w:lang w:val="en-GB"/>
        </w:rPr>
        <w:t>arthralgia. Ibuprofen</w:t>
      </w:r>
      <w:r w:rsidRPr="00D75EDF">
        <w:rPr>
          <w:lang w:val="en-GB"/>
        </w:rPr>
        <w:t xml:space="preserve"> (</w:t>
      </w:r>
      <w:r w:rsidR="00E37BBE">
        <w:rPr>
          <w:lang w:val="en-GB"/>
        </w:rPr>
        <w:t>1</w:t>
      </w:r>
      <w:r w:rsidRPr="00D75EDF">
        <w:rPr>
          <w:lang w:val="en-GB"/>
        </w:rPr>
        <w:t>0</w:t>
      </w:r>
      <w:r w:rsidR="00D75EDF">
        <w:rPr>
          <w:lang w:val="en-GB"/>
        </w:rPr>
        <w:t xml:space="preserve"> </w:t>
      </w:r>
      <w:r w:rsidRPr="00D75EDF">
        <w:rPr>
          <w:lang w:val="en-GB"/>
        </w:rPr>
        <w:t xml:space="preserve">mg/kg, maximum </w:t>
      </w:r>
      <w:r w:rsidR="00B7130A">
        <w:rPr>
          <w:lang w:val="en-GB"/>
        </w:rPr>
        <w:t>500</w:t>
      </w:r>
      <w:r w:rsidR="00E37BBE">
        <w:rPr>
          <w:lang w:val="en-GB"/>
        </w:rPr>
        <w:t xml:space="preserve"> </w:t>
      </w:r>
      <w:r w:rsidRPr="00D75EDF">
        <w:rPr>
          <w:lang w:val="en-GB"/>
        </w:rPr>
        <w:t>mg</w:t>
      </w:r>
      <w:r w:rsidR="00E37BBE">
        <w:rPr>
          <w:lang w:val="en-GB"/>
        </w:rPr>
        <w:t>, TDS</w:t>
      </w:r>
      <w:r w:rsidRPr="00D75EDF">
        <w:rPr>
          <w:lang w:val="en-GB"/>
        </w:rPr>
        <w:t>)</w:t>
      </w:r>
      <w:r w:rsidR="004102DE" w:rsidRPr="00D75EDF">
        <w:rPr>
          <w:lang w:val="en-GB"/>
        </w:rPr>
        <w:t xml:space="preserve"> may be given for arthralgia or </w:t>
      </w:r>
      <w:r w:rsidRPr="00D75EDF">
        <w:rPr>
          <w:lang w:val="en-GB"/>
        </w:rPr>
        <w:t>Aspirin (50-60</w:t>
      </w:r>
      <w:r w:rsidR="00D75EDF">
        <w:rPr>
          <w:lang w:val="en-GB"/>
        </w:rPr>
        <w:t xml:space="preserve"> </w:t>
      </w:r>
      <w:r w:rsidRPr="00D75EDF">
        <w:rPr>
          <w:lang w:val="en-GB"/>
        </w:rPr>
        <w:t>mg/kg/day, increased if needed to 80-100</w:t>
      </w:r>
      <w:r w:rsidR="00892281">
        <w:rPr>
          <w:lang w:val="en-GB"/>
        </w:rPr>
        <w:t xml:space="preserve"> </w:t>
      </w:r>
      <w:r w:rsidRPr="00D75EDF">
        <w:rPr>
          <w:lang w:val="en-GB"/>
        </w:rPr>
        <w:t>mg/kg/day, given in 4-5 divided doses)</w:t>
      </w:r>
      <w:r w:rsidR="004102DE" w:rsidRPr="00D75EDF">
        <w:rPr>
          <w:lang w:val="en-GB"/>
        </w:rPr>
        <w:t>.</w:t>
      </w:r>
      <w:r w:rsidR="00892281">
        <w:rPr>
          <w:lang w:val="en-GB"/>
        </w:rPr>
        <w:t xml:space="preserve"> </w:t>
      </w:r>
      <w:r w:rsidRPr="00D75EDF">
        <w:rPr>
          <w:lang w:val="en-GB"/>
        </w:rPr>
        <w:t>Ibuprofen and aspirin may be used for more severe arthritis and pain but should only be started after a diagnosis of ARF has been made as they may mask the manifestations used to make the diagnosis</w:t>
      </w:r>
      <w:r w:rsidR="004102DE" w:rsidRPr="00D75EDF">
        <w:rPr>
          <w:lang w:val="en-GB"/>
        </w:rPr>
        <w:t>.</w:t>
      </w:r>
    </w:p>
    <w:p w14:paraId="4C852ED4" w14:textId="40C3D594" w:rsidR="004102DE" w:rsidRPr="00D75EDF" w:rsidRDefault="008526C7" w:rsidP="00D75EDF">
      <w:pPr>
        <w:pStyle w:val="ListParagraph"/>
        <w:numPr>
          <w:ilvl w:val="0"/>
          <w:numId w:val="40"/>
        </w:numPr>
        <w:rPr>
          <w:b/>
          <w:lang w:val="en-GB"/>
        </w:rPr>
      </w:pPr>
      <w:r w:rsidRPr="00D75EDF">
        <w:rPr>
          <w:b/>
          <w:lang w:val="en-GB"/>
        </w:rPr>
        <w:t>Chorea:</w:t>
      </w:r>
      <w:r w:rsidRPr="00D75EDF">
        <w:rPr>
          <w:lang w:val="en-GB"/>
        </w:rPr>
        <w:t xml:space="preserve"> Can use carbamazepine (</w:t>
      </w:r>
      <w:r w:rsidR="00FE1957">
        <w:rPr>
          <w:lang w:val="en-GB"/>
        </w:rPr>
        <w:t>2-3</w:t>
      </w:r>
      <w:r w:rsidR="00D75EDF">
        <w:rPr>
          <w:lang w:val="en-GB"/>
        </w:rPr>
        <w:t xml:space="preserve"> </w:t>
      </w:r>
      <w:r w:rsidRPr="00D75EDF">
        <w:rPr>
          <w:lang w:val="en-GB"/>
        </w:rPr>
        <w:t>mg/kg</w:t>
      </w:r>
      <w:r w:rsidR="00FE1957">
        <w:rPr>
          <w:lang w:val="en-GB"/>
        </w:rPr>
        <w:t xml:space="preserve"> </w:t>
      </w:r>
      <w:r w:rsidR="00E60A93">
        <w:rPr>
          <w:lang w:val="en-GB"/>
        </w:rPr>
        <w:t>TDS</w:t>
      </w:r>
      <w:r w:rsidRPr="00D75EDF">
        <w:rPr>
          <w:lang w:val="en-GB"/>
        </w:rPr>
        <w:t>) for severe symptoms</w:t>
      </w:r>
      <w:r w:rsidR="00D75EDF">
        <w:rPr>
          <w:lang w:val="en-GB"/>
        </w:rPr>
        <w:t>.</w:t>
      </w:r>
    </w:p>
    <w:p w14:paraId="0FA0A178" w14:textId="2EE07DE0" w:rsidR="008526C7" w:rsidRPr="00D75EDF" w:rsidRDefault="008526C7" w:rsidP="00D75EDF">
      <w:pPr>
        <w:pStyle w:val="ListParagraph"/>
        <w:numPr>
          <w:ilvl w:val="0"/>
          <w:numId w:val="40"/>
        </w:numPr>
        <w:rPr>
          <w:b/>
          <w:lang w:val="en-GB"/>
        </w:rPr>
      </w:pPr>
      <w:r w:rsidRPr="00D75EDF">
        <w:rPr>
          <w:b/>
          <w:lang w:val="en-GB"/>
        </w:rPr>
        <w:t>Carditis/heart failure:</w:t>
      </w:r>
      <w:r w:rsidRPr="00D75EDF">
        <w:rPr>
          <w:lang w:val="en-GB"/>
        </w:rPr>
        <w:t xml:space="preserve"> Diuretics and fluid restriction</w:t>
      </w:r>
      <w:r w:rsidR="004102DE" w:rsidRPr="00D75EDF">
        <w:rPr>
          <w:lang w:val="en-GB"/>
        </w:rPr>
        <w:t xml:space="preserve">, use of </w:t>
      </w:r>
      <w:r w:rsidRPr="00D75EDF">
        <w:rPr>
          <w:lang w:val="en-GB"/>
        </w:rPr>
        <w:t>ACE inhibitor</w:t>
      </w:r>
      <w:r w:rsidR="004102DE" w:rsidRPr="00D75EDF">
        <w:rPr>
          <w:lang w:val="en-GB"/>
        </w:rPr>
        <w:t xml:space="preserve"> and </w:t>
      </w:r>
      <w:r w:rsidRPr="00D75EDF">
        <w:rPr>
          <w:lang w:val="en-GB"/>
        </w:rPr>
        <w:t>Digoxin if atrial fibrillation present</w:t>
      </w:r>
      <w:r w:rsidR="00D75EDF">
        <w:rPr>
          <w:lang w:val="en-GB"/>
        </w:rPr>
        <w:t>.</w:t>
      </w:r>
    </w:p>
    <w:p w14:paraId="205F2328" w14:textId="77777777" w:rsidR="008526C7" w:rsidRPr="008526C7" w:rsidRDefault="008526C7" w:rsidP="00D75EDF">
      <w:pPr>
        <w:pStyle w:val="Heading3"/>
        <w:rPr>
          <w:lang w:val="en-GB"/>
        </w:rPr>
      </w:pPr>
      <w:r w:rsidRPr="008526C7">
        <w:rPr>
          <w:lang w:val="en-GB"/>
        </w:rPr>
        <w:t>Secondary prevention of ARF</w:t>
      </w:r>
    </w:p>
    <w:p w14:paraId="445A88F9" w14:textId="6F0C30D7" w:rsidR="008526C7" w:rsidRDefault="008526C7" w:rsidP="00D75EDF">
      <w:pPr>
        <w:rPr>
          <w:b/>
        </w:rPr>
      </w:pPr>
      <w:r w:rsidRPr="008526C7">
        <w:t xml:space="preserve">Patients who develop recurrent episodes of ARF are at increased risk of worsening rheumatic heart disease. Therefore antibiotic prophylaxis is used in all patients who have had an episode of ARF to </w:t>
      </w:r>
      <w:proofErr w:type="spellStart"/>
      <w:r w:rsidRPr="008526C7">
        <w:t>minimise</w:t>
      </w:r>
      <w:proofErr w:type="spellEnd"/>
      <w:r w:rsidRPr="008526C7">
        <w:t xml:space="preserve"> the risk of recurrent episodes of GAS infection.</w:t>
      </w:r>
    </w:p>
    <w:tbl>
      <w:tblPr>
        <w:tblStyle w:val="TableGrid1"/>
        <w:tblW w:w="0" w:type="auto"/>
        <w:tblInd w:w="55" w:type="dxa"/>
        <w:shd w:val="clear" w:color="auto" w:fill="CCFFCC"/>
        <w:tblLook w:val="04A0" w:firstRow="1" w:lastRow="0" w:firstColumn="1" w:lastColumn="0" w:noHBand="0" w:noVBand="1"/>
      </w:tblPr>
      <w:tblGrid>
        <w:gridCol w:w="4258"/>
        <w:gridCol w:w="4258"/>
      </w:tblGrid>
      <w:tr w:rsidR="006D1323" w14:paraId="16C29218" w14:textId="77777777" w:rsidTr="009F0348">
        <w:tc>
          <w:tcPr>
            <w:tcW w:w="8516" w:type="dxa"/>
            <w:gridSpan w:val="2"/>
            <w:tcBorders>
              <w:bottom w:val="single" w:sz="4" w:space="0" w:color="auto"/>
            </w:tcBorders>
            <w:shd w:val="clear" w:color="auto" w:fill="auto"/>
          </w:tcPr>
          <w:p w14:paraId="5C2F1EEF" w14:textId="77777777" w:rsidR="006D1323" w:rsidRPr="00D75EDF" w:rsidRDefault="006D1323" w:rsidP="001C3133">
            <w:pPr>
              <w:pStyle w:val="NormalWeb"/>
              <w:rPr>
                <w:rFonts w:ascii="Arial" w:hAnsi="Arial" w:cs="Arial"/>
                <w:b/>
                <w:sz w:val="22"/>
                <w:szCs w:val="22"/>
              </w:rPr>
            </w:pPr>
            <w:r w:rsidRPr="00D75EDF">
              <w:rPr>
                <w:rFonts w:ascii="Arial" w:hAnsi="Arial" w:cs="Arial"/>
                <w:b/>
                <w:sz w:val="22"/>
                <w:szCs w:val="22"/>
              </w:rPr>
              <w:t>For patients without penicillin allergy</w:t>
            </w:r>
          </w:p>
        </w:tc>
      </w:tr>
      <w:tr w:rsidR="006D1323" w:rsidRPr="00570A4E" w14:paraId="4A14F9BF" w14:textId="77777777" w:rsidTr="009F0348">
        <w:tc>
          <w:tcPr>
            <w:tcW w:w="4258" w:type="dxa"/>
            <w:tcBorders>
              <w:bottom w:val="single" w:sz="4" w:space="0" w:color="auto"/>
            </w:tcBorders>
            <w:shd w:val="clear" w:color="auto" w:fill="auto"/>
          </w:tcPr>
          <w:p w14:paraId="416B4FFA" w14:textId="77777777" w:rsidR="006D1323" w:rsidRPr="006D1323" w:rsidRDefault="006D1323" w:rsidP="00D75EDF">
            <w:r w:rsidRPr="006D1323">
              <w:t>Oral Penicillin V</w:t>
            </w:r>
          </w:p>
          <w:p w14:paraId="4CE7F892" w14:textId="77777777" w:rsidR="006D1323" w:rsidRPr="006D1323" w:rsidRDefault="006D1323" w:rsidP="00D75EDF">
            <w:r w:rsidRPr="006D1323">
              <w:t>(Phenoxymethylpenicillin)</w:t>
            </w:r>
          </w:p>
        </w:tc>
        <w:tc>
          <w:tcPr>
            <w:tcW w:w="4258" w:type="dxa"/>
            <w:tcBorders>
              <w:bottom w:val="single" w:sz="4" w:space="0" w:color="auto"/>
            </w:tcBorders>
            <w:shd w:val="clear" w:color="auto" w:fill="auto"/>
          </w:tcPr>
          <w:p w14:paraId="7A37CF34" w14:textId="30FC091A" w:rsidR="006D1323" w:rsidRPr="006D1323" w:rsidRDefault="000F2005" w:rsidP="00D75EDF">
            <w:r>
              <w:t>7.5 mg/kg (max dose 500 mg) BD</w:t>
            </w:r>
          </w:p>
        </w:tc>
      </w:tr>
      <w:tr w:rsidR="006D1323" w14:paraId="0FDEA7EF" w14:textId="77777777" w:rsidTr="009F0348">
        <w:tc>
          <w:tcPr>
            <w:tcW w:w="8516" w:type="dxa"/>
            <w:gridSpan w:val="2"/>
            <w:shd w:val="clear" w:color="auto" w:fill="auto"/>
          </w:tcPr>
          <w:p w14:paraId="21BDF7F8" w14:textId="77777777" w:rsidR="006D1323" w:rsidRPr="00D75EDF" w:rsidRDefault="006D1323" w:rsidP="001C3133">
            <w:pPr>
              <w:pStyle w:val="NormalWeb"/>
              <w:rPr>
                <w:rFonts w:ascii="Arial" w:hAnsi="Arial" w:cs="Arial"/>
                <w:b/>
                <w:sz w:val="22"/>
                <w:szCs w:val="22"/>
              </w:rPr>
            </w:pPr>
            <w:r w:rsidRPr="00D75EDF">
              <w:rPr>
                <w:rFonts w:ascii="Arial" w:hAnsi="Arial" w:cs="Arial"/>
                <w:b/>
                <w:sz w:val="22"/>
                <w:szCs w:val="22"/>
              </w:rPr>
              <w:t>For patients with penicillin allergy</w:t>
            </w:r>
          </w:p>
        </w:tc>
      </w:tr>
      <w:tr w:rsidR="006D1323" w:rsidRPr="00337E0D" w14:paraId="492A802B" w14:textId="77777777" w:rsidTr="009F0348">
        <w:tc>
          <w:tcPr>
            <w:tcW w:w="4258" w:type="dxa"/>
            <w:shd w:val="clear" w:color="auto" w:fill="auto"/>
          </w:tcPr>
          <w:p w14:paraId="6BDD3032" w14:textId="77777777" w:rsidR="006D1323" w:rsidRPr="006D1323" w:rsidRDefault="006D1323" w:rsidP="0057389B">
            <w:r w:rsidRPr="006D1323">
              <w:t>Oral Erythromycin</w:t>
            </w:r>
          </w:p>
        </w:tc>
        <w:tc>
          <w:tcPr>
            <w:tcW w:w="4258" w:type="dxa"/>
            <w:shd w:val="clear" w:color="auto" w:fill="auto"/>
          </w:tcPr>
          <w:p w14:paraId="1F8EED18" w14:textId="65892582" w:rsidR="006D1323" w:rsidRPr="006D1323" w:rsidRDefault="000F2005" w:rsidP="0057389B">
            <w:r>
              <w:t>2</w:t>
            </w:r>
            <w:r w:rsidR="006D1323" w:rsidRPr="006D1323">
              <w:t>0</w:t>
            </w:r>
            <w:r w:rsidR="0057389B">
              <w:t xml:space="preserve"> </w:t>
            </w:r>
            <w:r w:rsidR="006D1323" w:rsidRPr="006D1323">
              <w:t xml:space="preserve">mg/kg (max </w:t>
            </w:r>
            <w:r>
              <w:t xml:space="preserve">dose </w:t>
            </w:r>
            <w:r w:rsidR="00E37BBE">
              <w:t xml:space="preserve">500 </w:t>
            </w:r>
            <w:r w:rsidR="006D1323" w:rsidRPr="006D1323">
              <w:t>mg)</w:t>
            </w:r>
            <w:r>
              <w:t xml:space="preserve"> BD</w:t>
            </w:r>
          </w:p>
        </w:tc>
      </w:tr>
    </w:tbl>
    <w:p w14:paraId="4776C57D" w14:textId="74C0207B" w:rsidR="00D13825" w:rsidRPr="008271BD" w:rsidRDefault="00D13825">
      <w:pPr>
        <w:spacing w:after="0"/>
        <w:outlineLvl w:val="9"/>
        <w:rPr>
          <w:b/>
          <w:sz w:val="16"/>
          <w:szCs w:val="16"/>
        </w:rPr>
      </w:pPr>
    </w:p>
    <w:p w14:paraId="260BC329" w14:textId="77777777" w:rsidR="00EF6048" w:rsidRDefault="00EF6048">
      <w:pPr>
        <w:spacing w:after="0"/>
        <w:outlineLvl w:val="9"/>
        <w:rPr>
          <w:rFonts w:cs="Times New Roman"/>
          <w:b/>
          <w:sz w:val="24"/>
          <w:szCs w:val="28"/>
        </w:rPr>
      </w:pPr>
      <w:r>
        <w:br w:type="page"/>
      </w:r>
    </w:p>
    <w:p w14:paraId="328327C0" w14:textId="5B8C0795" w:rsidR="00F03F25" w:rsidRPr="005F5849" w:rsidRDefault="00F03F25" w:rsidP="005F5849">
      <w:pPr>
        <w:pStyle w:val="Heading2"/>
      </w:pPr>
      <w:r>
        <w:lastRenderedPageBreak/>
        <w:t>References</w:t>
      </w:r>
    </w:p>
    <w:p w14:paraId="4851AD7F" w14:textId="77777777" w:rsidR="003C2489" w:rsidRPr="003C2489" w:rsidRDefault="003C2489" w:rsidP="003C2489">
      <w:pPr>
        <w:rPr>
          <w:sz w:val="20"/>
          <w:szCs w:val="20"/>
        </w:rPr>
      </w:pPr>
      <w:r w:rsidRPr="003C2489">
        <w:rPr>
          <w:sz w:val="20"/>
          <w:szCs w:val="20"/>
        </w:rPr>
        <w:t xml:space="preserve">New Zealand Guidelines for Rheumatic Fever- Diagnosis, Management and Secondary Prevention of Acute Rheumatic Fever and Rheumatic Heart Disease: 2014 Update </w:t>
      </w:r>
    </w:p>
    <w:p w14:paraId="0079C3D2" w14:textId="77777777" w:rsidR="003C2489" w:rsidRPr="003C2489" w:rsidRDefault="003C2489" w:rsidP="003C2489">
      <w:pPr>
        <w:rPr>
          <w:sz w:val="20"/>
          <w:szCs w:val="20"/>
        </w:rPr>
      </w:pPr>
      <w:r w:rsidRPr="003C2489">
        <w:rPr>
          <w:sz w:val="20"/>
          <w:szCs w:val="20"/>
        </w:rPr>
        <w:t>The Australian Guideline for prevention, diagnosis and management of acute rheumatic fever and rheumatic heart disease (second edition)</w:t>
      </w:r>
    </w:p>
    <w:p w14:paraId="5A5A0B3B" w14:textId="77777777" w:rsidR="003C2489" w:rsidRPr="003C2489" w:rsidRDefault="003C2489" w:rsidP="003C2489">
      <w:pPr>
        <w:rPr>
          <w:sz w:val="20"/>
          <w:szCs w:val="20"/>
        </w:rPr>
      </w:pPr>
      <w:r w:rsidRPr="003C2489">
        <w:rPr>
          <w:sz w:val="20"/>
          <w:szCs w:val="20"/>
        </w:rPr>
        <w:t>AHA Guidelines on Prevention of Rheumatic Fever and Diagnosis and Treatment of Acute Streptococcal Pharyngitis</w:t>
      </w:r>
    </w:p>
    <w:p w14:paraId="6C98B455" w14:textId="1E0F70CE" w:rsidR="00F03F25" w:rsidRPr="005638D0" w:rsidRDefault="003C2489" w:rsidP="003C2489">
      <w:pPr>
        <w:rPr>
          <w:sz w:val="20"/>
          <w:szCs w:val="20"/>
        </w:rPr>
      </w:pPr>
      <w:r w:rsidRPr="003C2489">
        <w:rPr>
          <w:sz w:val="20"/>
          <w:szCs w:val="20"/>
        </w:rPr>
        <w:t>NICE guidelines: Sore throat (acute): antimicrobial prescribing, January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29E117CA" w14:textId="77777777" w:rsidTr="00515546">
        <w:trPr>
          <w:trHeight w:val="20"/>
        </w:trPr>
        <w:tc>
          <w:tcPr>
            <w:tcW w:w="2139" w:type="dxa"/>
            <w:shd w:val="clear" w:color="auto" w:fill="auto"/>
            <w:vAlign w:val="bottom"/>
          </w:tcPr>
          <w:p w14:paraId="11553EFC"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0E5DFC34" w14:textId="3AAF9983" w:rsidR="004C4442" w:rsidRPr="00515546" w:rsidRDefault="004C4442" w:rsidP="00522C6C">
            <w:pPr>
              <w:spacing w:after="0"/>
              <w:rPr>
                <w:szCs w:val="22"/>
              </w:rPr>
            </w:pPr>
            <w:r w:rsidRPr="00515546">
              <w:rPr>
                <w:szCs w:val="22"/>
              </w:rPr>
              <w:t>Name</w:t>
            </w:r>
            <w:r w:rsidR="005638D0">
              <w:rPr>
                <w:szCs w:val="22"/>
              </w:rPr>
              <w:t xml:space="preserve">: </w:t>
            </w:r>
            <w:r w:rsidR="009F0348">
              <w:rPr>
                <w:szCs w:val="22"/>
              </w:rPr>
              <w:t>Lucy Affleck</w:t>
            </w:r>
          </w:p>
        </w:tc>
        <w:tc>
          <w:tcPr>
            <w:tcW w:w="2869" w:type="dxa"/>
            <w:shd w:val="clear" w:color="auto" w:fill="auto"/>
            <w:vAlign w:val="bottom"/>
          </w:tcPr>
          <w:p w14:paraId="46A10246" w14:textId="26446319" w:rsidR="004C4442" w:rsidRPr="00515546" w:rsidRDefault="004C4442" w:rsidP="00522C6C">
            <w:pPr>
              <w:spacing w:after="0"/>
              <w:rPr>
                <w:szCs w:val="22"/>
              </w:rPr>
            </w:pPr>
            <w:r w:rsidRPr="00515546">
              <w:rPr>
                <w:szCs w:val="22"/>
              </w:rPr>
              <w:t xml:space="preserve">Date: </w:t>
            </w:r>
            <w:r w:rsidR="001D442B">
              <w:rPr>
                <w:szCs w:val="22"/>
              </w:rPr>
              <w:t>20 November 2018</w:t>
            </w:r>
          </w:p>
        </w:tc>
      </w:tr>
      <w:tr w:rsidR="004C4442" w:rsidRPr="00515546" w14:paraId="62CF5C21" w14:textId="77777777" w:rsidTr="00515546">
        <w:trPr>
          <w:trHeight w:val="20"/>
        </w:trPr>
        <w:tc>
          <w:tcPr>
            <w:tcW w:w="2139" w:type="dxa"/>
            <w:shd w:val="clear" w:color="auto" w:fill="auto"/>
            <w:vAlign w:val="bottom"/>
          </w:tcPr>
          <w:p w14:paraId="3B5A6A7D"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16B4098A" w14:textId="77B61344" w:rsidR="004C4442" w:rsidRPr="00515546" w:rsidRDefault="004C4442" w:rsidP="00522C6C">
            <w:pPr>
              <w:spacing w:after="0"/>
              <w:rPr>
                <w:szCs w:val="22"/>
              </w:rPr>
            </w:pPr>
            <w:r w:rsidRPr="00515546">
              <w:rPr>
                <w:szCs w:val="22"/>
              </w:rPr>
              <w:t xml:space="preserve">Name: </w:t>
            </w:r>
            <w:r w:rsidR="009F0348">
              <w:rPr>
                <w:szCs w:val="22"/>
              </w:rPr>
              <w:t>Baderinwa Abatan</w:t>
            </w:r>
          </w:p>
        </w:tc>
        <w:tc>
          <w:tcPr>
            <w:tcW w:w="2869" w:type="dxa"/>
            <w:shd w:val="clear" w:color="auto" w:fill="auto"/>
            <w:vAlign w:val="bottom"/>
          </w:tcPr>
          <w:p w14:paraId="13DEBB97" w14:textId="6D70802F" w:rsidR="004C4442" w:rsidRPr="00515546" w:rsidRDefault="004C4442" w:rsidP="00522C6C">
            <w:pPr>
              <w:spacing w:after="0"/>
              <w:rPr>
                <w:szCs w:val="22"/>
              </w:rPr>
            </w:pPr>
            <w:r w:rsidRPr="00515546">
              <w:rPr>
                <w:szCs w:val="22"/>
              </w:rPr>
              <w:t xml:space="preserve">Date: </w:t>
            </w:r>
            <w:r w:rsidR="00D30863">
              <w:rPr>
                <w:szCs w:val="22"/>
              </w:rPr>
              <w:t>28 February 2019</w:t>
            </w:r>
          </w:p>
        </w:tc>
      </w:tr>
      <w:tr w:rsidR="004C4442" w:rsidRPr="00515546" w14:paraId="4EB7F13B" w14:textId="77777777" w:rsidTr="00515546">
        <w:trPr>
          <w:trHeight w:val="20"/>
        </w:trPr>
        <w:tc>
          <w:tcPr>
            <w:tcW w:w="2139" w:type="dxa"/>
            <w:shd w:val="clear" w:color="auto" w:fill="auto"/>
            <w:vAlign w:val="bottom"/>
          </w:tcPr>
          <w:p w14:paraId="480E5ABE"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69BC156B"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6F8EA760" w14:textId="77777777" w:rsidR="004C4442" w:rsidRPr="00515546" w:rsidRDefault="004C4442" w:rsidP="00522C6C">
            <w:pPr>
              <w:spacing w:after="0"/>
              <w:rPr>
                <w:b/>
                <w:szCs w:val="22"/>
              </w:rPr>
            </w:pPr>
            <w:r w:rsidRPr="00515546">
              <w:rPr>
                <w:b/>
                <w:szCs w:val="22"/>
              </w:rPr>
              <w:t>Review due date:</w:t>
            </w:r>
          </w:p>
        </w:tc>
      </w:tr>
      <w:tr w:rsidR="004C4442" w:rsidRPr="00515546" w14:paraId="2D76AB5F" w14:textId="77777777" w:rsidTr="00515546">
        <w:trPr>
          <w:trHeight w:val="20"/>
        </w:trPr>
        <w:tc>
          <w:tcPr>
            <w:tcW w:w="2139" w:type="dxa"/>
            <w:shd w:val="clear" w:color="auto" w:fill="auto"/>
            <w:vAlign w:val="bottom"/>
          </w:tcPr>
          <w:p w14:paraId="01AE38E2"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13C8DE6A"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1C0957B6" w14:textId="02119E57" w:rsidR="004C4442" w:rsidRPr="00515546" w:rsidRDefault="00C46CA8" w:rsidP="00522C6C">
            <w:pPr>
              <w:spacing w:after="0"/>
              <w:rPr>
                <w:szCs w:val="22"/>
              </w:rPr>
            </w:pPr>
            <w:r>
              <w:rPr>
                <w:szCs w:val="22"/>
              </w:rPr>
              <w:t>31 May 2021</w:t>
            </w:r>
          </w:p>
        </w:tc>
      </w:tr>
      <w:tr w:rsidR="005638D0" w:rsidRPr="00515546" w14:paraId="71EC86F7" w14:textId="77777777" w:rsidTr="00515546">
        <w:trPr>
          <w:trHeight w:val="20"/>
        </w:trPr>
        <w:tc>
          <w:tcPr>
            <w:tcW w:w="2139" w:type="dxa"/>
            <w:shd w:val="clear" w:color="auto" w:fill="auto"/>
            <w:vAlign w:val="bottom"/>
          </w:tcPr>
          <w:p w14:paraId="3C993593"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5CA92EFA" w14:textId="77777777" w:rsidR="005638D0" w:rsidRPr="00515546" w:rsidRDefault="005638D0" w:rsidP="005638D0">
            <w:pPr>
              <w:spacing w:after="0"/>
              <w:rPr>
                <w:szCs w:val="22"/>
              </w:rPr>
            </w:pPr>
          </w:p>
        </w:tc>
        <w:tc>
          <w:tcPr>
            <w:tcW w:w="2869" w:type="dxa"/>
            <w:shd w:val="clear" w:color="auto" w:fill="auto"/>
            <w:vAlign w:val="bottom"/>
          </w:tcPr>
          <w:p w14:paraId="617C2035" w14:textId="77777777" w:rsidR="005638D0" w:rsidRPr="00515546" w:rsidRDefault="005638D0" w:rsidP="005638D0">
            <w:pPr>
              <w:spacing w:after="0"/>
              <w:rPr>
                <w:b/>
                <w:szCs w:val="22"/>
              </w:rPr>
            </w:pPr>
          </w:p>
        </w:tc>
      </w:tr>
    </w:tbl>
    <w:p w14:paraId="1A029949" w14:textId="77777777" w:rsidR="00975A60" w:rsidRPr="008271BD" w:rsidRDefault="00975A60" w:rsidP="00975A60">
      <w:pPr>
        <w:rPr>
          <w:sz w:val="16"/>
          <w:szCs w:val="16"/>
        </w:rPr>
      </w:pPr>
    </w:p>
    <w:sectPr w:rsidR="00975A60" w:rsidRPr="008271BD" w:rsidSect="00D1382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E9966" w14:textId="77777777" w:rsidR="00983913" w:rsidRDefault="00983913" w:rsidP="00975A60">
      <w:pPr>
        <w:spacing w:after="0"/>
      </w:pPr>
      <w:r>
        <w:separator/>
      </w:r>
    </w:p>
  </w:endnote>
  <w:endnote w:type="continuationSeparator" w:id="0">
    <w:p w14:paraId="35847CF7" w14:textId="77777777" w:rsidR="00983913" w:rsidRDefault="00983913"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A540"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126024"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0CAC7"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C5FB7">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C5FB7">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C967"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C5FB7">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C5FB7">
      <w:rPr>
        <w:rStyle w:val="PageNumber"/>
        <w:noProof/>
      </w:rPr>
      <w:t>5</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0645D" w14:textId="77777777" w:rsidR="00983913" w:rsidRDefault="00983913" w:rsidP="00975A60">
      <w:pPr>
        <w:spacing w:after="0"/>
      </w:pPr>
      <w:r>
        <w:separator/>
      </w:r>
    </w:p>
  </w:footnote>
  <w:footnote w:type="continuationSeparator" w:id="0">
    <w:p w14:paraId="1D790D3E" w14:textId="77777777" w:rsidR="00983913" w:rsidRDefault="00983913"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FC4EF" w14:textId="77777777" w:rsidR="00C46CA8" w:rsidRDefault="00C46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8133" w14:textId="15A8EC8D" w:rsidR="00D13825" w:rsidRPr="00F87812" w:rsidRDefault="00D13825" w:rsidP="00D13825">
    <w:pPr>
      <w:pStyle w:val="Header"/>
    </w:pPr>
    <w:r w:rsidRPr="00F87812">
      <w:t>Identification code: MeG-CLS-</w:t>
    </w:r>
    <w:r w:rsidR="00440FFD">
      <w:t>048</w:t>
    </w:r>
    <w:r w:rsidRPr="00F87812">
      <w:tab/>
    </w:r>
  </w:p>
  <w:p w14:paraId="3D144DF4" w14:textId="01A853D6" w:rsidR="005D1877" w:rsidRPr="00440FFD" w:rsidRDefault="00D13825" w:rsidP="00D13825">
    <w:pPr>
      <w:pStyle w:val="Header"/>
    </w:pPr>
    <w:r w:rsidRPr="00440FFD">
      <w:t>Version: 1.</w:t>
    </w:r>
    <w:r w:rsidR="00C46CA8">
      <w:t>0</w:t>
    </w:r>
    <w:r w:rsidRPr="00440FFD">
      <w:t xml:space="preserve"> </w:t>
    </w:r>
    <w:r w:rsidR="00EA12C7">
      <w:t xml:space="preserve">– </w:t>
    </w:r>
    <w:r w:rsidR="00C46CA8">
      <w:t>31 May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AA4C0"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66B67E7A" wp14:editId="021F0D41">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FEF46C6"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697AD86B" w14:textId="77777777" w:rsidR="00D13825" w:rsidRPr="003C0800" w:rsidRDefault="00D13825" w:rsidP="00D13825">
    <w:pPr>
      <w:pStyle w:val="Header"/>
      <w:ind w:firstLine="2880"/>
      <w:rPr>
        <w:rFonts w:cs="Arial"/>
        <w:b/>
      </w:rPr>
    </w:pPr>
  </w:p>
  <w:p w14:paraId="28CD6D72" w14:textId="1C02C9F9" w:rsidR="00D13825" w:rsidRPr="00F87812" w:rsidRDefault="00D13825" w:rsidP="00D13825">
    <w:pPr>
      <w:pStyle w:val="Header"/>
    </w:pPr>
    <w:r w:rsidRPr="00F87812">
      <w:t>Identification code: MeG-CLS-</w:t>
    </w:r>
    <w:r w:rsidR="00440FFD">
      <w:t>048</w:t>
    </w:r>
    <w:r w:rsidRPr="00F87812">
      <w:tab/>
    </w:r>
  </w:p>
  <w:p w14:paraId="6BEC6975" w14:textId="1C830EFD" w:rsidR="00D13825" w:rsidRPr="00440FFD" w:rsidRDefault="00D13825" w:rsidP="00D13825">
    <w:pPr>
      <w:pStyle w:val="Header"/>
    </w:pPr>
    <w:r w:rsidRPr="00440FFD">
      <w:t>Version: 1.</w:t>
    </w:r>
    <w:r w:rsidR="00C46CA8">
      <w:t>0</w:t>
    </w:r>
    <w:r w:rsidRPr="00440FFD">
      <w:t xml:space="preserve"> </w:t>
    </w:r>
    <w:r w:rsidR="00EA12C7">
      <w:t xml:space="preserve">– </w:t>
    </w:r>
    <w:r w:rsidR="00C46CA8">
      <w:t>31 May 2019</w:t>
    </w:r>
  </w:p>
  <w:p w14:paraId="67968C70"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2DE3C66"/>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BC8AA54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A22370"/>
    <w:multiLevelType w:val="hybridMultilevel"/>
    <w:tmpl w:val="728ABB1A"/>
    <w:lvl w:ilvl="0" w:tplc="127C9B5A">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3400F4"/>
    <w:multiLevelType w:val="hybridMultilevel"/>
    <w:tmpl w:val="4AB67584"/>
    <w:lvl w:ilvl="0" w:tplc="127C9B5A">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1580817"/>
    <w:multiLevelType w:val="hybridMultilevel"/>
    <w:tmpl w:val="2CBC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97283F"/>
    <w:multiLevelType w:val="hybridMultilevel"/>
    <w:tmpl w:val="8AF6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A2D1F"/>
    <w:multiLevelType w:val="hybridMultilevel"/>
    <w:tmpl w:val="94981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CB6E08"/>
    <w:multiLevelType w:val="hybridMultilevel"/>
    <w:tmpl w:val="03BE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BD7782"/>
    <w:multiLevelType w:val="hybridMultilevel"/>
    <w:tmpl w:val="06C0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69498A"/>
    <w:multiLevelType w:val="hybridMultilevel"/>
    <w:tmpl w:val="F6BC1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441074"/>
    <w:multiLevelType w:val="hybridMultilevel"/>
    <w:tmpl w:val="C394A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1360D8"/>
    <w:multiLevelType w:val="hybridMultilevel"/>
    <w:tmpl w:val="1C1E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006DF4"/>
    <w:multiLevelType w:val="hybridMultilevel"/>
    <w:tmpl w:val="D4A8C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5F2B37DE"/>
    <w:multiLevelType w:val="hybridMultilevel"/>
    <w:tmpl w:val="E6A8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020509"/>
    <w:multiLevelType w:val="hybridMultilevel"/>
    <w:tmpl w:val="B2726B2E"/>
    <w:lvl w:ilvl="0" w:tplc="127C9B5A">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3C5F04"/>
    <w:multiLevelType w:val="hybridMultilevel"/>
    <w:tmpl w:val="C40EE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B236F43"/>
    <w:multiLevelType w:val="hybridMultilevel"/>
    <w:tmpl w:val="72F6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832DC8"/>
    <w:multiLevelType w:val="hybridMultilevel"/>
    <w:tmpl w:val="2C74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A0195F"/>
    <w:multiLevelType w:val="hybridMultilevel"/>
    <w:tmpl w:val="330CB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413DCD"/>
    <w:multiLevelType w:val="hybridMultilevel"/>
    <w:tmpl w:val="5E9AA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4"/>
  </w:num>
  <w:num w:numId="4">
    <w:abstractNumId w:val="1"/>
  </w:num>
  <w:num w:numId="5">
    <w:abstractNumId w:val="0"/>
  </w:num>
  <w:num w:numId="6">
    <w:abstractNumId w:val="6"/>
  </w:num>
  <w:num w:numId="7">
    <w:abstractNumId w:val="22"/>
  </w:num>
  <w:num w:numId="8">
    <w:abstractNumId w:val="2"/>
  </w:num>
  <w:num w:numId="9">
    <w:abstractNumId w:val="42"/>
  </w:num>
  <w:num w:numId="10">
    <w:abstractNumId w:val="5"/>
  </w:num>
  <w:num w:numId="11">
    <w:abstractNumId w:val="15"/>
  </w:num>
  <w:num w:numId="12">
    <w:abstractNumId w:val="30"/>
  </w:num>
  <w:num w:numId="13">
    <w:abstractNumId w:val="36"/>
  </w:num>
  <w:num w:numId="14">
    <w:abstractNumId w:val="33"/>
  </w:num>
  <w:num w:numId="15">
    <w:abstractNumId w:val="40"/>
  </w:num>
  <w:num w:numId="16">
    <w:abstractNumId w:val="17"/>
  </w:num>
  <w:num w:numId="17">
    <w:abstractNumId w:val="11"/>
  </w:num>
  <w:num w:numId="18">
    <w:abstractNumId w:val="34"/>
  </w:num>
  <w:num w:numId="19">
    <w:abstractNumId w:val="19"/>
  </w:num>
  <w:num w:numId="20">
    <w:abstractNumId w:val="37"/>
  </w:num>
  <w:num w:numId="21">
    <w:abstractNumId w:val="21"/>
  </w:num>
  <w:num w:numId="22">
    <w:abstractNumId w:val="13"/>
  </w:num>
  <w:num w:numId="23">
    <w:abstractNumId w:val="29"/>
  </w:num>
  <w:num w:numId="24">
    <w:abstractNumId w:val="32"/>
  </w:num>
  <w:num w:numId="25">
    <w:abstractNumId w:val="12"/>
  </w:num>
  <w:num w:numId="26">
    <w:abstractNumId w:val="10"/>
  </w:num>
  <w:num w:numId="27">
    <w:abstractNumId w:val="35"/>
  </w:num>
  <w:num w:numId="28">
    <w:abstractNumId w:val="28"/>
  </w:num>
  <w:num w:numId="29">
    <w:abstractNumId w:val="38"/>
  </w:num>
  <w:num w:numId="30">
    <w:abstractNumId w:val="7"/>
  </w:num>
  <w:num w:numId="31">
    <w:abstractNumId w:val="41"/>
  </w:num>
  <w:num w:numId="32">
    <w:abstractNumId w:val="8"/>
  </w:num>
  <w:num w:numId="33">
    <w:abstractNumId w:val="4"/>
  </w:num>
  <w:num w:numId="34">
    <w:abstractNumId w:val="27"/>
  </w:num>
  <w:num w:numId="35">
    <w:abstractNumId w:val="3"/>
  </w:num>
  <w:num w:numId="36">
    <w:abstractNumId w:val="24"/>
  </w:num>
  <w:num w:numId="37">
    <w:abstractNumId w:val="9"/>
  </w:num>
  <w:num w:numId="38">
    <w:abstractNumId w:val="26"/>
  </w:num>
  <w:num w:numId="39">
    <w:abstractNumId w:val="23"/>
  </w:num>
  <w:num w:numId="40">
    <w:abstractNumId w:val="18"/>
  </w:num>
  <w:num w:numId="41">
    <w:abstractNumId w:val="25"/>
  </w:num>
  <w:num w:numId="42">
    <w:abstractNumId w:val="16"/>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NLcwMDEysDA2NLNU0lEKTi0uzszPAykwrQUAxuiEMiwAAAA="/>
  </w:docVars>
  <w:rsids>
    <w:rsidRoot w:val="00B6274B"/>
    <w:rsid w:val="000039D9"/>
    <w:rsid w:val="00005BCE"/>
    <w:rsid w:val="000217B7"/>
    <w:rsid w:val="00056AD5"/>
    <w:rsid w:val="0007147C"/>
    <w:rsid w:val="00081642"/>
    <w:rsid w:val="000B47C0"/>
    <w:rsid w:val="000F2005"/>
    <w:rsid w:val="00114AAF"/>
    <w:rsid w:val="001203AE"/>
    <w:rsid w:val="001300F5"/>
    <w:rsid w:val="00175153"/>
    <w:rsid w:val="001B6D1B"/>
    <w:rsid w:val="001C1450"/>
    <w:rsid w:val="001C6A21"/>
    <w:rsid w:val="001D442B"/>
    <w:rsid w:val="001E073F"/>
    <w:rsid w:val="00223920"/>
    <w:rsid w:val="00252A11"/>
    <w:rsid w:val="00252AC9"/>
    <w:rsid w:val="00260234"/>
    <w:rsid w:val="002614E9"/>
    <w:rsid w:val="0029357D"/>
    <w:rsid w:val="002A2856"/>
    <w:rsid w:val="002C4007"/>
    <w:rsid w:val="003020A2"/>
    <w:rsid w:val="003038D3"/>
    <w:rsid w:val="003225CD"/>
    <w:rsid w:val="003807F2"/>
    <w:rsid w:val="003C0800"/>
    <w:rsid w:val="003C2489"/>
    <w:rsid w:val="003F35A8"/>
    <w:rsid w:val="003F70CA"/>
    <w:rsid w:val="004102DE"/>
    <w:rsid w:val="00413465"/>
    <w:rsid w:val="00416F67"/>
    <w:rsid w:val="00440FFD"/>
    <w:rsid w:val="004A25F0"/>
    <w:rsid w:val="004A4C93"/>
    <w:rsid w:val="004C4442"/>
    <w:rsid w:val="005151D8"/>
    <w:rsid w:val="00515546"/>
    <w:rsid w:val="005638D0"/>
    <w:rsid w:val="0057389B"/>
    <w:rsid w:val="005B60A1"/>
    <w:rsid w:val="005D1877"/>
    <w:rsid w:val="005F5849"/>
    <w:rsid w:val="006256AD"/>
    <w:rsid w:val="00633320"/>
    <w:rsid w:val="0064111B"/>
    <w:rsid w:val="00650420"/>
    <w:rsid w:val="006D1323"/>
    <w:rsid w:val="007067BE"/>
    <w:rsid w:val="00765EED"/>
    <w:rsid w:val="007A6CD5"/>
    <w:rsid w:val="007B26B1"/>
    <w:rsid w:val="007F0CF0"/>
    <w:rsid w:val="00805754"/>
    <w:rsid w:val="008271BD"/>
    <w:rsid w:val="008526C7"/>
    <w:rsid w:val="0085614C"/>
    <w:rsid w:val="00856A47"/>
    <w:rsid w:val="00857027"/>
    <w:rsid w:val="00892281"/>
    <w:rsid w:val="009165E9"/>
    <w:rsid w:val="00931E3E"/>
    <w:rsid w:val="009325A7"/>
    <w:rsid w:val="009412DD"/>
    <w:rsid w:val="00954B70"/>
    <w:rsid w:val="00975A60"/>
    <w:rsid w:val="00983913"/>
    <w:rsid w:val="009956F9"/>
    <w:rsid w:val="009B44BE"/>
    <w:rsid w:val="009E353A"/>
    <w:rsid w:val="009F0348"/>
    <w:rsid w:val="009F5B1B"/>
    <w:rsid w:val="00A312D8"/>
    <w:rsid w:val="00A41080"/>
    <w:rsid w:val="00AB6EF5"/>
    <w:rsid w:val="00AC0C24"/>
    <w:rsid w:val="00B31AC4"/>
    <w:rsid w:val="00B6274B"/>
    <w:rsid w:val="00B66772"/>
    <w:rsid w:val="00B7130A"/>
    <w:rsid w:val="00B844E8"/>
    <w:rsid w:val="00BD08AB"/>
    <w:rsid w:val="00C46CA8"/>
    <w:rsid w:val="00C67021"/>
    <w:rsid w:val="00C850C5"/>
    <w:rsid w:val="00CC3CF5"/>
    <w:rsid w:val="00CD27A2"/>
    <w:rsid w:val="00CD4A1D"/>
    <w:rsid w:val="00D03AB2"/>
    <w:rsid w:val="00D13825"/>
    <w:rsid w:val="00D30863"/>
    <w:rsid w:val="00D75EDF"/>
    <w:rsid w:val="00DA20ED"/>
    <w:rsid w:val="00DB687D"/>
    <w:rsid w:val="00DC1CC5"/>
    <w:rsid w:val="00DC590C"/>
    <w:rsid w:val="00DE3D6D"/>
    <w:rsid w:val="00DF345F"/>
    <w:rsid w:val="00E162DA"/>
    <w:rsid w:val="00E23EDC"/>
    <w:rsid w:val="00E37BBE"/>
    <w:rsid w:val="00E417B1"/>
    <w:rsid w:val="00E60A93"/>
    <w:rsid w:val="00EA12C7"/>
    <w:rsid w:val="00EF2ECE"/>
    <w:rsid w:val="00EF6048"/>
    <w:rsid w:val="00F03F25"/>
    <w:rsid w:val="00F441DB"/>
    <w:rsid w:val="00F53968"/>
    <w:rsid w:val="00F71F11"/>
    <w:rsid w:val="00FC5FB7"/>
    <w:rsid w:val="00FE1957"/>
    <w:rsid w:val="00FF4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CD9F3"/>
  <w15:docId w15:val="{933253A3-7226-4FE2-B8AD-F2C75C7E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AD5"/>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NormalWeb">
    <w:name w:val="Normal (Web)"/>
    <w:basedOn w:val="Normal"/>
    <w:uiPriority w:val="99"/>
    <w:semiHidden/>
    <w:unhideWhenUsed/>
    <w:rsid w:val="006D1323"/>
    <w:pPr>
      <w:spacing w:before="100" w:beforeAutospacing="1" w:after="100" w:afterAutospacing="1"/>
      <w:outlineLvl w:val="9"/>
    </w:pPr>
    <w:rPr>
      <w:rFonts w:ascii="Times New Roman" w:eastAsiaTheme="minorEastAsia" w:hAnsi="Times New Roman" w:cs="Times New Roman"/>
      <w:sz w:val="20"/>
      <w:szCs w:val="20"/>
      <w:lang w:val="en-GB"/>
    </w:rPr>
  </w:style>
  <w:style w:type="table" w:customStyle="1" w:styleId="TableGrid1">
    <w:name w:val="Table Grid1"/>
    <w:basedOn w:val="TableNormal"/>
    <w:next w:val="TableGrid"/>
    <w:uiPriority w:val="59"/>
    <w:rsid w:val="006D1323"/>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9E353A"/>
    <w:rPr>
      <w:rFonts w:ascii="Arial" w:hAnsi="Arial"/>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agboghoroma\Documents\Creating%20New%20CSD%20guidelin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2</TotalTime>
  <Pages>5</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Agboghoroma Orighomisan</dc:creator>
  <cp:lastModifiedBy>Karen Forrest</cp:lastModifiedBy>
  <cp:revision>3</cp:revision>
  <cp:lastPrinted>2019-05-31T09:30:00Z</cp:lastPrinted>
  <dcterms:created xsi:type="dcterms:W3CDTF">2019-05-28T08:55:00Z</dcterms:created>
  <dcterms:modified xsi:type="dcterms:W3CDTF">2019-05-31T09:30:00Z</dcterms:modified>
</cp:coreProperties>
</file>