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A9B" w14:textId="2C5DCE34" w:rsidR="001203AE" w:rsidRPr="003C0800" w:rsidRDefault="0034668D" w:rsidP="001203AE">
      <w:pPr>
        <w:pStyle w:val="Heading1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Bone and Joint infections</w:t>
      </w:r>
    </w:p>
    <w:p w14:paraId="325BF7B8" w14:textId="77777777" w:rsidR="00955118" w:rsidRPr="003D0A6E" w:rsidRDefault="00955118" w:rsidP="00955118">
      <w:pPr>
        <w:pStyle w:val="Heading2"/>
        <w:rPr>
          <w:i/>
        </w:rPr>
      </w:pPr>
      <w:r w:rsidRPr="003D0A6E">
        <w:rPr>
          <w:i/>
        </w:rPr>
        <w:t>Executive summary</w:t>
      </w:r>
    </w:p>
    <w:p w14:paraId="0D3B15B4" w14:textId="77777777" w:rsidR="00955118" w:rsidRDefault="00955118" w:rsidP="00955118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5D1052F6" w14:textId="3788AD2D" w:rsidR="00232226" w:rsidRDefault="00232226" w:rsidP="00232226">
      <w:r>
        <w:t>Bone and joint infections are serious conditions requiring prompt diagnosis and treatment to prevent disability and mortality. They consist of osteomyelitis</w:t>
      </w:r>
      <w:r w:rsidR="00361710">
        <w:t xml:space="preserve"> </w:t>
      </w:r>
      <w:r>
        <w:t xml:space="preserve">(OM) and septic arthritis (SA). Both are bacterial infections that occur by a hematogenous spread from other parts of the body. They may result in sepsis and bone loss. These </w:t>
      </w:r>
      <w:proofErr w:type="gramStart"/>
      <w:r>
        <w:t>infections  frequently</w:t>
      </w:r>
      <w:proofErr w:type="gramEnd"/>
      <w:r>
        <w:t xml:space="preserve"> occur in the lower limbs but can occur in the upper limbs and vertebrae. </w:t>
      </w:r>
    </w:p>
    <w:p w14:paraId="564B937D" w14:textId="1E7DDC43" w:rsidR="00232226" w:rsidRDefault="00232226" w:rsidP="00232226">
      <w:r>
        <w:t xml:space="preserve">The most common causative organism is </w:t>
      </w:r>
      <w:r>
        <w:rPr>
          <w:i/>
        </w:rPr>
        <w:t>S</w:t>
      </w:r>
      <w:r w:rsidRPr="00766B0B">
        <w:rPr>
          <w:i/>
        </w:rPr>
        <w:t>taphylococcus aureus</w:t>
      </w:r>
      <w:r>
        <w:t xml:space="preserve"> in all ages. </w:t>
      </w:r>
      <w:r w:rsidRPr="00766B0B">
        <w:rPr>
          <w:i/>
        </w:rPr>
        <w:t>Hemophilus influenza</w:t>
      </w:r>
      <w:r>
        <w:t xml:space="preserve"> is also common in children aged less than 5 years. In sexually active adults and adolescents, </w:t>
      </w:r>
      <w:r w:rsidRPr="00766B0B">
        <w:rPr>
          <w:i/>
        </w:rPr>
        <w:t xml:space="preserve">Neisseria </w:t>
      </w:r>
      <w:proofErr w:type="spellStart"/>
      <w:r w:rsidRPr="00766B0B">
        <w:rPr>
          <w:i/>
        </w:rPr>
        <w:t>gonorrhoea</w:t>
      </w:r>
      <w:proofErr w:type="spellEnd"/>
      <w:r>
        <w:t xml:space="preserve"> could be suspected. Bone and joint infections in sickle cell disease patients may be caused by </w:t>
      </w:r>
      <w:r>
        <w:rPr>
          <w:i/>
        </w:rPr>
        <w:t>S</w:t>
      </w:r>
      <w:r w:rsidRPr="00097271">
        <w:rPr>
          <w:i/>
        </w:rPr>
        <w:t xml:space="preserve">almonella </w:t>
      </w:r>
      <w:proofErr w:type="spellStart"/>
      <w:r w:rsidRPr="00097271">
        <w:rPr>
          <w:i/>
        </w:rPr>
        <w:t>spp</w:t>
      </w:r>
      <w:proofErr w:type="spellEnd"/>
    </w:p>
    <w:p w14:paraId="2C66005F" w14:textId="112E188C" w:rsidR="00232226" w:rsidRDefault="00232226" w:rsidP="00232226">
      <w:r>
        <w:t>Osteomyelitis</w:t>
      </w:r>
      <w:r w:rsidR="00361710">
        <w:t xml:space="preserve"> </w:t>
      </w:r>
      <w:r>
        <w:t xml:space="preserve">is an infection of the bone that may be acute or chronic. Acute osteomyelitis is a medical emergency requiring a long duration of treatment with intravenous antibiotics. A chronic OM is managed by the </w:t>
      </w:r>
      <w:proofErr w:type="spellStart"/>
      <w:r>
        <w:t>orthopaedic</w:t>
      </w:r>
      <w:proofErr w:type="spellEnd"/>
      <w:r>
        <w:t xml:space="preserve"> surgeons and its presentation is insidious in onset, occurring over weeks and with draining sinuses on the skin.</w:t>
      </w:r>
    </w:p>
    <w:p w14:paraId="60290DCF" w14:textId="77777777" w:rsidR="00232226" w:rsidRDefault="00232226" w:rsidP="00232226">
      <w:r>
        <w:t xml:space="preserve">Septic arthritis is an acute bacterial joint infection and an orthopedic emergency requiring arthrocentesis and intravenous antibiotics to prevent joint deformity and disability. </w:t>
      </w:r>
    </w:p>
    <w:p w14:paraId="0A20A285" w14:textId="77777777" w:rsidR="00955118" w:rsidRDefault="00955118" w:rsidP="00955118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2107895B" w14:textId="2CBFA406" w:rsidR="00955118" w:rsidRDefault="00882F9E" w:rsidP="00955118">
      <w:pPr>
        <w:pStyle w:val="ListParagraph"/>
        <w:numPr>
          <w:ilvl w:val="0"/>
          <w:numId w:val="36"/>
        </w:numPr>
      </w:pPr>
      <w:r>
        <w:t>Doctors</w:t>
      </w:r>
    </w:p>
    <w:p w14:paraId="392D3503" w14:textId="3CE0DB23" w:rsidR="00955118" w:rsidRPr="00584E1E" w:rsidRDefault="00882F9E" w:rsidP="00955118">
      <w:pPr>
        <w:pStyle w:val="ListParagraph"/>
        <w:numPr>
          <w:ilvl w:val="0"/>
          <w:numId w:val="36"/>
        </w:numPr>
      </w:pPr>
      <w:r>
        <w:t>Nurses</w:t>
      </w:r>
    </w:p>
    <w:p w14:paraId="16577C79" w14:textId="77777777" w:rsidR="00955118" w:rsidRDefault="00955118" w:rsidP="00955118">
      <w:pPr>
        <w:pStyle w:val="Heading2"/>
        <w:rPr>
          <w:bCs/>
        </w:rPr>
      </w:pPr>
      <w:r w:rsidRPr="00612AEE">
        <w:t xml:space="preserve">Target area of use </w:t>
      </w:r>
    </w:p>
    <w:p w14:paraId="354EF344" w14:textId="37A5C4EC" w:rsidR="00955118" w:rsidRDefault="00882F9E" w:rsidP="00955118">
      <w:pPr>
        <w:pStyle w:val="ListParagraph"/>
        <w:numPr>
          <w:ilvl w:val="0"/>
          <w:numId w:val="36"/>
        </w:numPr>
      </w:pPr>
      <w:r>
        <w:t>Outpatients</w:t>
      </w:r>
    </w:p>
    <w:p w14:paraId="30D75238" w14:textId="0D87115C" w:rsidR="00955118" w:rsidRPr="00584E1E" w:rsidRDefault="00882F9E" w:rsidP="00955118">
      <w:pPr>
        <w:pStyle w:val="ListParagraph"/>
        <w:numPr>
          <w:ilvl w:val="0"/>
          <w:numId w:val="36"/>
        </w:numPr>
      </w:pPr>
      <w:r>
        <w:t>Ward</w:t>
      </w:r>
    </w:p>
    <w:p w14:paraId="4F79F201" w14:textId="77777777" w:rsidR="00955118" w:rsidRDefault="00955118" w:rsidP="00955118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1445EB08" w14:textId="13613615" w:rsidR="00955118" w:rsidRPr="00584E1E" w:rsidRDefault="00882F9E" w:rsidP="00955118">
      <w:pPr>
        <w:rPr>
          <w:b/>
        </w:rPr>
      </w:pPr>
      <w:r>
        <w:t xml:space="preserve">This guideline outlines the diagnosis and management of </w:t>
      </w:r>
      <w:r w:rsidR="00330EB8">
        <w:t xml:space="preserve">bone and joint infections. </w:t>
      </w:r>
    </w:p>
    <w:p w14:paraId="59563D23" w14:textId="77777777" w:rsidR="00955118" w:rsidRPr="003D0A6E" w:rsidRDefault="00955118" w:rsidP="00955118">
      <w:pPr>
        <w:pStyle w:val="Heading2"/>
      </w:pPr>
      <w:r w:rsidRPr="003D0A6E">
        <w:t>Limitations</w:t>
      </w:r>
    </w:p>
    <w:p w14:paraId="5C74607F" w14:textId="6A913F67" w:rsidR="00955118" w:rsidRPr="00B761B1" w:rsidRDefault="002E4C5B" w:rsidP="00955118">
      <w:pPr>
        <w:rPr>
          <w:b/>
        </w:rPr>
      </w:pPr>
      <w:r>
        <w:t xml:space="preserve">Patients with suspected septic arthritis must be referred to the </w:t>
      </w:r>
      <w:proofErr w:type="spellStart"/>
      <w:r>
        <w:t>orthopaedic</w:t>
      </w:r>
      <w:proofErr w:type="spellEnd"/>
      <w:r>
        <w:t xml:space="preserve"> surgeons as soon as possible. </w:t>
      </w:r>
    </w:p>
    <w:p w14:paraId="52CD8B0B" w14:textId="77777777" w:rsidR="00955118" w:rsidRPr="00DA0C63" w:rsidRDefault="00955118" w:rsidP="00DA0C63"/>
    <w:p w14:paraId="76555774" w14:textId="77777777" w:rsidR="00955118" w:rsidRDefault="00955118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4816F0E" w14:textId="16D7F817" w:rsidR="00BE0C38" w:rsidRDefault="00975A60" w:rsidP="00BE0C38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08E708E3" w14:textId="1966F1B8" w:rsidR="00BE0C38" w:rsidRDefault="00BE0C38" w:rsidP="00BE0C38">
      <w:r>
        <w:t xml:space="preserve">The symptoms and signs of OM and SA </w:t>
      </w:r>
      <w:r w:rsidR="00766B0B">
        <w:t>are of an acute onset (usually within days)</w:t>
      </w:r>
      <w:r>
        <w:t xml:space="preserve"> </w:t>
      </w:r>
      <w:r w:rsidR="003C6F8A">
        <w:t>and include</w:t>
      </w:r>
      <w:r w:rsidR="00766B0B">
        <w:t>:</w:t>
      </w:r>
    </w:p>
    <w:p w14:paraId="6199A9AA" w14:textId="37EC497D" w:rsidR="00BE0C38" w:rsidRPr="00BE0C38" w:rsidRDefault="00BE0C38" w:rsidP="00BE0C38">
      <w:pPr>
        <w:pStyle w:val="ListParagraph"/>
        <w:numPr>
          <w:ilvl w:val="0"/>
          <w:numId w:val="25"/>
        </w:numPr>
      </w:pPr>
      <w:r>
        <w:rPr>
          <w:sz w:val="23"/>
          <w:szCs w:val="23"/>
        </w:rPr>
        <w:t>Fever (some babies may be apyrexial)</w:t>
      </w:r>
    </w:p>
    <w:p w14:paraId="516E1994" w14:textId="5B5D2429" w:rsidR="00BE0C38" w:rsidRPr="00BE0C38" w:rsidRDefault="00BE0C38" w:rsidP="00BE0C38">
      <w:pPr>
        <w:pStyle w:val="ListParagraph"/>
        <w:numPr>
          <w:ilvl w:val="0"/>
          <w:numId w:val="25"/>
        </w:numPr>
      </w:pPr>
      <w:r>
        <w:rPr>
          <w:sz w:val="23"/>
          <w:szCs w:val="23"/>
        </w:rPr>
        <w:t>Swelling</w:t>
      </w:r>
      <w:r w:rsidR="0002203D">
        <w:rPr>
          <w:sz w:val="23"/>
          <w:szCs w:val="23"/>
        </w:rPr>
        <w:t xml:space="preserve"> of the limb or joint </w:t>
      </w:r>
    </w:p>
    <w:p w14:paraId="214727A4" w14:textId="77777777" w:rsidR="0002203D" w:rsidRDefault="00BE0C38" w:rsidP="00BE0C38">
      <w:pPr>
        <w:pStyle w:val="ListParagraph"/>
        <w:numPr>
          <w:ilvl w:val="0"/>
          <w:numId w:val="25"/>
        </w:numPr>
        <w:rPr>
          <w:sz w:val="23"/>
          <w:szCs w:val="23"/>
        </w:rPr>
      </w:pPr>
      <w:r w:rsidRPr="00BE0C38">
        <w:rPr>
          <w:sz w:val="23"/>
          <w:szCs w:val="23"/>
        </w:rPr>
        <w:t xml:space="preserve">Limping or </w:t>
      </w:r>
      <w:r w:rsidR="003C6F8A">
        <w:rPr>
          <w:sz w:val="23"/>
          <w:szCs w:val="23"/>
        </w:rPr>
        <w:t xml:space="preserve">refusal to use affected limb </w:t>
      </w:r>
    </w:p>
    <w:p w14:paraId="7F9667A6" w14:textId="7ECC1141" w:rsidR="00BE0C38" w:rsidRPr="00BE0C38" w:rsidRDefault="0002203D" w:rsidP="00BE0C38">
      <w:pPr>
        <w:pStyle w:val="ListParagraph"/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>Movement restriction at the joint(s)</w:t>
      </w:r>
      <w:r w:rsidR="007B46D0">
        <w:rPr>
          <w:sz w:val="23"/>
          <w:szCs w:val="23"/>
        </w:rPr>
        <w:t xml:space="preserve"> –</w:t>
      </w:r>
      <w:r>
        <w:rPr>
          <w:sz w:val="23"/>
          <w:szCs w:val="23"/>
        </w:rPr>
        <w:t xml:space="preserve"> OA </w:t>
      </w:r>
    </w:p>
    <w:p w14:paraId="50D3024E" w14:textId="711885E6" w:rsidR="003C6F8A" w:rsidRDefault="003C6F8A" w:rsidP="0002203D">
      <w:pPr>
        <w:pStyle w:val="ListParagraph"/>
        <w:numPr>
          <w:ilvl w:val="0"/>
          <w:numId w:val="25"/>
        </w:numPr>
      </w:pPr>
      <w:r>
        <w:t xml:space="preserve">Malaise </w:t>
      </w:r>
    </w:p>
    <w:p w14:paraId="54D5CE60" w14:textId="3834C665" w:rsidR="00CC5677" w:rsidRPr="0002203D" w:rsidRDefault="00CC5677" w:rsidP="00CC5677">
      <w:r>
        <w:t xml:space="preserve">There may be no preceding history of trauma or penetrative injury to the affected limb. </w:t>
      </w:r>
    </w:p>
    <w:p w14:paraId="6CB07932" w14:textId="02C8682A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  <w:r w:rsidR="003C6F8A">
        <w:rPr>
          <w:rFonts w:cs="Arial"/>
          <w:szCs w:val="22"/>
        </w:rPr>
        <w:t>:</w:t>
      </w:r>
    </w:p>
    <w:p w14:paraId="49266641" w14:textId="2E5D45EE" w:rsidR="001203AE" w:rsidRDefault="003C6F8A" w:rsidP="003C6F8A">
      <w:pPr>
        <w:pStyle w:val="ListParagraph"/>
        <w:numPr>
          <w:ilvl w:val="0"/>
          <w:numId w:val="26"/>
        </w:numPr>
      </w:pPr>
      <w:r>
        <w:t xml:space="preserve">Fever </w:t>
      </w:r>
    </w:p>
    <w:p w14:paraId="52EA9DB8" w14:textId="75BEEA70" w:rsidR="00D011AA" w:rsidRDefault="003C6F8A" w:rsidP="003C6F8A">
      <w:pPr>
        <w:pStyle w:val="ListParagraph"/>
        <w:numPr>
          <w:ilvl w:val="0"/>
          <w:numId w:val="26"/>
        </w:numPr>
      </w:pPr>
      <w:r>
        <w:t>Tender joint or limb swelling, no</w:t>
      </w:r>
      <w:r w:rsidR="00DC454C">
        <w:t xml:space="preserve">n-pitting </w:t>
      </w:r>
      <w:r w:rsidR="00D011AA">
        <w:t xml:space="preserve">with differential warmth </w:t>
      </w:r>
    </w:p>
    <w:p w14:paraId="7FC0EDC9" w14:textId="77777777" w:rsidR="00D011AA" w:rsidRDefault="00D011AA" w:rsidP="003C6F8A">
      <w:pPr>
        <w:pStyle w:val="ListParagraph"/>
        <w:numPr>
          <w:ilvl w:val="0"/>
          <w:numId w:val="26"/>
        </w:numPr>
      </w:pPr>
      <w:r>
        <w:t xml:space="preserve">Joint movement restriction </w:t>
      </w:r>
    </w:p>
    <w:p w14:paraId="35D663DA" w14:textId="77777777" w:rsidR="0002203D" w:rsidRDefault="00D011AA" w:rsidP="003C6F8A">
      <w:pPr>
        <w:pStyle w:val="ListParagraph"/>
        <w:numPr>
          <w:ilvl w:val="0"/>
          <w:numId w:val="26"/>
        </w:numPr>
      </w:pPr>
      <w:r>
        <w:t xml:space="preserve">Painful gait </w:t>
      </w:r>
    </w:p>
    <w:p w14:paraId="6FC5730C" w14:textId="5BABE655" w:rsidR="0002203D" w:rsidRPr="0002203D" w:rsidRDefault="0002203D" w:rsidP="00AE1E48">
      <w:pPr>
        <w:pStyle w:val="Heading2"/>
      </w:pPr>
      <w:r w:rsidRPr="0002203D">
        <w:t xml:space="preserve">Differential </w:t>
      </w:r>
      <w:proofErr w:type="gramStart"/>
      <w:r w:rsidRPr="0002203D">
        <w:t>diagnoses :</w:t>
      </w:r>
      <w:proofErr w:type="gramEnd"/>
    </w:p>
    <w:p w14:paraId="04DB92AB" w14:textId="677F5305" w:rsidR="0002203D" w:rsidRPr="003C6F8A" w:rsidRDefault="00CC5677" w:rsidP="0002203D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 Acute </w:t>
      </w:r>
      <w:r w:rsidR="0002203D">
        <w:rPr>
          <w:szCs w:val="22"/>
        </w:rPr>
        <w:t>OM</w:t>
      </w:r>
    </w:p>
    <w:p w14:paraId="76964E9C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Traumatic or stress fracture</w:t>
      </w:r>
    </w:p>
    <w:p w14:paraId="5FBB1D45" w14:textId="77777777" w:rsidR="00CC5677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Cellulitis</w:t>
      </w:r>
    </w:p>
    <w:p w14:paraId="7F52A21E" w14:textId="5586159F" w:rsidR="0002203D" w:rsidRPr="003C6F8A" w:rsidRDefault="00CC5677" w:rsidP="0002203D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P</w:t>
      </w:r>
      <w:r w:rsidR="0002203D" w:rsidRPr="003C6F8A">
        <w:rPr>
          <w:szCs w:val="22"/>
        </w:rPr>
        <w:t>yomyositis</w:t>
      </w:r>
    </w:p>
    <w:p w14:paraId="20224506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proofErr w:type="spellStart"/>
      <w:r w:rsidRPr="003C6F8A">
        <w:rPr>
          <w:szCs w:val="22"/>
        </w:rPr>
        <w:t>Septicaemia</w:t>
      </w:r>
      <w:proofErr w:type="spellEnd"/>
      <w:r w:rsidRPr="003C6F8A">
        <w:rPr>
          <w:szCs w:val="22"/>
        </w:rPr>
        <w:t xml:space="preserve"> (newborns)</w:t>
      </w:r>
    </w:p>
    <w:p w14:paraId="5DBEAEDA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Thrombophlebitis</w:t>
      </w:r>
    </w:p>
    <w:p w14:paraId="61635C4F" w14:textId="77777777" w:rsidR="0002203D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Sickle cell infarction</w:t>
      </w:r>
    </w:p>
    <w:p w14:paraId="3BD93677" w14:textId="77777777" w:rsidR="0002203D" w:rsidRDefault="0002203D" w:rsidP="0002203D">
      <w:pPr>
        <w:pStyle w:val="ListParagraph"/>
        <w:numPr>
          <w:ilvl w:val="0"/>
          <w:numId w:val="24"/>
        </w:numPr>
        <w:rPr>
          <w:szCs w:val="22"/>
        </w:rPr>
      </w:pPr>
      <w:r>
        <w:rPr>
          <w:szCs w:val="22"/>
        </w:rPr>
        <w:t>SA</w:t>
      </w:r>
    </w:p>
    <w:p w14:paraId="170B3F10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Viral arthritis</w:t>
      </w:r>
    </w:p>
    <w:p w14:paraId="257EF566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Reactive arthritis</w:t>
      </w:r>
    </w:p>
    <w:p w14:paraId="12990075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Juvenile idiopathic arthritis</w:t>
      </w:r>
    </w:p>
    <w:p w14:paraId="12B3370A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Tuberculosis</w:t>
      </w:r>
    </w:p>
    <w:p w14:paraId="10F4A72B" w14:textId="77777777" w:rsidR="0002203D" w:rsidRPr="003C6F8A" w:rsidRDefault="0002203D" w:rsidP="0002203D">
      <w:pPr>
        <w:pStyle w:val="ListParagraph"/>
        <w:numPr>
          <w:ilvl w:val="1"/>
          <w:numId w:val="24"/>
        </w:numPr>
        <w:rPr>
          <w:szCs w:val="22"/>
        </w:rPr>
      </w:pPr>
      <w:r w:rsidRPr="003C6F8A">
        <w:rPr>
          <w:szCs w:val="22"/>
        </w:rPr>
        <w:t>Slipped capital femoral epiphysis</w:t>
      </w:r>
    </w:p>
    <w:p w14:paraId="4B509154" w14:textId="0B40524A" w:rsidR="003C6F8A" w:rsidRPr="00CC5677" w:rsidRDefault="0002203D" w:rsidP="00CC5677">
      <w:pPr>
        <w:pStyle w:val="ListParagraph"/>
        <w:numPr>
          <w:ilvl w:val="1"/>
          <w:numId w:val="24"/>
        </w:numPr>
        <w:rPr>
          <w:szCs w:val="22"/>
        </w:rPr>
      </w:pPr>
      <w:proofErr w:type="spellStart"/>
      <w:r>
        <w:rPr>
          <w:szCs w:val="22"/>
        </w:rPr>
        <w:t>Vaso</w:t>
      </w:r>
      <w:proofErr w:type="spellEnd"/>
      <w:r>
        <w:rPr>
          <w:szCs w:val="22"/>
        </w:rPr>
        <w:t xml:space="preserve">-occlusive crisis in sickle cell </w:t>
      </w:r>
      <w:proofErr w:type="spellStart"/>
      <w:r>
        <w:rPr>
          <w:szCs w:val="22"/>
        </w:rPr>
        <w:t>anaemia</w:t>
      </w:r>
      <w:proofErr w:type="spellEnd"/>
      <w:r>
        <w:rPr>
          <w:szCs w:val="22"/>
        </w:rPr>
        <w:t xml:space="preserve"> </w:t>
      </w:r>
    </w:p>
    <w:p w14:paraId="70AA2A3E" w14:textId="483C1D45" w:rsidR="00853DC1" w:rsidRPr="00853DC1" w:rsidRDefault="00853DC1" w:rsidP="00853DC1">
      <w:pPr>
        <w:pStyle w:val="ListParagraph"/>
        <w:numPr>
          <w:ilvl w:val="1"/>
          <w:numId w:val="24"/>
        </w:numPr>
        <w:rPr>
          <w:szCs w:val="22"/>
        </w:rPr>
      </w:pPr>
      <w:r>
        <w:rPr>
          <w:szCs w:val="22"/>
        </w:rPr>
        <w:t>Arthralgia</w:t>
      </w:r>
    </w:p>
    <w:p w14:paraId="3A4432F5" w14:textId="06BF9F88" w:rsidR="00A36F49" w:rsidRPr="00A36F49" w:rsidRDefault="00A36F49" w:rsidP="00AE1E48">
      <w:pPr>
        <w:pStyle w:val="Heading2"/>
      </w:pPr>
      <w:r w:rsidRPr="00A36F49">
        <w:t>Investigations</w:t>
      </w:r>
    </w:p>
    <w:p w14:paraId="38DFC055" w14:textId="7595D0AF" w:rsidR="00A36F49" w:rsidRDefault="00A36F49" w:rsidP="00A36F49">
      <w:pPr>
        <w:pStyle w:val="ListParagraph"/>
        <w:numPr>
          <w:ilvl w:val="0"/>
          <w:numId w:val="30"/>
        </w:numPr>
      </w:pPr>
      <w:r>
        <w:t xml:space="preserve">ESR </w:t>
      </w:r>
    </w:p>
    <w:p w14:paraId="7AE258D0" w14:textId="6BDE72B3" w:rsidR="00A36F49" w:rsidRDefault="00A36F49" w:rsidP="00A36F49">
      <w:pPr>
        <w:pStyle w:val="ListParagraph"/>
        <w:numPr>
          <w:ilvl w:val="0"/>
          <w:numId w:val="31"/>
        </w:numPr>
      </w:pPr>
      <w:r>
        <w:t>FBC</w:t>
      </w:r>
    </w:p>
    <w:p w14:paraId="58761EE5" w14:textId="6D38E146" w:rsidR="00A36F49" w:rsidRDefault="00A36F49" w:rsidP="00A36F49">
      <w:pPr>
        <w:pStyle w:val="ListParagraph"/>
        <w:numPr>
          <w:ilvl w:val="0"/>
          <w:numId w:val="31"/>
        </w:numPr>
      </w:pPr>
      <w:r>
        <w:t>Blood culture</w:t>
      </w:r>
    </w:p>
    <w:p w14:paraId="468C106E" w14:textId="4FB6FCB2" w:rsidR="00A36F49" w:rsidRDefault="00A36F49" w:rsidP="00A36F49">
      <w:pPr>
        <w:pStyle w:val="ListParagraph"/>
        <w:numPr>
          <w:ilvl w:val="0"/>
          <w:numId w:val="31"/>
        </w:numPr>
      </w:pPr>
      <w:r>
        <w:t>X-ray to rule out fracture</w:t>
      </w:r>
      <w:r w:rsidR="00CC5677">
        <w:t>, chronic OM</w:t>
      </w:r>
    </w:p>
    <w:p w14:paraId="065F329E" w14:textId="0E295991" w:rsidR="00A36F49" w:rsidRDefault="00A36F49" w:rsidP="00A36F49">
      <w:pPr>
        <w:pStyle w:val="ListParagraph"/>
        <w:numPr>
          <w:ilvl w:val="0"/>
          <w:numId w:val="31"/>
        </w:numPr>
      </w:pPr>
      <w:r>
        <w:t xml:space="preserve">MRI for </w:t>
      </w:r>
      <w:r w:rsidR="00CC5677">
        <w:t xml:space="preserve">Acute </w:t>
      </w:r>
      <w:r>
        <w:t xml:space="preserve">OM </w:t>
      </w:r>
    </w:p>
    <w:p w14:paraId="0D258508" w14:textId="6CB03C51" w:rsidR="00A36F49" w:rsidRDefault="00A36F49" w:rsidP="00A36F49">
      <w:pPr>
        <w:pStyle w:val="ListParagraph"/>
        <w:numPr>
          <w:ilvl w:val="0"/>
          <w:numId w:val="31"/>
        </w:numPr>
      </w:pPr>
      <w:r>
        <w:t xml:space="preserve">Joint aspiration for microscopy, culture and sensitivity </w:t>
      </w:r>
      <w:r w:rsidR="0080133A">
        <w:t xml:space="preserve">– should be done before commencement of empirical antibiotic therapy </w:t>
      </w:r>
    </w:p>
    <w:p w14:paraId="4B91F425" w14:textId="36B6C52F" w:rsidR="00A36F49" w:rsidRPr="00762C49" w:rsidRDefault="00CC5677" w:rsidP="00861D35">
      <w:pPr>
        <w:pStyle w:val="ListParagraph"/>
        <w:numPr>
          <w:ilvl w:val="0"/>
          <w:numId w:val="31"/>
        </w:numPr>
      </w:pPr>
      <w:r>
        <w:t xml:space="preserve">US scan of the joints may be done in children </w:t>
      </w:r>
    </w:p>
    <w:p w14:paraId="2F306308" w14:textId="77777777" w:rsidR="00882F9E" w:rsidRDefault="00882F9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2B78BFCA" w14:textId="78E2C870" w:rsidR="0080133A" w:rsidRPr="006B53E4" w:rsidRDefault="001203AE" w:rsidP="006B53E4">
      <w:pPr>
        <w:pStyle w:val="Heading2"/>
        <w:rPr>
          <w:rFonts w:cs="Arial"/>
          <w:szCs w:val="22"/>
        </w:rPr>
      </w:pPr>
      <w:r w:rsidRPr="003C0800">
        <w:rPr>
          <w:rFonts w:cs="Arial"/>
          <w:szCs w:val="22"/>
        </w:rPr>
        <w:lastRenderedPageBreak/>
        <w:t>Management</w:t>
      </w:r>
    </w:p>
    <w:p w14:paraId="39F35FCD" w14:textId="6C60740B" w:rsidR="00E50367" w:rsidRDefault="00E50367" w:rsidP="00A01A6C">
      <w:pPr>
        <w:pStyle w:val="ListParagraph"/>
        <w:numPr>
          <w:ilvl w:val="0"/>
          <w:numId w:val="33"/>
        </w:numPr>
      </w:pPr>
      <w:r>
        <w:t>Empirical antibiotic therapy is based on the commonest organisms responsible for infections</w:t>
      </w:r>
      <w:r w:rsidR="007B46D0">
        <w:t xml:space="preserve"> –</w:t>
      </w:r>
      <w:r>
        <w:t xml:space="preserve"> </w:t>
      </w:r>
      <w:r w:rsidRPr="007F7C6B">
        <w:rPr>
          <w:i/>
        </w:rPr>
        <w:t xml:space="preserve">Staph. </w:t>
      </w:r>
      <w:r w:rsidR="007F7C6B">
        <w:rPr>
          <w:i/>
        </w:rPr>
        <w:t>a</w:t>
      </w:r>
      <w:r w:rsidRPr="007F7C6B">
        <w:rPr>
          <w:i/>
        </w:rPr>
        <w:t>ureus</w:t>
      </w:r>
      <w:r>
        <w:t xml:space="preserve"> in adults and children over 5 years</w:t>
      </w:r>
      <w:r w:rsidR="004A089E">
        <w:t xml:space="preserve"> and </w:t>
      </w:r>
      <w:proofErr w:type="spellStart"/>
      <w:r w:rsidR="007F7C6B" w:rsidRPr="007F7C6B">
        <w:rPr>
          <w:i/>
        </w:rPr>
        <w:t>H</w:t>
      </w:r>
      <w:r w:rsidR="004A089E" w:rsidRPr="007F7C6B">
        <w:rPr>
          <w:i/>
        </w:rPr>
        <w:t>aemophilus</w:t>
      </w:r>
      <w:proofErr w:type="spellEnd"/>
      <w:r w:rsidR="004A089E" w:rsidRPr="007F7C6B">
        <w:rPr>
          <w:i/>
        </w:rPr>
        <w:t xml:space="preserve"> </w:t>
      </w:r>
      <w:r w:rsidR="007F7C6B" w:rsidRPr="007F7C6B">
        <w:rPr>
          <w:i/>
        </w:rPr>
        <w:t>influenza</w:t>
      </w:r>
      <w:r>
        <w:t xml:space="preserve"> </w:t>
      </w:r>
      <w:r w:rsidR="007F7C6B">
        <w:t>for children aged under 5 years</w:t>
      </w:r>
      <w:r w:rsidR="00D82BB2">
        <w:t>.</w:t>
      </w:r>
      <w:r w:rsidR="007F7C6B">
        <w:t xml:space="preserve"> </w:t>
      </w:r>
    </w:p>
    <w:p w14:paraId="7C2F1D0D" w14:textId="0F43CF57" w:rsidR="0080133A" w:rsidRDefault="0080133A" w:rsidP="00A01A6C">
      <w:pPr>
        <w:pStyle w:val="ListParagraph"/>
        <w:numPr>
          <w:ilvl w:val="0"/>
          <w:numId w:val="33"/>
        </w:numPr>
      </w:pPr>
      <w:r>
        <w:t xml:space="preserve">For </w:t>
      </w:r>
      <w:r w:rsidR="00224179">
        <w:t>S</w:t>
      </w:r>
      <w:r>
        <w:t>A</w:t>
      </w:r>
      <w:r w:rsidR="00224179">
        <w:t>,</w:t>
      </w:r>
      <w:r>
        <w:t xml:space="preserve"> antibiotic therapy is given for 2-3 weeks.</w:t>
      </w:r>
      <w:r w:rsidR="00A01A6C">
        <w:t xml:space="preserve"> </w:t>
      </w:r>
      <w:r>
        <w:t>If patient improves on IV antibiotics</w:t>
      </w:r>
      <w:r w:rsidR="00A01A6C">
        <w:t xml:space="preserve"> after 4-6 days</w:t>
      </w:r>
      <w:r>
        <w:t xml:space="preserve">, oral antibiotics can be </w:t>
      </w:r>
      <w:r w:rsidR="00A01A6C">
        <w:t>used and continued until the end of 3 weeks</w:t>
      </w:r>
      <w:r>
        <w:t xml:space="preserve">. </w:t>
      </w:r>
    </w:p>
    <w:p w14:paraId="4FA5D89E" w14:textId="0D4A4716" w:rsidR="0080133A" w:rsidRDefault="0080133A" w:rsidP="00A01A6C">
      <w:pPr>
        <w:pStyle w:val="ListParagraph"/>
        <w:numPr>
          <w:ilvl w:val="0"/>
          <w:numId w:val="32"/>
        </w:numPr>
      </w:pPr>
      <w:r>
        <w:t xml:space="preserve">For OM, </w:t>
      </w:r>
      <w:r w:rsidR="00224179">
        <w:t>parenteral</w:t>
      </w:r>
      <w:r>
        <w:t xml:space="preserve"> antibiotics</w:t>
      </w:r>
      <w:r w:rsidR="00A01A6C">
        <w:t xml:space="preserve"> should be given for at least 2 weeks before </w:t>
      </w:r>
      <w:proofErr w:type="gramStart"/>
      <w:r w:rsidR="00224179">
        <w:t>continuing on</w:t>
      </w:r>
      <w:proofErr w:type="gramEnd"/>
      <w:r w:rsidR="00224179">
        <w:t xml:space="preserve"> </w:t>
      </w:r>
      <w:r w:rsidR="00A01A6C">
        <w:t>oral therapy. Duration of therapy for children is between 3-4 weeks and for adults 4–6</w:t>
      </w:r>
      <w:r w:rsidR="00330EB8">
        <w:t xml:space="preserve"> </w:t>
      </w:r>
      <w:r w:rsidR="00A01A6C">
        <w:t>weeks</w:t>
      </w:r>
      <w:r w:rsidR="002E4C5B">
        <w:t>.</w:t>
      </w:r>
      <w:r w:rsidR="00A01A6C">
        <w:t xml:space="preserve"> </w:t>
      </w:r>
    </w:p>
    <w:p w14:paraId="417EECE6" w14:textId="0D7A36AA" w:rsidR="00A01A6C" w:rsidRDefault="00A01A6C" w:rsidP="00A01A6C">
      <w:pPr>
        <w:pStyle w:val="ListParagraph"/>
        <w:numPr>
          <w:ilvl w:val="0"/>
          <w:numId w:val="32"/>
        </w:numPr>
      </w:pPr>
      <w:r>
        <w:t xml:space="preserve">Empirical antibiotic therapy </w:t>
      </w:r>
      <w:r w:rsidR="00D46354">
        <w:t xml:space="preserve">should </w:t>
      </w:r>
      <w:r>
        <w:t>be changed if antibiotic sensitivity result</w:t>
      </w:r>
      <w:r w:rsidR="00224179">
        <w:t>s</w:t>
      </w:r>
      <w:r>
        <w:t xml:space="preserve"> </w:t>
      </w:r>
      <w:r w:rsidR="00D46354">
        <w:t xml:space="preserve">are different from </w:t>
      </w:r>
      <w:r w:rsidR="00BE5503">
        <w:t>current therapy</w:t>
      </w:r>
      <w:r w:rsidR="00E50367">
        <w:t xml:space="preserve">. </w:t>
      </w:r>
      <w:r>
        <w:t xml:space="preserve"> </w:t>
      </w:r>
    </w:p>
    <w:p w14:paraId="316C58B0" w14:textId="233A5BDE" w:rsidR="00A01A6C" w:rsidRDefault="00A01A6C" w:rsidP="00A01A6C">
      <w:pPr>
        <w:pStyle w:val="ListParagraph"/>
        <w:numPr>
          <w:ilvl w:val="0"/>
          <w:numId w:val="32"/>
        </w:numPr>
      </w:pPr>
      <w:r>
        <w:t>Serial arthrocentesis, arthroscopy or arthrotomy may be needed</w:t>
      </w:r>
      <w:r w:rsidR="00224179">
        <w:t xml:space="preserve"> in SA</w:t>
      </w:r>
      <w:r>
        <w:t>.</w:t>
      </w:r>
    </w:p>
    <w:p w14:paraId="35756DB6" w14:textId="4A18EA4A" w:rsidR="0080133A" w:rsidRPr="00502B8A" w:rsidRDefault="0080133A" w:rsidP="0080133A">
      <w:pPr>
        <w:rPr>
          <w:b/>
        </w:rPr>
      </w:pPr>
      <w:r w:rsidRPr="00502B8A">
        <w:rPr>
          <w:b/>
        </w:rPr>
        <w:t xml:space="preserve">Empirical antibiotic therapy </w:t>
      </w: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1985"/>
        <w:gridCol w:w="3544"/>
        <w:gridCol w:w="3544"/>
      </w:tblGrid>
      <w:tr w:rsidR="00F03F25" w:rsidRPr="00F03F25" w14:paraId="1CAA0E67" w14:textId="77777777" w:rsidTr="00882F9E">
        <w:tc>
          <w:tcPr>
            <w:tcW w:w="1985" w:type="dxa"/>
          </w:tcPr>
          <w:p w14:paraId="2F3124D0" w14:textId="6C518F97" w:rsidR="00F03F25" w:rsidRPr="00F03F25" w:rsidRDefault="00A01A6C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Age  </w:t>
            </w:r>
          </w:p>
        </w:tc>
        <w:tc>
          <w:tcPr>
            <w:tcW w:w="3544" w:type="dxa"/>
          </w:tcPr>
          <w:p w14:paraId="0B5E18F5" w14:textId="3E1F9D94" w:rsidR="00F03F25" w:rsidRPr="00F03F25" w:rsidRDefault="00A01A6C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OM </w:t>
            </w:r>
          </w:p>
        </w:tc>
        <w:tc>
          <w:tcPr>
            <w:tcW w:w="3544" w:type="dxa"/>
          </w:tcPr>
          <w:p w14:paraId="33F016DE" w14:textId="69D3E54A" w:rsidR="00F03F25" w:rsidRPr="00F03F25" w:rsidRDefault="00A01A6C" w:rsidP="00F03F2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SA</w:t>
            </w:r>
          </w:p>
        </w:tc>
      </w:tr>
      <w:tr w:rsidR="00F03F25" w14:paraId="20ADB261" w14:textId="77777777" w:rsidTr="00882F9E">
        <w:tc>
          <w:tcPr>
            <w:tcW w:w="1985" w:type="dxa"/>
          </w:tcPr>
          <w:p w14:paraId="42F75165" w14:textId="0BEC8D4B" w:rsidR="00F03F25" w:rsidRPr="00AE1E48" w:rsidRDefault="00A01A6C" w:rsidP="00F03F25">
            <w:pPr>
              <w:rPr>
                <w:szCs w:val="22"/>
              </w:rPr>
            </w:pPr>
            <w:r w:rsidRPr="00AE1E48">
              <w:rPr>
                <w:szCs w:val="22"/>
              </w:rPr>
              <w:t xml:space="preserve">Children under 5 years </w:t>
            </w:r>
          </w:p>
        </w:tc>
        <w:tc>
          <w:tcPr>
            <w:tcW w:w="3544" w:type="dxa"/>
          </w:tcPr>
          <w:p w14:paraId="24FA7093" w14:textId="63DC2EFC" w:rsidR="00EC5C8A" w:rsidRDefault="006402D6" w:rsidP="00EC5C8A">
            <w:pPr>
              <w:rPr>
                <w:szCs w:val="22"/>
              </w:rPr>
            </w:pPr>
            <w:r w:rsidRPr="006402D6">
              <w:rPr>
                <w:szCs w:val="22"/>
              </w:rPr>
              <w:t>IV Cloxacillin 25-50</w:t>
            </w:r>
            <w:r w:rsidR="007B46D0">
              <w:rPr>
                <w:szCs w:val="22"/>
              </w:rPr>
              <w:t xml:space="preserve"> </w:t>
            </w:r>
            <w:r w:rsidRPr="006402D6">
              <w:rPr>
                <w:szCs w:val="22"/>
              </w:rPr>
              <w:t>mg</w:t>
            </w:r>
            <w:r>
              <w:rPr>
                <w:szCs w:val="22"/>
              </w:rPr>
              <w:t>/kg</w:t>
            </w:r>
            <w:r w:rsidRPr="006402D6">
              <w:rPr>
                <w:szCs w:val="22"/>
              </w:rPr>
              <w:t xml:space="preserve"> </w:t>
            </w:r>
            <w:r w:rsidR="007B46D0">
              <w:rPr>
                <w:szCs w:val="22"/>
              </w:rPr>
              <w:t>QDS</w:t>
            </w:r>
            <w:r w:rsidR="007B46D0" w:rsidRPr="006402D6">
              <w:rPr>
                <w:szCs w:val="22"/>
              </w:rPr>
              <w:t xml:space="preserve"> </w:t>
            </w:r>
            <w:r w:rsidRPr="006402D6">
              <w:rPr>
                <w:i/>
                <w:szCs w:val="22"/>
              </w:rPr>
              <w:t>plus</w:t>
            </w:r>
            <w:r w:rsidRPr="006402D6">
              <w:rPr>
                <w:szCs w:val="22"/>
              </w:rPr>
              <w:t xml:space="preserve"> Ceftriaxone</w:t>
            </w:r>
            <w:r w:rsidR="007B46D0">
              <w:rPr>
                <w:szCs w:val="22"/>
              </w:rPr>
              <w:t xml:space="preserve"> </w:t>
            </w:r>
            <w:r w:rsidRPr="006402D6">
              <w:rPr>
                <w:szCs w:val="22"/>
              </w:rPr>
              <w:t>50-75</w:t>
            </w:r>
            <w:r w:rsidR="007B46D0">
              <w:rPr>
                <w:szCs w:val="22"/>
              </w:rPr>
              <w:t xml:space="preserve"> </w:t>
            </w:r>
            <w:r w:rsidRPr="006402D6">
              <w:rPr>
                <w:szCs w:val="22"/>
              </w:rPr>
              <w:t xml:space="preserve">mg/kg </w:t>
            </w:r>
            <w:r w:rsidR="007B46D0">
              <w:rPr>
                <w:szCs w:val="22"/>
              </w:rPr>
              <w:t>OD</w:t>
            </w:r>
            <w:r w:rsidR="007B46D0" w:rsidRPr="006402D6">
              <w:rPr>
                <w:szCs w:val="22"/>
              </w:rPr>
              <w:t xml:space="preserve"> </w:t>
            </w:r>
            <w:r w:rsidRPr="006402D6">
              <w:rPr>
                <w:szCs w:val="22"/>
              </w:rPr>
              <w:t xml:space="preserve">for 4 -6 days </w:t>
            </w:r>
            <w:r w:rsidRPr="006402D6">
              <w:rPr>
                <w:i/>
                <w:szCs w:val="22"/>
              </w:rPr>
              <w:t>followed by</w:t>
            </w:r>
            <w:r w:rsidRPr="006402D6">
              <w:rPr>
                <w:szCs w:val="22"/>
              </w:rPr>
              <w:t xml:space="preserve"> oral</w:t>
            </w:r>
            <w:r w:rsidR="00EC5C8A">
              <w:rPr>
                <w:szCs w:val="22"/>
              </w:rPr>
              <w:t xml:space="preserve"> A</w:t>
            </w:r>
            <w:r w:rsidR="00EC5C8A" w:rsidRPr="00EC5C8A">
              <w:rPr>
                <w:szCs w:val="22"/>
              </w:rPr>
              <w:t>moxicillin 15</w:t>
            </w:r>
            <w:r w:rsidR="007B46D0">
              <w:rPr>
                <w:szCs w:val="22"/>
              </w:rPr>
              <w:t xml:space="preserve"> </w:t>
            </w:r>
            <w:r w:rsidR="00EC5C8A" w:rsidRPr="00EC5C8A">
              <w:rPr>
                <w:szCs w:val="22"/>
              </w:rPr>
              <w:t>mg/kg + clavulanic acid (maximum 500</w:t>
            </w:r>
            <w:r w:rsidR="007B46D0">
              <w:rPr>
                <w:szCs w:val="22"/>
              </w:rPr>
              <w:t xml:space="preserve"> </w:t>
            </w:r>
            <w:r w:rsidR="00EC5C8A" w:rsidRPr="00EC5C8A">
              <w:rPr>
                <w:szCs w:val="22"/>
              </w:rPr>
              <w:t>mg) orally every 8 hours to complete the treatment course</w:t>
            </w:r>
            <w:r w:rsidR="00EC5C8A">
              <w:rPr>
                <w:szCs w:val="22"/>
              </w:rPr>
              <w:t>.</w:t>
            </w:r>
          </w:p>
        </w:tc>
        <w:tc>
          <w:tcPr>
            <w:tcW w:w="3544" w:type="dxa"/>
          </w:tcPr>
          <w:p w14:paraId="36BD8BEC" w14:textId="49633A76" w:rsidR="00F03F25" w:rsidRPr="006402D6" w:rsidRDefault="00A01A6C" w:rsidP="00F03F25">
            <w:pPr>
              <w:rPr>
                <w:szCs w:val="22"/>
              </w:rPr>
            </w:pPr>
            <w:r w:rsidRPr="006402D6">
              <w:rPr>
                <w:szCs w:val="22"/>
              </w:rPr>
              <w:t>IV Cloxacillin 25-</w:t>
            </w:r>
            <w:r w:rsidR="006402D6" w:rsidRPr="006402D6">
              <w:rPr>
                <w:szCs w:val="22"/>
              </w:rPr>
              <w:t>50</w:t>
            </w:r>
            <w:r w:rsidR="007B46D0">
              <w:rPr>
                <w:szCs w:val="22"/>
              </w:rPr>
              <w:t xml:space="preserve"> </w:t>
            </w:r>
            <w:r w:rsidR="006402D6" w:rsidRPr="006402D6">
              <w:rPr>
                <w:szCs w:val="22"/>
              </w:rPr>
              <w:t>mg</w:t>
            </w:r>
            <w:r w:rsidR="006402D6">
              <w:rPr>
                <w:szCs w:val="22"/>
              </w:rPr>
              <w:t>/kg</w:t>
            </w:r>
            <w:r w:rsidR="006402D6" w:rsidRPr="006402D6">
              <w:rPr>
                <w:szCs w:val="22"/>
              </w:rPr>
              <w:t xml:space="preserve"> </w:t>
            </w:r>
            <w:r w:rsidR="007B46D0">
              <w:rPr>
                <w:szCs w:val="22"/>
              </w:rPr>
              <w:t xml:space="preserve">QDS </w:t>
            </w:r>
            <w:r w:rsidR="006402D6" w:rsidRPr="006402D6">
              <w:rPr>
                <w:i/>
                <w:szCs w:val="22"/>
              </w:rPr>
              <w:t xml:space="preserve">plus </w:t>
            </w:r>
            <w:r w:rsidR="006402D6" w:rsidRPr="006402D6">
              <w:rPr>
                <w:szCs w:val="22"/>
              </w:rPr>
              <w:t>Ceftriaxone</w:t>
            </w:r>
            <w:r w:rsidR="00AE1E48">
              <w:rPr>
                <w:szCs w:val="22"/>
              </w:rPr>
              <w:t xml:space="preserve"> </w:t>
            </w:r>
            <w:r w:rsidR="006402D6" w:rsidRPr="006402D6">
              <w:rPr>
                <w:szCs w:val="22"/>
              </w:rPr>
              <w:t>50-75</w:t>
            </w:r>
            <w:r w:rsidR="007B46D0">
              <w:rPr>
                <w:szCs w:val="22"/>
              </w:rPr>
              <w:t xml:space="preserve"> </w:t>
            </w:r>
            <w:r w:rsidR="006402D6" w:rsidRPr="006402D6">
              <w:rPr>
                <w:szCs w:val="22"/>
              </w:rPr>
              <w:t xml:space="preserve">mg /kg </w:t>
            </w:r>
            <w:r w:rsidR="007B46D0">
              <w:rPr>
                <w:szCs w:val="22"/>
              </w:rPr>
              <w:t>OD</w:t>
            </w:r>
            <w:r w:rsidR="007B46D0" w:rsidRPr="006402D6">
              <w:rPr>
                <w:szCs w:val="22"/>
              </w:rPr>
              <w:t xml:space="preserve"> </w:t>
            </w:r>
            <w:r w:rsidR="006402D6" w:rsidRPr="006402D6">
              <w:rPr>
                <w:szCs w:val="22"/>
              </w:rPr>
              <w:t xml:space="preserve">for 4-6 </w:t>
            </w:r>
            <w:r w:rsidR="006402D6" w:rsidRPr="00AE1E48">
              <w:rPr>
                <w:szCs w:val="22"/>
              </w:rPr>
              <w:t>days</w:t>
            </w:r>
            <w:r w:rsidR="006402D6" w:rsidRPr="006402D6">
              <w:rPr>
                <w:i/>
                <w:szCs w:val="22"/>
              </w:rPr>
              <w:t xml:space="preserve"> followed by</w:t>
            </w:r>
            <w:r w:rsidR="006402D6" w:rsidRPr="006402D6">
              <w:rPr>
                <w:szCs w:val="22"/>
              </w:rPr>
              <w:t xml:space="preserve"> oral Cloxacillin 12.5</w:t>
            </w:r>
            <w:r w:rsidR="007B46D0">
              <w:rPr>
                <w:szCs w:val="22"/>
              </w:rPr>
              <w:t xml:space="preserve"> </w:t>
            </w:r>
            <w:r w:rsidR="006402D6" w:rsidRPr="006402D6">
              <w:rPr>
                <w:szCs w:val="22"/>
              </w:rPr>
              <w:t xml:space="preserve">mg/kg </w:t>
            </w:r>
            <w:r w:rsidR="007B46D0">
              <w:rPr>
                <w:szCs w:val="22"/>
              </w:rPr>
              <w:t>QDS</w:t>
            </w:r>
            <w:r w:rsidR="006402D6" w:rsidRPr="006402D6">
              <w:rPr>
                <w:szCs w:val="22"/>
              </w:rPr>
              <w:t xml:space="preserve"> for the duration of treatment</w:t>
            </w:r>
            <w:r w:rsidR="007B46D0">
              <w:rPr>
                <w:szCs w:val="22"/>
              </w:rPr>
              <w:t>.</w:t>
            </w:r>
            <w:r w:rsidR="006402D6" w:rsidRPr="006402D6">
              <w:rPr>
                <w:szCs w:val="22"/>
              </w:rPr>
              <w:t xml:space="preserve"> </w:t>
            </w:r>
          </w:p>
        </w:tc>
      </w:tr>
      <w:tr w:rsidR="00F03F25" w14:paraId="234C650C" w14:textId="77777777" w:rsidTr="00882F9E">
        <w:tc>
          <w:tcPr>
            <w:tcW w:w="1985" w:type="dxa"/>
          </w:tcPr>
          <w:p w14:paraId="42A0FE51" w14:textId="229EC30A" w:rsidR="00F03F25" w:rsidRPr="00F03F25" w:rsidRDefault="006402D6" w:rsidP="00F03F25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Children aged 5 years and above </w:t>
            </w:r>
          </w:p>
        </w:tc>
        <w:tc>
          <w:tcPr>
            <w:tcW w:w="3544" w:type="dxa"/>
          </w:tcPr>
          <w:p w14:paraId="7B39E8F0" w14:textId="6D251606" w:rsidR="00EC5C8A" w:rsidRDefault="00EC5C8A" w:rsidP="00EC5C8A">
            <w:pPr>
              <w:rPr>
                <w:szCs w:val="22"/>
              </w:rPr>
            </w:pPr>
            <w:r>
              <w:rPr>
                <w:szCs w:val="22"/>
              </w:rPr>
              <w:t xml:space="preserve">IV </w:t>
            </w:r>
            <w:r w:rsidRPr="00EC5C8A">
              <w:rPr>
                <w:szCs w:val="22"/>
              </w:rPr>
              <w:t>Cloxacillin 25</w:t>
            </w:r>
            <w:r w:rsidR="007B46D0">
              <w:rPr>
                <w:szCs w:val="22"/>
              </w:rPr>
              <w:t>–</w:t>
            </w:r>
            <w:r w:rsidRPr="00EC5C8A">
              <w:rPr>
                <w:szCs w:val="22"/>
              </w:rPr>
              <w:t>50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mg/kg (maximum 2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g)</w:t>
            </w:r>
            <w:r w:rsidR="007B46D0">
              <w:rPr>
                <w:szCs w:val="22"/>
              </w:rPr>
              <w:t xml:space="preserve"> QDS </w:t>
            </w:r>
            <w:r w:rsidRPr="00EC5C8A">
              <w:rPr>
                <w:szCs w:val="22"/>
              </w:rPr>
              <w:t>for 4-6 days (or until clinical improvement occurs), followed by cloxacillin 25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mg/kg (maximum 500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mg) orally every 6 hours to complete the treatment course</w:t>
            </w:r>
          </w:p>
          <w:p w14:paraId="6AC173CA" w14:textId="2C9B389C" w:rsidR="00EC5C8A" w:rsidRPr="00EC5C8A" w:rsidRDefault="00EC5C8A" w:rsidP="00EC5C8A">
            <w:pPr>
              <w:rPr>
                <w:szCs w:val="22"/>
              </w:rPr>
            </w:pPr>
            <w:r>
              <w:rPr>
                <w:szCs w:val="22"/>
              </w:rPr>
              <w:t>OR</w:t>
            </w:r>
          </w:p>
          <w:p w14:paraId="3549436A" w14:textId="78EF565F" w:rsidR="00F03F25" w:rsidRDefault="00EC5C8A" w:rsidP="00EC5C8A">
            <w:pPr>
              <w:rPr>
                <w:szCs w:val="22"/>
              </w:rPr>
            </w:pPr>
            <w:r>
              <w:rPr>
                <w:szCs w:val="22"/>
              </w:rPr>
              <w:t>IV C</w:t>
            </w:r>
            <w:r w:rsidRPr="00EC5C8A">
              <w:rPr>
                <w:szCs w:val="22"/>
              </w:rPr>
              <w:t>eftriaxone 50</w:t>
            </w:r>
            <w:r w:rsidR="007B46D0">
              <w:rPr>
                <w:szCs w:val="22"/>
              </w:rPr>
              <w:t>–</w:t>
            </w:r>
            <w:r w:rsidRPr="00EC5C8A">
              <w:rPr>
                <w:szCs w:val="22"/>
              </w:rPr>
              <w:t>75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mg/kg (maximum 1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 xml:space="preserve">g) </w:t>
            </w:r>
            <w:r w:rsidR="007B46D0">
              <w:rPr>
                <w:szCs w:val="22"/>
              </w:rPr>
              <w:t xml:space="preserve">OD </w:t>
            </w:r>
            <w:r>
              <w:rPr>
                <w:szCs w:val="22"/>
              </w:rPr>
              <w:t>for 4</w:t>
            </w:r>
            <w:r w:rsidRPr="00EC5C8A">
              <w:rPr>
                <w:szCs w:val="22"/>
              </w:rPr>
              <w:t xml:space="preserve">-6 days (or until clinical improvement occurs), followed by </w:t>
            </w:r>
            <w:r w:rsidR="00D46354">
              <w:rPr>
                <w:szCs w:val="22"/>
              </w:rPr>
              <w:t>oral C</w:t>
            </w:r>
            <w:r w:rsidRPr="00EC5C8A">
              <w:rPr>
                <w:szCs w:val="22"/>
              </w:rPr>
              <w:t>loxacillin 25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mg/kg (maximum 500</w:t>
            </w:r>
            <w:r w:rsidR="007B46D0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 xml:space="preserve">mg) orally </w:t>
            </w:r>
            <w:r w:rsidR="007B46D0">
              <w:rPr>
                <w:szCs w:val="22"/>
              </w:rPr>
              <w:t>QDS</w:t>
            </w:r>
            <w:r w:rsidR="007B46D0" w:rsidRPr="00EC5C8A">
              <w:rPr>
                <w:szCs w:val="22"/>
              </w:rPr>
              <w:t xml:space="preserve"> </w:t>
            </w:r>
            <w:r w:rsidRPr="00EC5C8A">
              <w:rPr>
                <w:szCs w:val="22"/>
              </w:rPr>
              <w:t>to complete the treatment course</w:t>
            </w:r>
            <w:r w:rsidR="00D46354">
              <w:rPr>
                <w:szCs w:val="22"/>
              </w:rPr>
              <w:t>.</w:t>
            </w:r>
          </w:p>
        </w:tc>
        <w:tc>
          <w:tcPr>
            <w:tcW w:w="3544" w:type="dxa"/>
          </w:tcPr>
          <w:p w14:paraId="56AC191E" w14:textId="738973AB" w:rsidR="00F03F25" w:rsidRDefault="006402D6" w:rsidP="00F03F25">
            <w:pPr>
              <w:rPr>
                <w:szCs w:val="22"/>
              </w:rPr>
            </w:pPr>
            <w:r>
              <w:rPr>
                <w:szCs w:val="22"/>
              </w:rPr>
              <w:t>IV Cloxacillin 25-50</w:t>
            </w:r>
            <w:r w:rsidR="007B46D0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mg/kg </w:t>
            </w:r>
            <w:r w:rsidR="007B46D0">
              <w:rPr>
                <w:szCs w:val="22"/>
              </w:rPr>
              <w:t xml:space="preserve">QDS </w:t>
            </w:r>
            <w:r>
              <w:rPr>
                <w:szCs w:val="22"/>
              </w:rPr>
              <w:t>plus IV Ceftriaxone</w:t>
            </w:r>
            <w:r w:rsidR="007B46D0">
              <w:rPr>
                <w:szCs w:val="22"/>
              </w:rPr>
              <w:t xml:space="preserve"> </w:t>
            </w:r>
            <w:r>
              <w:rPr>
                <w:szCs w:val="22"/>
              </w:rPr>
              <w:t>25-50</w:t>
            </w:r>
            <w:r w:rsidR="007B46D0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mg/kg </w:t>
            </w:r>
            <w:r w:rsidR="007B46D0">
              <w:rPr>
                <w:szCs w:val="22"/>
              </w:rPr>
              <w:t xml:space="preserve">OD </w:t>
            </w:r>
          </w:p>
        </w:tc>
      </w:tr>
      <w:tr w:rsidR="00F03F25" w14:paraId="7F1F5A31" w14:textId="77777777" w:rsidTr="00882F9E">
        <w:tc>
          <w:tcPr>
            <w:tcW w:w="1985" w:type="dxa"/>
          </w:tcPr>
          <w:p w14:paraId="44CD4C55" w14:textId="3F7EDD62" w:rsidR="00F03F25" w:rsidRPr="00F03F25" w:rsidRDefault="006402D6" w:rsidP="00F03F25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 xml:space="preserve">Adults </w:t>
            </w:r>
          </w:p>
        </w:tc>
        <w:tc>
          <w:tcPr>
            <w:tcW w:w="3544" w:type="dxa"/>
          </w:tcPr>
          <w:p w14:paraId="12F643F4" w14:textId="78C471E4" w:rsidR="00F03F25" w:rsidRDefault="00D46354" w:rsidP="00D46354">
            <w:pPr>
              <w:rPr>
                <w:szCs w:val="22"/>
              </w:rPr>
            </w:pPr>
            <w:r>
              <w:rPr>
                <w:szCs w:val="22"/>
              </w:rPr>
              <w:t xml:space="preserve">IV </w:t>
            </w:r>
            <w:r w:rsidRPr="00D46354">
              <w:rPr>
                <w:szCs w:val="22"/>
              </w:rPr>
              <w:t>Cloxacillin 2</w:t>
            </w:r>
            <w:r w:rsidR="007B46D0">
              <w:rPr>
                <w:szCs w:val="22"/>
              </w:rPr>
              <w:t xml:space="preserve"> </w:t>
            </w:r>
            <w:r w:rsidRPr="00D46354">
              <w:rPr>
                <w:szCs w:val="22"/>
              </w:rPr>
              <w:t xml:space="preserve">g </w:t>
            </w:r>
            <w:r w:rsidR="007B46D0">
              <w:rPr>
                <w:szCs w:val="22"/>
              </w:rPr>
              <w:t xml:space="preserve">QDS </w:t>
            </w:r>
            <w:r w:rsidRPr="00D46354">
              <w:rPr>
                <w:szCs w:val="22"/>
              </w:rPr>
              <w:t>for at least the initial 14 days, but preferably the entire treatment course of 4-6 weeks (if the duration of parenteral therapy is less than 4-6 weeks, the treatment course should be completed with cloxacillin 1</w:t>
            </w:r>
            <w:r w:rsidR="007B46D0">
              <w:rPr>
                <w:szCs w:val="22"/>
              </w:rPr>
              <w:t xml:space="preserve"> </w:t>
            </w:r>
            <w:r w:rsidRPr="00D46354">
              <w:rPr>
                <w:szCs w:val="22"/>
              </w:rPr>
              <w:t xml:space="preserve">g orally </w:t>
            </w:r>
            <w:r w:rsidR="007B46D0">
              <w:rPr>
                <w:szCs w:val="22"/>
              </w:rPr>
              <w:t>QDS</w:t>
            </w:r>
            <w:r w:rsidRPr="00D46354">
              <w:rPr>
                <w:szCs w:val="22"/>
              </w:rPr>
              <w:t xml:space="preserve">) </w:t>
            </w:r>
          </w:p>
        </w:tc>
        <w:tc>
          <w:tcPr>
            <w:tcW w:w="3544" w:type="dxa"/>
          </w:tcPr>
          <w:p w14:paraId="0C99B0C6" w14:textId="402AC01A" w:rsidR="00F03F25" w:rsidRPr="00F03F25" w:rsidRDefault="006402D6" w:rsidP="00F03F25">
            <w:r>
              <w:t>IV Cloxacillin 2</w:t>
            </w:r>
            <w:r w:rsidR="007B46D0">
              <w:t xml:space="preserve"> </w:t>
            </w:r>
            <w:r>
              <w:t xml:space="preserve">g </w:t>
            </w:r>
            <w:proofErr w:type="gramStart"/>
            <w:r w:rsidR="007B46D0">
              <w:t>QDS</w:t>
            </w:r>
            <w:r w:rsidR="007B46D0" w:rsidRPr="006402D6">
              <w:t xml:space="preserve">  </w:t>
            </w:r>
            <w:r w:rsidRPr="006402D6">
              <w:t>plus</w:t>
            </w:r>
            <w:proofErr w:type="gramEnd"/>
            <w:r w:rsidRPr="006402D6">
              <w:t xml:space="preserve"> I</w:t>
            </w:r>
            <w:r>
              <w:t>V C</w:t>
            </w:r>
            <w:r w:rsidRPr="006402D6">
              <w:t>eftriaxone 1-2</w:t>
            </w:r>
            <w:r w:rsidR="007B46D0">
              <w:t xml:space="preserve"> </w:t>
            </w:r>
            <w:r w:rsidRPr="006402D6">
              <w:t xml:space="preserve">g </w:t>
            </w:r>
            <w:r w:rsidR="007B46D0">
              <w:t>OD</w:t>
            </w:r>
          </w:p>
        </w:tc>
      </w:tr>
    </w:tbl>
    <w:p w14:paraId="26147C6B" w14:textId="388A1230" w:rsidR="00097271" w:rsidRPr="00097271" w:rsidRDefault="0095401B" w:rsidP="00097271">
      <w:pPr>
        <w:pStyle w:val="ListParagraph"/>
        <w:numPr>
          <w:ilvl w:val="0"/>
          <w:numId w:val="35"/>
        </w:numPr>
        <w:rPr>
          <w:szCs w:val="22"/>
        </w:rPr>
      </w:pPr>
      <w:r w:rsidRPr="00097271">
        <w:rPr>
          <w:szCs w:val="22"/>
        </w:rPr>
        <w:lastRenderedPageBreak/>
        <w:t xml:space="preserve">On suspicion of septic arthritis, the </w:t>
      </w:r>
      <w:proofErr w:type="spellStart"/>
      <w:r w:rsidRPr="00097271">
        <w:rPr>
          <w:szCs w:val="22"/>
        </w:rPr>
        <w:t>orthopaedic</w:t>
      </w:r>
      <w:proofErr w:type="spellEnd"/>
      <w:r w:rsidRPr="00097271">
        <w:rPr>
          <w:szCs w:val="22"/>
        </w:rPr>
        <w:t xml:space="preserve"> surgeon at the teaching hospital should be informed and patient </w:t>
      </w:r>
      <w:r w:rsidR="00B84C58">
        <w:rPr>
          <w:szCs w:val="22"/>
        </w:rPr>
        <w:t>should</w:t>
      </w:r>
      <w:r w:rsidR="00B84C58" w:rsidRPr="00097271">
        <w:rPr>
          <w:szCs w:val="22"/>
        </w:rPr>
        <w:t xml:space="preserve"> </w:t>
      </w:r>
      <w:r w:rsidRPr="00097271">
        <w:rPr>
          <w:szCs w:val="22"/>
        </w:rPr>
        <w:t>be referred.</w:t>
      </w:r>
    </w:p>
    <w:p w14:paraId="1A505566" w14:textId="396D74B0" w:rsidR="0095401B" w:rsidRPr="00097271" w:rsidRDefault="00097271" w:rsidP="00097271">
      <w:pPr>
        <w:pStyle w:val="ListParagraph"/>
        <w:numPr>
          <w:ilvl w:val="0"/>
          <w:numId w:val="35"/>
        </w:numPr>
        <w:rPr>
          <w:szCs w:val="22"/>
        </w:rPr>
      </w:pPr>
      <w:r w:rsidRPr="00097271">
        <w:rPr>
          <w:szCs w:val="22"/>
        </w:rPr>
        <w:t>All patients with bone and joint infections should be informed of the seriousness of the condition and the need for adherence to the long course of antibiotic therapy.</w:t>
      </w:r>
      <w:r w:rsidR="0095401B" w:rsidRPr="00097271">
        <w:rPr>
          <w:szCs w:val="22"/>
        </w:rPr>
        <w:t xml:space="preserve"> </w:t>
      </w:r>
    </w:p>
    <w:p w14:paraId="1C84A0B0" w14:textId="1C57AC76" w:rsidR="00CC5677" w:rsidRPr="00CC5677" w:rsidRDefault="00CC5677" w:rsidP="00F03F25">
      <w:pPr>
        <w:rPr>
          <w:b/>
          <w:szCs w:val="22"/>
        </w:rPr>
      </w:pPr>
      <w:r w:rsidRPr="00CC5677">
        <w:rPr>
          <w:b/>
          <w:szCs w:val="22"/>
        </w:rPr>
        <w:t>Key Issues for Nursing care</w:t>
      </w:r>
    </w:p>
    <w:p w14:paraId="0FB18B5C" w14:textId="173AB703" w:rsidR="00D13825" w:rsidRDefault="00CC5677" w:rsidP="00097271">
      <w:pPr>
        <w:rPr>
          <w:b/>
          <w:sz w:val="24"/>
          <w:szCs w:val="22"/>
        </w:rPr>
      </w:pPr>
      <w:r>
        <w:rPr>
          <w:szCs w:val="22"/>
        </w:rPr>
        <w:t>Patients suspected of having bone or joint infections should see a doctor immediately</w:t>
      </w:r>
      <w:r w:rsidR="0095401B">
        <w:rPr>
          <w:szCs w:val="22"/>
        </w:rPr>
        <w:t>,</w:t>
      </w:r>
      <w:r>
        <w:rPr>
          <w:szCs w:val="22"/>
        </w:rPr>
        <w:t xml:space="preserve"> as this is an emergency</w:t>
      </w:r>
      <w:r w:rsidR="007B46D0">
        <w:rPr>
          <w:szCs w:val="22"/>
        </w:rPr>
        <w:t>.</w:t>
      </w:r>
      <w:r>
        <w:rPr>
          <w:szCs w:val="22"/>
        </w:rPr>
        <w:t xml:space="preserve"> </w:t>
      </w:r>
    </w:p>
    <w:p w14:paraId="293BFB4D" w14:textId="127CD9FF" w:rsidR="00F03F25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391E25F6" w14:textId="77777777" w:rsidR="00097271" w:rsidRDefault="00502B8A" w:rsidP="00CC1FD3">
      <w:pPr>
        <w:rPr>
          <w:sz w:val="18"/>
          <w:szCs w:val="18"/>
        </w:rPr>
      </w:pPr>
      <w:r w:rsidRPr="00502B8A">
        <w:rPr>
          <w:sz w:val="18"/>
          <w:szCs w:val="18"/>
        </w:rPr>
        <w:t xml:space="preserve">Coakley G, Mathews C, Field M, Jones A, Kingsley G, Walker D, Phillips M, </w:t>
      </w:r>
      <w:proofErr w:type="spellStart"/>
      <w:r w:rsidRPr="00502B8A">
        <w:rPr>
          <w:sz w:val="18"/>
          <w:szCs w:val="18"/>
        </w:rPr>
        <w:t>Bradish</w:t>
      </w:r>
      <w:proofErr w:type="spellEnd"/>
      <w:r w:rsidRPr="00502B8A">
        <w:rPr>
          <w:sz w:val="18"/>
          <w:szCs w:val="18"/>
        </w:rPr>
        <w:t xml:space="preserve"> C, McLachlan A, Mohammed R, Weston V. BSR &amp; BHPR, BOA, RCGP and BSAC guidelines for management of the hot swollen joint in adults. Rheumatology. 2006 Jul 6;45(8):1039-41. </w:t>
      </w:r>
    </w:p>
    <w:p w14:paraId="3E30322C" w14:textId="4005C9DE" w:rsidR="00502B8A" w:rsidRDefault="00502B8A" w:rsidP="00CC1FD3">
      <w:pPr>
        <w:rPr>
          <w:sz w:val="18"/>
          <w:szCs w:val="18"/>
        </w:rPr>
      </w:pPr>
      <w:r w:rsidRPr="00502B8A">
        <w:rPr>
          <w:sz w:val="18"/>
          <w:szCs w:val="18"/>
        </w:rPr>
        <w:t xml:space="preserve">Saavedra-Lozano J, </w:t>
      </w:r>
      <w:proofErr w:type="spellStart"/>
      <w:r w:rsidRPr="00502B8A">
        <w:rPr>
          <w:sz w:val="18"/>
          <w:szCs w:val="18"/>
        </w:rPr>
        <w:t>Falup-Pecurariu</w:t>
      </w:r>
      <w:proofErr w:type="spellEnd"/>
      <w:r w:rsidRPr="00502B8A">
        <w:rPr>
          <w:sz w:val="18"/>
          <w:szCs w:val="18"/>
        </w:rPr>
        <w:t xml:space="preserve"> O, Faust SN, </w:t>
      </w:r>
      <w:proofErr w:type="spellStart"/>
      <w:r w:rsidRPr="00502B8A">
        <w:rPr>
          <w:sz w:val="18"/>
          <w:szCs w:val="18"/>
        </w:rPr>
        <w:t>Girschick</w:t>
      </w:r>
      <w:proofErr w:type="spellEnd"/>
      <w:r w:rsidRPr="00502B8A">
        <w:rPr>
          <w:sz w:val="18"/>
          <w:szCs w:val="18"/>
        </w:rPr>
        <w:t xml:space="preserve"> H, Hartwig N, Kaplan S, </w:t>
      </w:r>
      <w:proofErr w:type="spellStart"/>
      <w:r w:rsidRPr="00502B8A">
        <w:rPr>
          <w:sz w:val="18"/>
          <w:szCs w:val="18"/>
        </w:rPr>
        <w:t>Lorrot</w:t>
      </w:r>
      <w:proofErr w:type="spellEnd"/>
      <w:r w:rsidRPr="00502B8A">
        <w:rPr>
          <w:sz w:val="18"/>
          <w:szCs w:val="18"/>
        </w:rPr>
        <w:t xml:space="preserve"> M, </w:t>
      </w:r>
      <w:proofErr w:type="spellStart"/>
      <w:r w:rsidRPr="00502B8A">
        <w:rPr>
          <w:sz w:val="18"/>
          <w:szCs w:val="18"/>
        </w:rPr>
        <w:t>Mantadakis</w:t>
      </w:r>
      <w:proofErr w:type="spellEnd"/>
      <w:r w:rsidRPr="00502B8A">
        <w:rPr>
          <w:sz w:val="18"/>
          <w:szCs w:val="18"/>
        </w:rPr>
        <w:t xml:space="preserve"> E, </w:t>
      </w:r>
      <w:proofErr w:type="spellStart"/>
      <w:r w:rsidRPr="00502B8A">
        <w:rPr>
          <w:sz w:val="18"/>
          <w:szCs w:val="18"/>
        </w:rPr>
        <w:t>Peltola</w:t>
      </w:r>
      <w:proofErr w:type="spellEnd"/>
      <w:r w:rsidRPr="00502B8A">
        <w:rPr>
          <w:sz w:val="18"/>
          <w:szCs w:val="18"/>
        </w:rPr>
        <w:t xml:space="preserve"> H, </w:t>
      </w:r>
      <w:proofErr w:type="spellStart"/>
      <w:r w:rsidRPr="00502B8A">
        <w:rPr>
          <w:sz w:val="18"/>
          <w:szCs w:val="18"/>
        </w:rPr>
        <w:t>Rojo</w:t>
      </w:r>
      <w:proofErr w:type="spellEnd"/>
      <w:r w:rsidRPr="00502B8A">
        <w:rPr>
          <w:sz w:val="18"/>
          <w:szCs w:val="18"/>
        </w:rPr>
        <w:t xml:space="preserve"> P, </w:t>
      </w:r>
      <w:proofErr w:type="spellStart"/>
      <w:r w:rsidRPr="00502B8A">
        <w:rPr>
          <w:sz w:val="18"/>
          <w:szCs w:val="18"/>
        </w:rPr>
        <w:t>Zaoutis</w:t>
      </w:r>
      <w:proofErr w:type="spellEnd"/>
      <w:r w:rsidRPr="00502B8A">
        <w:rPr>
          <w:sz w:val="18"/>
          <w:szCs w:val="18"/>
        </w:rPr>
        <w:t xml:space="preserve"> T. Bone and joint infections. The Pediatric infectious disease journal. 2017 Aug 1;36(8):788-99</w:t>
      </w:r>
    </w:p>
    <w:p w14:paraId="6FFDE715" w14:textId="277D0AF7" w:rsidR="00B84C58" w:rsidRDefault="00CC1FD3" w:rsidP="005638D0">
      <w:pPr>
        <w:rPr>
          <w:sz w:val="18"/>
          <w:szCs w:val="18"/>
        </w:rPr>
      </w:pPr>
      <w:r w:rsidRPr="00CC1FD3">
        <w:rPr>
          <w:sz w:val="18"/>
          <w:szCs w:val="18"/>
        </w:rPr>
        <w:t xml:space="preserve">Korean </w:t>
      </w:r>
      <w:proofErr w:type="spellStart"/>
      <w:r w:rsidRPr="00CC1FD3">
        <w:rPr>
          <w:sz w:val="18"/>
          <w:szCs w:val="18"/>
        </w:rPr>
        <w:t>Orthopaedic</w:t>
      </w:r>
      <w:proofErr w:type="spellEnd"/>
      <w:r w:rsidRPr="00CC1FD3">
        <w:rPr>
          <w:sz w:val="18"/>
          <w:szCs w:val="18"/>
        </w:rPr>
        <w:t xml:space="preserve"> Association. Clinical guidelines for the antimicrobial treatment of bone and joint infections in Korea. Infection &amp; chemotherapy. 2014 Jun 1;46(2):125</w:t>
      </w:r>
      <w:r w:rsidRPr="00502B8A">
        <w:rPr>
          <w:sz w:val="18"/>
          <w:szCs w:val="18"/>
        </w:rPr>
        <w:t>-38</w:t>
      </w:r>
      <w:r w:rsidRPr="00CC1FD3">
        <w:t>.</w:t>
      </w:r>
    </w:p>
    <w:p w14:paraId="6F7CD64E" w14:textId="77777777" w:rsidR="00277EB3" w:rsidRPr="00CC1FD3" w:rsidRDefault="00277EB3" w:rsidP="005638D0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2EC43A9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D54558B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762A477" w14:textId="6A4ED0EA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502B8A">
              <w:rPr>
                <w:szCs w:val="22"/>
              </w:rPr>
              <w:t>Orighomisan Agboghoroma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E4C4371" w14:textId="7CB5E173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502B8A">
              <w:rPr>
                <w:szCs w:val="22"/>
              </w:rPr>
              <w:t>13 November 2018</w:t>
            </w:r>
          </w:p>
        </w:tc>
      </w:tr>
      <w:tr w:rsidR="004C4442" w:rsidRPr="00515546" w14:paraId="3D72933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9079176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2642BF6" w14:textId="5FF4DFB9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7B46D0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7F7833E" w14:textId="5F034B41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7B46D0">
              <w:rPr>
                <w:szCs w:val="22"/>
              </w:rPr>
              <w:t>16 November 2018</w:t>
            </w:r>
          </w:p>
        </w:tc>
      </w:tr>
      <w:tr w:rsidR="004C4442" w:rsidRPr="00515546" w14:paraId="65C1A2B6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F85F5C6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1329C81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DAA9FD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7EE87D40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08C15A4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9271DE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CB3F5C5" w14:textId="5C9DB537" w:rsidR="004C4442" w:rsidRPr="00515546" w:rsidRDefault="00530FFA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882F9E" w:rsidRPr="00515546" w14:paraId="56DE88B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80C8F84" w14:textId="5A40475F" w:rsidR="00882F9E" w:rsidRPr="00515546" w:rsidRDefault="00882F9E" w:rsidP="00882F9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4EA6ECD" w14:textId="2FD0789C" w:rsidR="00882F9E" w:rsidRPr="00515546" w:rsidRDefault="00882F9E" w:rsidP="00882F9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0A9A2FD" w14:textId="266D5A0F" w:rsidR="00882F9E" w:rsidRDefault="00882F9E" w:rsidP="00882F9E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882F9E" w:rsidRPr="00515546" w14:paraId="21FF2A8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819F5AA" w14:textId="77777777" w:rsidR="00882F9E" w:rsidRPr="00515546" w:rsidRDefault="00882F9E" w:rsidP="00882F9E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6F24682" w14:textId="77777777" w:rsidR="00882F9E" w:rsidRPr="00515546" w:rsidRDefault="00882F9E" w:rsidP="00882F9E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2787DB92" w14:textId="77777777" w:rsidR="00882F9E" w:rsidRPr="00515546" w:rsidRDefault="00882F9E" w:rsidP="00882F9E">
            <w:pPr>
              <w:spacing w:after="0"/>
              <w:rPr>
                <w:b/>
                <w:szCs w:val="22"/>
              </w:rPr>
            </w:pPr>
          </w:p>
        </w:tc>
      </w:tr>
    </w:tbl>
    <w:p w14:paraId="55108478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E692" w14:textId="77777777" w:rsidR="00852116" w:rsidRDefault="00852116" w:rsidP="00975A60">
      <w:pPr>
        <w:spacing w:after="0"/>
      </w:pPr>
      <w:r>
        <w:separator/>
      </w:r>
    </w:p>
  </w:endnote>
  <w:endnote w:type="continuationSeparator" w:id="0">
    <w:p w14:paraId="56A784DD" w14:textId="77777777" w:rsidR="00852116" w:rsidRDefault="00852116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30FB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7D3FD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4E5B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BB0A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9288" w14:textId="77777777" w:rsidR="00852116" w:rsidRDefault="00852116" w:rsidP="00975A60">
      <w:pPr>
        <w:spacing w:after="0"/>
      </w:pPr>
      <w:r>
        <w:separator/>
      </w:r>
    </w:p>
  </w:footnote>
  <w:footnote w:type="continuationSeparator" w:id="0">
    <w:p w14:paraId="457FBD85" w14:textId="77777777" w:rsidR="00852116" w:rsidRDefault="00852116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3575F" w14:textId="2BB6F217" w:rsidR="00D13825" w:rsidRPr="00F87812" w:rsidRDefault="00D13825" w:rsidP="00D13825">
    <w:pPr>
      <w:pStyle w:val="Header"/>
    </w:pPr>
    <w:r w:rsidRPr="00F87812">
      <w:t>Identification code: MeG-CLS-</w:t>
    </w:r>
    <w:r w:rsidR="00C359BD">
      <w:t>050</w:t>
    </w:r>
    <w:r w:rsidRPr="00F87812">
      <w:tab/>
    </w:r>
  </w:p>
  <w:p w14:paraId="337BC00A" w14:textId="6F0C0A63" w:rsidR="005D1877" w:rsidRPr="00D13825" w:rsidRDefault="00D13825" w:rsidP="00D13825">
    <w:pPr>
      <w:pStyle w:val="Header"/>
    </w:pPr>
    <w:r w:rsidRPr="00F87812">
      <w:t xml:space="preserve">Version: </w:t>
    </w:r>
    <w:r w:rsidRPr="00B84C58">
      <w:t>1.</w:t>
    </w:r>
    <w:r w:rsidR="00882F9E">
      <w:t>1</w:t>
    </w:r>
    <w:r w:rsidRPr="00D13825">
      <w:rPr>
        <w:i/>
      </w:rPr>
      <w:t xml:space="preserve"> – </w:t>
    </w:r>
    <w:r w:rsidR="0059035F">
      <w:t>31 January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A4DF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65D0831E" wp14:editId="0B42FD4E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F2DB53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7BD4D099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2E53686E" w14:textId="7FC4F102" w:rsidR="00D13825" w:rsidRPr="00F87812" w:rsidRDefault="00D13825" w:rsidP="00D13825">
    <w:pPr>
      <w:pStyle w:val="Header"/>
    </w:pPr>
    <w:r w:rsidRPr="00F87812">
      <w:t>Identification code: MeG-CLS</w:t>
    </w:r>
    <w:r w:rsidR="00C359BD">
      <w:t>-050</w:t>
    </w:r>
    <w:r w:rsidRPr="00F87812">
      <w:tab/>
    </w:r>
  </w:p>
  <w:p w14:paraId="50DA1EB3" w14:textId="1B18516E" w:rsidR="00D13825" w:rsidRPr="00F87812" w:rsidRDefault="00D13825" w:rsidP="00D13825">
    <w:pPr>
      <w:pStyle w:val="Header"/>
    </w:pPr>
    <w:r w:rsidRPr="00F87812">
      <w:t xml:space="preserve">Version: </w:t>
    </w:r>
    <w:r w:rsidRPr="00B84C58">
      <w:t>1.</w:t>
    </w:r>
    <w:r w:rsidR="00882F9E">
      <w:t>1</w:t>
    </w:r>
    <w:r w:rsidRPr="00D13825">
      <w:rPr>
        <w:i/>
      </w:rPr>
      <w:t xml:space="preserve"> – </w:t>
    </w:r>
    <w:r w:rsidR="0059035F">
      <w:t>31 January 2019</w:t>
    </w:r>
  </w:p>
  <w:p w14:paraId="5AD89197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688F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6FE47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A60699"/>
    <w:multiLevelType w:val="hybridMultilevel"/>
    <w:tmpl w:val="7F7E6DC2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966AC"/>
    <w:multiLevelType w:val="hybridMultilevel"/>
    <w:tmpl w:val="5710835A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C77941"/>
    <w:multiLevelType w:val="hybridMultilevel"/>
    <w:tmpl w:val="EA68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837F9"/>
    <w:multiLevelType w:val="hybridMultilevel"/>
    <w:tmpl w:val="E9B0B1F4"/>
    <w:lvl w:ilvl="0" w:tplc="B930DB66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A2EBE"/>
    <w:multiLevelType w:val="hybridMultilevel"/>
    <w:tmpl w:val="FC68DD4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F49FA"/>
    <w:multiLevelType w:val="hybridMultilevel"/>
    <w:tmpl w:val="9B42B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25537"/>
    <w:multiLevelType w:val="hybridMultilevel"/>
    <w:tmpl w:val="F332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13A3D"/>
    <w:multiLevelType w:val="hybridMultilevel"/>
    <w:tmpl w:val="FAA8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73BBC"/>
    <w:multiLevelType w:val="hybridMultilevel"/>
    <w:tmpl w:val="9202F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F13835"/>
    <w:multiLevelType w:val="hybridMultilevel"/>
    <w:tmpl w:val="0BFE4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77662"/>
    <w:multiLevelType w:val="hybridMultilevel"/>
    <w:tmpl w:val="C46CD512"/>
    <w:lvl w:ilvl="0" w:tplc="B930DB66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6"/>
  </w:num>
  <w:num w:numId="4">
    <w:abstractNumId w:val="1"/>
  </w:num>
  <w:num w:numId="5">
    <w:abstractNumId w:val="0"/>
  </w:num>
  <w:num w:numId="6">
    <w:abstractNumId w:val="6"/>
  </w:num>
  <w:num w:numId="7">
    <w:abstractNumId w:val="22"/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25"/>
  </w:num>
  <w:num w:numId="13">
    <w:abstractNumId w:val="31"/>
  </w:num>
  <w:num w:numId="14">
    <w:abstractNumId w:val="28"/>
  </w:num>
  <w:num w:numId="15">
    <w:abstractNumId w:val="33"/>
  </w:num>
  <w:num w:numId="16">
    <w:abstractNumId w:val="18"/>
  </w:num>
  <w:num w:numId="17">
    <w:abstractNumId w:val="12"/>
  </w:num>
  <w:num w:numId="18">
    <w:abstractNumId w:val="29"/>
  </w:num>
  <w:num w:numId="19">
    <w:abstractNumId w:val="19"/>
  </w:num>
  <w:num w:numId="20">
    <w:abstractNumId w:val="32"/>
  </w:num>
  <w:num w:numId="21">
    <w:abstractNumId w:val="21"/>
  </w:num>
  <w:num w:numId="22">
    <w:abstractNumId w:val="15"/>
  </w:num>
  <w:num w:numId="23">
    <w:abstractNumId w:val="24"/>
  </w:num>
  <w:num w:numId="24">
    <w:abstractNumId w:val="27"/>
  </w:num>
  <w:num w:numId="25">
    <w:abstractNumId w:val="7"/>
  </w:num>
  <w:num w:numId="26">
    <w:abstractNumId w:val="11"/>
  </w:num>
  <w:num w:numId="27">
    <w:abstractNumId w:val="30"/>
  </w:num>
  <w:num w:numId="28">
    <w:abstractNumId w:val="8"/>
  </w:num>
  <w:num w:numId="29">
    <w:abstractNumId w:val="34"/>
  </w:num>
  <w:num w:numId="30">
    <w:abstractNumId w:val="5"/>
  </w:num>
  <w:num w:numId="31">
    <w:abstractNumId w:val="3"/>
  </w:num>
  <w:num w:numId="32">
    <w:abstractNumId w:val="14"/>
  </w:num>
  <w:num w:numId="33">
    <w:abstractNumId w:val="10"/>
  </w:num>
  <w:num w:numId="34">
    <w:abstractNumId w:val="9"/>
  </w:num>
  <w:num w:numId="35">
    <w:abstractNumId w:val="1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SwMLW0MDKwsDC3MDJU0lEKTi0uzszPAykwqgUAyDSSwSwAAAA="/>
  </w:docVars>
  <w:rsids>
    <w:rsidRoot w:val="0034668D"/>
    <w:rsid w:val="000039D9"/>
    <w:rsid w:val="00021055"/>
    <w:rsid w:val="0002203D"/>
    <w:rsid w:val="00055A9E"/>
    <w:rsid w:val="0007147C"/>
    <w:rsid w:val="00081642"/>
    <w:rsid w:val="00097271"/>
    <w:rsid w:val="000B0885"/>
    <w:rsid w:val="00114AAF"/>
    <w:rsid w:val="001203AE"/>
    <w:rsid w:val="00166CC2"/>
    <w:rsid w:val="00175153"/>
    <w:rsid w:val="001C1450"/>
    <w:rsid w:val="00223920"/>
    <w:rsid w:val="00224179"/>
    <w:rsid w:val="00232226"/>
    <w:rsid w:val="00252A11"/>
    <w:rsid w:val="00252AC9"/>
    <w:rsid w:val="00267483"/>
    <w:rsid w:val="00277EB3"/>
    <w:rsid w:val="0029357D"/>
    <w:rsid w:val="002A2856"/>
    <w:rsid w:val="002E4C5B"/>
    <w:rsid w:val="003020A2"/>
    <w:rsid w:val="003038D3"/>
    <w:rsid w:val="00317DF6"/>
    <w:rsid w:val="003225CD"/>
    <w:rsid w:val="00330EB8"/>
    <w:rsid w:val="00341050"/>
    <w:rsid w:val="0034668D"/>
    <w:rsid w:val="00361710"/>
    <w:rsid w:val="003759CF"/>
    <w:rsid w:val="00383D2D"/>
    <w:rsid w:val="003A46C4"/>
    <w:rsid w:val="003C0800"/>
    <w:rsid w:val="003C540B"/>
    <w:rsid w:val="003C6F8A"/>
    <w:rsid w:val="003F68F5"/>
    <w:rsid w:val="003F70CA"/>
    <w:rsid w:val="004A089E"/>
    <w:rsid w:val="004A25F0"/>
    <w:rsid w:val="004A4C93"/>
    <w:rsid w:val="004C4442"/>
    <w:rsid w:val="004D5DBF"/>
    <w:rsid w:val="00502B8A"/>
    <w:rsid w:val="005151D8"/>
    <w:rsid w:val="00515546"/>
    <w:rsid w:val="00530FFA"/>
    <w:rsid w:val="005638D0"/>
    <w:rsid w:val="0059035F"/>
    <w:rsid w:val="005D1877"/>
    <w:rsid w:val="00633320"/>
    <w:rsid w:val="006402D6"/>
    <w:rsid w:val="006B53E4"/>
    <w:rsid w:val="007067BE"/>
    <w:rsid w:val="00766B0B"/>
    <w:rsid w:val="007A372E"/>
    <w:rsid w:val="007B26B1"/>
    <w:rsid w:val="007B46D0"/>
    <w:rsid w:val="007D5982"/>
    <w:rsid w:val="007F7C6B"/>
    <w:rsid w:val="0080133A"/>
    <w:rsid w:val="00852116"/>
    <w:rsid w:val="00853DC1"/>
    <w:rsid w:val="00857027"/>
    <w:rsid w:val="00882F9E"/>
    <w:rsid w:val="00891524"/>
    <w:rsid w:val="009165E9"/>
    <w:rsid w:val="009325A7"/>
    <w:rsid w:val="00951BEB"/>
    <w:rsid w:val="009534DC"/>
    <w:rsid w:val="0095401B"/>
    <w:rsid w:val="00954B70"/>
    <w:rsid w:val="00955118"/>
    <w:rsid w:val="00975A60"/>
    <w:rsid w:val="009956F9"/>
    <w:rsid w:val="009B290B"/>
    <w:rsid w:val="009B44BE"/>
    <w:rsid w:val="009F5B1B"/>
    <w:rsid w:val="00A01A6C"/>
    <w:rsid w:val="00A312D8"/>
    <w:rsid w:val="00A36F49"/>
    <w:rsid w:val="00A41080"/>
    <w:rsid w:val="00AE1E48"/>
    <w:rsid w:val="00B31AC4"/>
    <w:rsid w:val="00B40556"/>
    <w:rsid w:val="00B844E8"/>
    <w:rsid w:val="00B84C58"/>
    <w:rsid w:val="00B97755"/>
    <w:rsid w:val="00BD08AB"/>
    <w:rsid w:val="00BE0C38"/>
    <w:rsid w:val="00BE5503"/>
    <w:rsid w:val="00C05D44"/>
    <w:rsid w:val="00C359BD"/>
    <w:rsid w:val="00C67021"/>
    <w:rsid w:val="00CA45A8"/>
    <w:rsid w:val="00CC1FD3"/>
    <w:rsid w:val="00CC3CF5"/>
    <w:rsid w:val="00CC5677"/>
    <w:rsid w:val="00CD4A1D"/>
    <w:rsid w:val="00D011AA"/>
    <w:rsid w:val="00D03AB2"/>
    <w:rsid w:val="00D13825"/>
    <w:rsid w:val="00D43175"/>
    <w:rsid w:val="00D46354"/>
    <w:rsid w:val="00D82BB2"/>
    <w:rsid w:val="00DA0C63"/>
    <w:rsid w:val="00DA20ED"/>
    <w:rsid w:val="00DC1CC5"/>
    <w:rsid w:val="00DC454C"/>
    <w:rsid w:val="00DC590C"/>
    <w:rsid w:val="00DE3D6D"/>
    <w:rsid w:val="00DF345F"/>
    <w:rsid w:val="00E162DA"/>
    <w:rsid w:val="00E50367"/>
    <w:rsid w:val="00EC5C8A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2D2F7B"/>
  <w15:docId w15:val="{A251EC54-01F0-4DD0-AE20-53A8B97A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02203D"/>
    <w:pPr>
      <w:spacing w:before="120" w:after="180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02203D"/>
    <w:rPr>
      <w:rFonts w:ascii="Arial" w:eastAsia="Times New Roman" w:hAnsi="Arial" w:cs="Times New Roman"/>
      <w:b/>
      <w:bCs/>
      <w:sz w:val="22"/>
      <w:szCs w:val="26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B46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B46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B46D0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B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46D0"/>
    <w:rPr>
      <w:rFonts w:ascii="Arial" w:hAnsi="Arial"/>
      <w:b/>
      <w:bCs/>
      <w:lang w:val="en-US"/>
    </w:rPr>
  </w:style>
  <w:style w:type="paragraph" w:styleId="Revision">
    <w:name w:val="Revision"/>
    <w:hidden/>
    <w:semiHidden/>
    <w:rsid w:val="00AE1E48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gboghoroma\Documents\Creating%20New%20CSD%20guidelin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0F94-673A-4329-9F61-B1C7FD02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24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Agboghoroma Orighomisan</dc:creator>
  <cp:keywords/>
  <dc:description/>
  <cp:lastModifiedBy>Karen Forrest</cp:lastModifiedBy>
  <cp:revision>20</cp:revision>
  <cp:lastPrinted>2019-05-09T14:42:00Z</cp:lastPrinted>
  <dcterms:created xsi:type="dcterms:W3CDTF">2018-11-19T10:51:00Z</dcterms:created>
  <dcterms:modified xsi:type="dcterms:W3CDTF">2019-05-09T14:42:00Z</dcterms:modified>
</cp:coreProperties>
</file>