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36AD3" w14:textId="5035F03E" w:rsidR="00F06346" w:rsidRPr="00B87E5A" w:rsidRDefault="001B317D" w:rsidP="00975A60">
      <w:pPr>
        <w:pStyle w:val="Heading2"/>
        <w:rPr>
          <w:rFonts w:cs="Arial"/>
          <w:color w:val="000000" w:themeColor="text1"/>
          <w:sz w:val="28"/>
          <w:lang w:val="en-GB"/>
        </w:rPr>
      </w:pPr>
      <w:r w:rsidRPr="00B87E5A">
        <w:rPr>
          <w:rFonts w:cs="Arial"/>
          <w:color w:val="000000" w:themeColor="text1"/>
          <w:sz w:val="28"/>
          <w:lang w:val="en-GB"/>
        </w:rPr>
        <w:t>Cellulitis</w:t>
      </w:r>
    </w:p>
    <w:p w14:paraId="31DF3F87" w14:textId="77777777" w:rsidR="00B56E27" w:rsidRPr="003D0A6E" w:rsidRDefault="00B56E27" w:rsidP="00B56E27">
      <w:pPr>
        <w:pStyle w:val="Heading2"/>
        <w:rPr>
          <w:i/>
        </w:rPr>
      </w:pPr>
      <w:r w:rsidRPr="003D0A6E">
        <w:rPr>
          <w:i/>
        </w:rPr>
        <w:t>Executive summary</w:t>
      </w:r>
    </w:p>
    <w:p w14:paraId="5C94D99C" w14:textId="77777777" w:rsidR="00B56E27" w:rsidRDefault="00B56E27" w:rsidP="00B56E27">
      <w:pPr>
        <w:pStyle w:val="Heading2"/>
        <w:rPr>
          <w:rFonts w:cs="Arial"/>
          <w:szCs w:val="22"/>
        </w:rPr>
      </w:pPr>
      <w:r w:rsidRPr="00DC590C">
        <w:rPr>
          <w:rFonts w:cs="Arial"/>
          <w:szCs w:val="22"/>
        </w:rPr>
        <w:t>Introduction</w:t>
      </w:r>
    </w:p>
    <w:p w14:paraId="4741B585" w14:textId="77777777" w:rsidR="00B56E27" w:rsidRPr="00B87E5A" w:rsidRDefault="00B56E27" w:rsidP="00B56E27">
      <w:pPr>
        <w:rPr>
          <w:color w:val="000000" w:themeColor="text1"/>
          <w:lang w:val="en-GB"/>
        </w:rPr>
      </w:pPr>
      <w:r w:rsidRPr="00B87E5A">
        <w:rPr>
          <w:color w:val="000000" w:themeColor="text1"/>
          <w:lang w:val="en-GB"/>
        </w:rPr>
        <w:t>The term cellulitis is commonly used to indicate a non</w:t>
      </w:r>
      <w:r>
        <w:rPr>
          <w:color w:val="000000" w:themeColor="text1"/>
          <w:lang w:val="en-GB"/>
        </w:rPr>
        <w:t>-</w:t>
      </w:r>
      <w:r w:rsidRPr="00B87E5A">
        <w:rPr>
          <w:color w:val="000000" w:themeColor="text1"/>
          <w:lang w:val="en-GB"/>
        </w:rPr>
        <w:t>necrotizing inflammation of the skin and subcutaneous tissues, usually from acute infection. Cellulitis usually follows a breach in the skin, although a portal of entry may not be obvious; the breach may involve microscopic skin changes or invasive qualities of certain bacteria.</w:t>
      </w:r>
    </w:p>
    <w:p w14:paraId="712322D0" w14:textId="75B6EA56" w:rsidR="00940E94" w:rsidRPr="00471542" w:rsidRDefault="00940E94" w:rsidP="00940E94">
      <w:pPr>
        <w:pStyle w:val="Heading2"/>
      </w:pPr>
      <w:r w:rsidRPr="00471542">
        <w:t>Target User</w:t>
      </w:r>
      <w:r>
        <w:t>s</w:t>
      </w:r>
    </w:p>
    <w:p w14:paraId="6BFB8131" w14:textId="77777777" w:rsidR="00940E94" w:rsidRPr="00471542" w:rsidRDefault="00940E94" w:rsidP="00940E94">
      <w:pPr>
        <w:pStyle w:val="ListParagraph"/>
        <w:numPr>
          <w:ilvl w:val="0"/>
          <w:numId w:val="27"/>
        </w:numPr>
      </w:pPr>
      <w:r w:rsidRPr="00471542">
        <w:t>Doctors</w:t>
      </w:r>
    </w:p>
    <w:p w14:paraId="2A8CCC40" w14:textId="00D06E2F" w:rsidR="00940E94" w:rsidRPr="00471542" w:rsidRDefault="00940E94" w:rsidP="00940E94">
      <w:pPr>
        <w:pStyle w:val="ListParagraph"/>
        <w:numPr>
          <w:ilvl w:val="0"/>
          <w:numId w:val="27"/>
        </w:numPr>
      </w:pPr>
      <w:r>
        <w:t>Nurses</w:t>
      </w:r>
    </w:p>
    <w:p w14:paraId="76848FB5" w14:textId="77777777" w:rsidR="00940E94" w:rsidRPr="00471542" w:rsidRDefault="00940E94" w:rsidP="00940E94">
      <w:pPr>
        <w:pStyle w:val="Heading2"/>
      </w:pPr>
      <w:r w:rsidRPr="00471542">
        <w:t xml:space="preserve">Target area of use </w:t>
      </w:r>
    </w:p>
    <w:p w14:paraId="568A1880" w14:textId="77777777" w:rsidR="00940E94" w:rsidRPr="006E2AD2" w:rsidRDefault="00940E94" w:rsidP="00940E94">
      <w:pPr>
        <w:pStyle w:val="ListParagraph"/>
        <w:numPr>
          <w:ilvl w:val="0"/>
          <w:numId w:val="28"/>
        </w:numPr>
      </w:pPr>
      <w:r w:rsidRPr="00471542">
        <w:t>Ward</w:t>
      </w:r>
    </w:p>
    <w:p w14:paraId="0ADAC92F" w14:textId="75C4FBE3" w:rsidR="00940E94" w:rsidRPr="006E2AD2" w:rsidRDefault="00940E94" w:rsidP="00940E94">
      <w:pPr>
        <w:pStyle w:val="ListParagraph"/>
        <w:numPr>
          <w:ilvl w:val="0"/>
          <w:numId w:val="28"/>
        </w:numPr>
      </w:pPr>
      <w:r>
        <w:t>Outpatient department</w:t>
      </w:r>
    </w:p>
    <w:p w14:paraId="0664CC05" w14:textId="77777777" w:rsidR="00940E94" w:rsidRPr="00471542" w:rsidRDefault="00940E94" w:rsidP="00940E94">
      <w:pPr>
        <w:pStyle w:val="ListParagraph"/>
        <w:numPr>
          <w:ilvl w:val="0"/>
          <w:numId w:val="28"/>
        </w:numPr>
      </w:pPr>
      <w:r>
        <w:t>Gate clinic</w:t>
      </w:r>
    </w:p>
    <w:p w14:paraId="1398ED3B" w14:textId="77777777" w:rsidR="00940E94" w:rsidRDefault="00940E94" w:rsidP="00940E94">
      <w:pPr>
        <w:pStyle w:val="Heading2"/>
      </w:pPr>
      <w:r w:rsidRPr="00471542">
        <w:t>Key areas of focus/new additions/changes</w:t>
      </w:r>
    </w:p>
    <w:p w14:paraId="6CD19C44" w14:textId="77777777" w:rsidR="00940E94" w:rsidRPr="00815CE8" w:rsidRDefault="00940E94" w:rsidP="00940E94">
      <w:r w:rsidRPr="00815CE8">
        <w:t xml:space="preserve">These guidelines </w:t>
      </w:r>
      <w:proofErr w:type="gramStart"/>
      <w:r w:rsidRPr="00815CE8">
        <w:t>addresses</w:t>
      </w:r>
      <w:proofErr w:type="gramEnd"/>
      <w:r w:rsidRPr="00815CE8">
        <w:t xml:space="preserve"> the management </w:t>
      </w:r>
      <w:r>
        <w:t>of cellulitis in adults and children.</w:t>
      </w:r>
    </w:p>
    <w:p w14:paraId="4064C082" w14:textId="77777777" w:rsidR="00940E94" w:rsidRDefault="00940E94" w:rsidP="00940E94">
      <w:pPr>
        <w:pStyle w:val="Heading2"/>
      </w:pPr>
      <w:r w:rsidRPr="00471542">
        <w:t>Limitations</w:t>
      </w:r>
    </w:p>
    <w:p w14:paraId="743A12F7" w14:textId="77777777" w:rsidR="00940E94" w:rsidRPr="00471542" w:rsidRDefault="00940E94" w:rsidP="00940E94">
      <w:r>
        <w:t>Patient with complicated cellulitis associated with compartment syndrome or necrosis must be referred to a surgeon.</w:t>
      </w:r>
    </w:p>
    <w:p w14:paraId="0E37EEBE" w14:textId="77777777" w:rsidR="00B56E27" w:rsidRDefault="00B56E27" w:rsidP="00B56E27">
      <w:pPr>
        <w:spacing w:after="0"/>
        <w:outlineLvl w:val="9"/>
        <w:rPr>
          <w:b/>
          <w:sz w:val="24"/>
          <w:szCs w:val="22"/>
        </w:rPr>
      </w:pPr>
      <w:r>
        <w:rPr>
          <w:szCs w:val="22"/>
        </w:rPr>
        <w:br w:type="page"/>
      </w:r>
    </w:p>
    <w:p w14:paraId="165FC33D" w14:textId="4C34096B" w:rsidR="00975A60" w:rsidRPr="00B87E5A" w:rsidRDefault="00975A60" w:rsidP="00975A60">
      <w:pPr>
        <w:pStyle w:val="Heading2"/>
        <w:rPr>
          <w:rFonts w:cs="Arial"/>
          <w:color w:val="000000" w:themeColor="text1"/>
          <w:szCs w:val="22"/>
          <w:lang w:val="en-GB"/>
        </w:rPr>
      </w:pPr>
      <w:r w:rsidRPr="00B87E5A">
        <w:rPr>
          <w:rFonts w:cs="Arial"/>
          <w:color w:val="000000" w:themeColor="text1"/>
          <w:szCs w:val="22"/>
          <w:lang w:val="en-GB"/>
        </w:rPr>
        <w:lastRenderedPageBreak/>
        <w:t>Presenting symptoms and signs</w:t>
      </w:r>
    </w:p>
    <w:p w14:paraId="635E94A5" w14:textId="555E3905" w:rsidR="00AA46AD" w:rsidRPr="00B87E5A" w:rsidRDefault="00A87061" w:rsidP="00A87061">
      <w:pPr>
        <w:rPr>
          <w:color w:val="000000" w:themeColor="text1"/>
          <w:lang w:val="en-GB"/>
        </w:rPr>
      </w:pPr>
      <w:proofErr w:type="spellStart"/>
      <w:r w:rsidRPr="00B87E5A">
        <w:rPr>
          <w:color w:val="000000" w:themeColor="text1"/>
          <w:lang w:val="en-GB"/>
        </w:rPr>
        <w:t>Nonpurulent</w:t>
      </w:r>
      <w:proofErr w:type="spellEnd"/>
      <w:r w:rsidRPr="00B87E5A">
        <w:rPr>
          <w:color w:val="000000" w:themeColor="text1"/>
          <w:lang w:val="en-GB"/>
        </w:rPr>
        <w:t xml:space="preserve"> cellulitis is associated with the 4 cardinal signs of infections, as follows</w:t>
      </w:r>
      <w:r w:rsidR="00CC4368" w:rsidRPr="00B87E5A">
        <w:rPr>
          <w:color w:val="000000" w:themeColor="text1"/>
          <w:lang w:val="en-GB"/>
        </w:rPr>
        <w:t>:</w:t>
      </w:r>
    </w:p>
    <w:p w14:paraId="1ABE5C12" w14:textId="6A1288F9" w:rsidR="00CC4368" w:rsidRPr="00B87E5A" w:rsidRDefault="0010563C" w:rsidP="0052773E">
      <w:pPr>
        <w:pStyle w:val="ListParagraph"/>
        <w:numPr>
          <w:ilvl w:val="0"/>
          <w:numId w:val="2"/>
        </w:numPr>
        <w:rPr>
          <w:color w:val="000000" w:themeColor="text1"/>
          <w:lang w:val="en-GB"/>
        </w:rPr>
      </w:pPr>
      <w:r w:rsidRPr="00B87E5A">
        <w:rPr>
          <w:color w:val="000000" w:themeColor="text1"/>
          <w:lang w:val="en-GB"/>
        </w:rPr>
        <w:t>Erythema</w:t>
      </w:r>
    </w:p>
    <w:p w14:paraId="47201632" w14:textId="3430C971" w:rsidR="0010563C" w:rsidRPr="00B87E5A" w:rsidRDefault="0010563C" w:rsidP="0052773E">
      <w:pPr>
        <w:pStyle w:val="ListParagraph"/>
        <w:numPr>
          <w:ilvl w:val="0"/>
          <w:numId w:val="2"/>
        </w:numPr>
        <w:rPr>
          <w:color w:val="000000" w:themeColor="text1"/>
          <w:lang w:val="en-GB"/>
        </w:rPr>
      </w:pPr>
      <w:r w:rsidRPr="00B87E5A">
        <w:rPr>
          <w:color w:val="000000" w:themeColor="text1"/>
          <w:lang w:val="en-GB"/>
        </w:rPr>
        <w:t>Pain</w:t>
      </w:r>
    </w:p>
    <w:p w14:paraId="4EACB3D0" w14:textId="5AB75DCA" w:rsidR="0010563C" w:rsidRPr="00B87E5A" w:rsidRDefault="0010563C" w:rsidP="0052773E">
      <w:pPr>
        <w:pStyle w:val="ListParagraph"/>
        <w:numPr>
          <w:ilvl w:val="0"/>
          <w:numId w:val="2"/>
        </w:numPr>
        <w:rPr>
          <w:color w:val="000000" w:themeColor="text1"/>
          <w:lang w:val="en-GB"/>
        </w:rPr>
      </w:pPr>
      <w:r w:rsidRPr="00B87E5A">
        <w:rPr>
          <w:color w:val="000000" w:themeColor="text1"/>
          <w:lang w:val="en-GB"/>
        </w:rPr>
        <w:t>Swelling</w:t>
      </w:r>
    </w:p>
    <w:p w14:paraId="4795F602" w14:textId="524D9E58" w:rsidR="0010563C" w:rsidRPr="00B87E5A" w:rsidRDefault="0010563C" w:rsidP="0052773E">
      <w:pPr>
        <w:pStyle w:val="ListParagraph"/>
        <w:numPr>
          <w:ilvl w:val="0"/>
          <w:numId w:val="2"/>
        </w:numPr>
        <w:rPr>
          <w:color w:val="000000" w:themeColor="text1"/>
          <w:lang w:val="en-GB"/>
        </w:rPr>
      </w:pPr>
      <w:r w:rsidRPr="00B87E5A">
        <w:rPr>
          <w:color w:val="000000" w:themeColor="text1"/>
          <w:lang w:val="en-GB"/>
        </w:rPr>
        <w:t>Warmth</w:t>
      </w:r>
    </w:p>
    <w:p w14:paraId="14D81313" w14:textId="7C0AE675" w:rsidR="0010563C" w:rsidRPr="00B87E5A" w:rsidRDefault="000651B8" w:rsidP="000651B8">
      <w:pPr>
        <w:rPr>
          <w:color w:val="000000" w:themeColor="text1"/>
          <w:lang w:val="en-GB"/>
        </w:rPr>
      </w:pPr>
      <w:r w:rsidRPr="00B87E5A">
        <w:rPr>
          <w:color w:val="000000" w:themeColor="text1"/>
          <w:lang w:val="en-GB"/>
        </w:rPr>
        <w:t>The follow findings suggest severe infection:</w:t>
      </w:r>
    </w:p>
    <w:p w14:paraId="49381C07" w14:textId="2E8870D7" w:rsidR="000651B8" w:rsidRPr="00B87E5A" w:rsidRDefault="000651B8" w:rsidP="0052773E">
      <w:pPr>
        <w:pStyle w:val="ListParagraph"/>
        <w:numPr>
          <w:ilvl w:val="0"/>
          <w:numId w:val="3"/>
        </w:numPr>
        <w:rPr>
          <w:color w:val="000000" w:themeColor="text1"/>
          <w:lang w:val="en-GB"/>
        </w:rPr>
      </w:pPr>
      <w:r w:rsidRPr="00B87E5A">
        <w:rPr>
          <w:color w:val="000000" w:themeColor="text1"/>
          <w:lang w:val="en-GB"/>
        </w:rPr>
        <w:t>Malaise</w:t>
      </w:r>
    </w:p>
    <w:p w14:paraId="435DC5D7" w14:textId="6AF6EEBD" w:rsidR="000651B8" w:rsidRPr="00B87E5A" w:rsidRDefault="000651B8" w:rsidP="0052773E">
      <w:pPr>
        <w:pStyle w:val="ListParagraph"/>
        <w:numPr>
          <w:ilvl w:val="0"/>
          <w:numId w:val="3"/>
        </w:numPr>
        <w:rPr>
          <w:color w:val="000000" w:themeColor="text1"/>
          <w:lang w:val="en-GB"/>
        </w:rPr>
      </w:pPr>
      <w:r w:rsidRPr="00B87E5A">
        <w:rPr>
          <w:color w:val="000000" w:themeColor="text1"/>
          <w:lang w:val="en-GB"/>
        </w:rPr>
        <w:t>Chills</w:t>
      </w:r>
    </w:p>
    <w:p w14:paraId="5E129DC1" w14:textId="44F14AB9" w:rsidR="000651B8" w:rsidRPr="00B87E5A" w:rsidRDefault="000651B8" w:rsidP="0052773E">
      <w:pPr>
        <w:pStyle w:val="ListParagraph"/>
        <w:numPr>
          <w:ilvl w:val="0"/>
          <w:numId w:val="3"/>
        </w:numPr>
        <w:rPr>
          <w:color w:val="000000" w:themeColor="text1"/>
          <w:lang w:val="en-GB"/>
        </w:rPr>
      </w:pPr>
      <w:r w:rsidRPr="00B87E5A">
        <w:rPr>
          <w:color w:val="000000" w:themeColor="text1"/>
          <w:lang w:val="en-GB"/>
        </w:rPr>
        <w:t>Fever and toxicity</w:t>
      </w:r>
    </w:p>
    <w:p w14:paraId="77CC847A" w14:textId="0CCD1A92" w:rsidR="000651B8" w:rsidRPr="00B87E5A" w:rsidRDefault="000651B8" w:rsidP="0052773E">
      <w:pPr>
        <w:pStyle w:val="ListParagraph"/>
        <w:numPr>
          <w:ilvl w:val="0"/>
          <w:numId w:val="3"/>
        </w:numPr>
        <w:rPr>
          <w:color w:val="000000" w:themeColor="text1"/>
          <w:lang w:val="en-GB"/>
        </w:rPr>
      </w:pPr>
      <w:r w:rsidRPr="00B87E5A">
        <w:rPr>
          <w:color w:val="000000" w:themeColor="text1"/>
          <w:lang w:val="en-GB"/>
        </w:rPr>
        <w:t>Circumferential cellulitis</w:t>
      </w:r>
    </w:p>
    <w:p w14:paraId="43AF614D" w14:textId="3380FEA6" w:rsidR="000651B8" w:rsidRPr="00B87E5A" w:rsidRDefault="000651B8" w:rsidP="0052773E">
      <w:pPr>
        <w:pStyle w:val="ListParagraph"/>
        <w:numPr>
          <w:ilvl w:val="0"/>
          <w:numId w:val="3"/>
        </w:numPr>
        <w:rPr>
          <w:color w:val="000000" w:themeColor="text1"/>
          <w:lang w:val="en-GB"/>
        </w:rPr>
      </w:pPr>
      <w:r w:rsidRPr="00B87E5A">
        <w:rPr>
          <w:color w:val="000000" w:themeColor="text1"/>
          <w:lang w:val="en-GB"/>
        </w:rPr>
        <w:t>Lymphangitic spread (red lines streaking away from the area of infection)</w:t>
      </w:r>
    </w:p>
    <w:p w14:paraId="441F757C" w14:textId="4DA47740" w:rsidR="0029386B" w:rsidRPr="00B87E5A" w:rsidRDefault="0029386B" w:rsidP="0052773E">
      <w:pPr>
        <w:pStyle w:val="ListParagraph"/>
        <w:numPr>
          <w:ilvl w:val="0"/>
          <w:numId w:val="3"/>
        </w:numPr>
        <w:rPr>
          <w:color w:val="000000" w:themeColor="text1"/>
          <w:lang w:val="en-GB"/>
        </w:rPr>
      </w:pPr>
      <w:r w:rsidRPr="00B87E5A">
        <w:rPr>
          <w:color w:val="000000" w:themeColor="text1"/>
          <w:lang w:val="en-GB"/>
        </w:rPr>
        <w:t>Crepitus</w:t>
      </w:r>
    </w:p>
    <w:p w14:paraId="0427A076" w14:textId="09B3A4A2" w:rsidR="0084489C" w:rsidRPr="00440AAC" w:rsidRDefault="000651B8" w:rsidP="00440AAC">
      <w:pPr>
        <w:pStyle w:val="ListParagraph"/>
        <w:numPr>
          <w:ilvl w:val="0"/>
          <w:numId w:val="3"/>
        </w:numPr>
        <w:rPr>
          <w:color w:val="000000" w:themeColor="text1"/>
          <w:lang w:val="en-GB"/>
        </w:rPr>
      </w:pPr>
      <w:r w:rsidRPr="00B87E5A">
        <w:rPr>
          <w:color w:val="000000" w:themeColor="text1"/>
          <w:lang w:val="en-GB"/>
        </w:rPr>
        <w:t>Pain disproportionate to examination findings</w:t>
      </w:r>
    </w:p>
    <w:p w14:paraId="44667065" w14:textId="60D8B66B" w:rsidR="00975A60" w:rsidRPr="00B87E5A" w:rsidRDefault="00975A60" w:rsidP="00CA5B26">
      <w:pPr>
        <w:pStyle w:val="Heading2"/>
        <w:spacing w:after="120"/>
        <w:rPr>
          <w:rFonts w:cs="Arial"/>
          <w:color w:val="000000" w:themeColor="text1"/>
          <w:szCs w:val="22"/>
          <w:lang w:val="en-GB"/>
        </w:rPr>
      </w:pPr>
      <w:r w:rsidRPr="00B87E5A">
        <w:rPr>
          <w:rFonts w:cs="Arial"/>
          <w:color w:val="000000" w:themeColor="text1"/>
          <w:szCs w:val="22"/>
          <w:lang w:val="en-GB"/>
        </w:rPr>
        <w:t>Examination findings</w:t>
      </w:r>
    </w:p>
    <w:p w14:paraId="604282FB" w14:textId="443C111D" w:rsidR="0029386B" w:rsidRPr="00677F2F" w:rsidRDefault="003D03A8" w:rsidP="00870784">
      <w:pPr>
        <w:rPr>
          <w:lang w:val="en-GB"/>
        </w:rPr>
      </w:pPr>
      <w:r w:rsidRPr="00B87E5A">
        <w:rPr>
          <w:lang w:val="en-GB"/>
        </w:rPr>
        <w:t>The involved site(s) is/are red, hot, swollen and tender.</w:t>
      </w:r>
      <w:r w:rsidR="0029386B" w:rsidRPr="00B87E5A">
        <w:t xml:space="preserve"> </w:t>
      </w:r>
      <w:r w:rsidR="0029386B" w:rsidRPr="00B87E5A">
        <w:rPr>
          <w:lang w:val="en-GB"/>
        </w:rPr>
        <w:t>The leg is the most common site</w:t>
      </w:r>
      <w:r w:rsidR="00677F2F">
        <w:rPr>
          <w:lang w:val="en-GB"/>
        </w:rPr>
        <w:t xml:space="preserve">. </w:t>
      </w:r>
      <w:r w:rsidR="0029386B" w:rsidRPr="00677F2F">
        <w:rPr>
          <w:lang w:val="en-GB"/>
        </w:rPr>
        <w:t>Tinea pedis lesions may be the sites of entry</w:t>
      </w:r>
    </w:p>
    <w:p w14:paraId="3742B7EE" w14:textId="15845DF9" w:rsidR="003D03A8" w:rsidRPr="00870784" w:rsidRDefault="003D03A8" w:rsidP="00870784">
      <w:pPr>
        <w:pStyle w:val="ListParagraph"/>
        <w:numPr>
          <w:ilvl w:val="0"/>
          <w:numId w:val="29"/>
        </w:numPr>
        <w:rPr>
          <w:lang w:val="en-GB"/>
        </w:rPr>
      </w:pPr>
      <w:r w:rsidRPr="00870784">
        <w:rPr>
          <w:lang w:val="en-GB"/>
        </w:rPr>
        <w:t xml:space="preserve">Regional lymphadenopathy </w:t>
      </w:r>
      <w:r w:rsidR="0029386B" w:rsidRPr="00870784">
        <w:rPr>
          <w:lang w:val="en-GB"/>
        </w:rPr>
        <w:t>may be</w:t>
      </w:r>
      <w:r w:rsidRPr="00870784">
        <w:rPr>
          <w:lang w:val="en-GB"/>
        </w:rPr>
        <w:t xml:space="preserve"> present</w:t>
      </w:r>
    </w:p>
    <w:p w14:paraId="21D1B671" w14:textId="3A534EA3" w:rsidR="003D03A8" w:rsidRPr="00870784" w:rsidRDefault="003D03A8" w:rsidP="00870784">
      <w:pPr>
        <w:pStyle w:val="ListParagraph"/>
        <w:numPr>
          <w:ilvl w:val="0"/>
          <w:numId w:val="29"/>
        </w:numPr>
        <w:rPr>
          <w:lang w:val="en-GB"/>
        </w:rPr>
      </w:pPr>
      <w:r w:rsidRPr="00870784">
        <w:rPr>
          <w:lang w:val="en-GB"/>
        </w:rPr>
        <w:t xml:space="preserve">Malaise, chills, fever, and toxicity </w:t>
      </w:r>
      <w:r w:rsidR="0029386B" w:rsidRPr="00870784">
        <w:rPr>
          <w:lang w:val="en-GB"/>
        </w:rPr>
        <w:t>may be</w:t>
      </w:r>
      <w:r w:rsidRPr="00870784">
        <w:rPr>
          <w:lang w:val="en-GB"/>
        </w:rPr>
        <w:t xml:space="preserve"> present</w:t>
      </w:r>
    </w:p>
    <w:p w14:paraId="5455E3B8" w14:textId="6C14CFC6" w:rsidR="003D03A8" w:rsidRPr="00B87E5A" w:rsidRDefault="003D03A8" w:rsidP="00870784">
      <w:pPr>
        <w:rPr>
          <w:lang w:val="en-GB"/>
        </w:rPr>
      </w:pPr>
      <w:r w:rsidRPr="00B87E5A">
        <w:rPr>
          <w:lang w:val="en-GB"/>
        </w:rPr>
        <w:t xml:space="preserve">Skin infections without </w:t>
      </w:r>
      <w:r w:rsidR="0029386B" w:rsidRPr="00B87E5A">
        <w:rPr>
          <w:lang w:val="en-GB"/>
        </w:rPr>
        <w:t xml:space="preserve">associated </w:t>
      </w:r>
      <w:r w:rsidRPr="00B87E5A">
        <w:rPr>
          <w:lang w:val="en-GB"/>
        </w:rPr>
        <w:t>drainage, penetrating trauma, eschar, or abscess is most likely caused by streptococci; on the other hand</w:t>
      </w:r>
      <w:r w:rsidRPr="00B87E5A">
        <w:rPr>
          <w:b/>
          <w:lang w:val="en-GB"/>
        </w:rPr>
        <w:t xml:space="preserve">, </w:t>
      </w:r>
      <w:r w:rsidRPr="009467FB">
        <w:rPr>
          <w:b/>
          <w:i/>
          <w:lang w:val="en-GB"/>
        </w:rPr>
        <w:t>S aureus</w:t>
      </w:r>
      <w:r w:rsidRPr="00B87E5A">
        <w:rPr>
          <w:lang w:val="en-GB"/>
        </w:rPr>
        <w:t xml:space="preserve">, often community acquired methicillin-resistant </w:t>
      </w:r>
      <w:r w:rsidRPr="009467FB">
        <w:rPr>
          <w:i/>
          <w:lang w:val="en-GB"/>
        </w:rPr>
        <w:t>S aureus</w:t>
      </w:r>
      <w:r w:rsidR="00562742">
        <w:rPr>
          <w:i/>
          <w:lang w:val="en-GB"/>
        </w:rPr>
        <w:t xml:space="preserve"> </w:t>
      </w:r>
      <w:r w:rsidR="00562742" w:rsidRPr="00562742">
        <w:rPr>
          <w:lang w:val="en-GB"/>
        </w:rPr>
        <w:t>(MRSA)</w:t>
      </w:r>
      <w:r w:rsidRPr="00562742">
        <w:rPr>
          <w:lang w:val="en-GB"/>
        </w:rPr>
        <w:t xml:space="preserve">, </w:t>
      </w:r>
      <w:r w:rsidRPr="00B87E5A">
        <w:rPr>
          <w:lang w:val="en-GB"/>
        </w:rPr>
        <w:t>is the most likely pathogen when these factors are present.</w:t>
      </w:r>
    </w:p>
    <w:p w14:paraId="4266B9D8" w14:textId="2FB118AC" w:rsidR="003D03A8" w:rsidRPr="00B87E5A" w:rsidRDefault="003D03A8" w:rsidP="00870784">
      <w:pPr>
        <w:rPr>
          <w:lang w:val="en-GB"/>
        </w:rPr>
      </w:pPr>
      <w:r w:rsidRPr="00B87E5A">
        <w:rPr>
          <w:lang w:val="en-GB"/>
        </w:rPr>
        <w:t xml:space="preserve">Perianal cellulitis is usually observed in children with perianal fissures; it is characterized by </w:t>
      </w:r>
      <w:r w:rsidRPr="00B87E5A">
        <w:rPr>
          <w:b/>
          <w:lang w:val="en-GB"/>
        </w:rPr>
        <w:t>perianal erythema</w:t>
      </w:r>
      <w:r w:rsidRPr="00B87E5A">
        <w:rPr>
          <w:lang w:val="en-GB"/>
        </w:rPr>
        <w:t xml:space="preserve"> and </w:t>
      </w:r>
      <w:r w:rsidRPr="00B87E5A">
        <w:rPr>
          <w:b/>
          <w:lang w:val="en-GB"/>
        </w:rPr>
        <w:t>pruritis, purulent secretions</w:t>
      </w:r>
      <w:r w:rsidRPr="00B87E5A">
        <w:rPr>
          <w:lang w:val="en-GB"/>
        </w:rPr>
        <w:t xml:space="preserve">, </w:t>
      </w:r>
      <w:r w:rsidRPr="00B87E5A">
        <w:rPr>
          <w:b/>
          <w:lang w:val="en-GB"/>
        </w:rPr>
        <w:t xml:space="preserve">painful defecation </w:t>
      </w:r>
      <w:r w:rsidRPr="00B87E5A">
        <w:rPr>
          <w:lang w:val="en-GB"/>
        </w:rPr>
        <w:t xml:space="preserve">and </w:t>
      </w:r>
      <w:r w:rsidRPr="00B87E5A">
        <w:rPr>
          <w:b/>
          <w:lang w:val="en-GB"/>
        </w:rPr>
        <w:t>blood in stools</w:t>
      </w:r>
    </w:p>
    <w:p w14:paraId="380C53D4" w14:textId="436467C3" w:rsidR="003D03A8" w:rsidRPr="00B87E5A" w:rsidRDefault="003D03A8" w:rsidP="00870784">
      <w:pPr>
        <w:rPr>
          <w:lang w:val="en-GB"/>
        </w:rPr>
      </w:pPr>
      <w:r w:rsidRPr="00B87E5A">
        <w:rPr>
          <w:lang w:val="en-GB"/>
        </w:rPr>
        <w:t>Cellulitis characterized by viol</w:t>
      </w:r>
      <w:r w:rsidR="00FC26E4" w:rsidRPr="00B87E5A">
        <w:rPr>
          <w:lang w:val="en-GB"/>
        </w:rPr>
        <w:t>et</w:t>
      </w:r>
      <w:r w:rsidRPr="00B87E5A">
        <w:rPr>
          <w:lang w:val="en-GB"/>
        </w:rPr>
        <w:t xml:space="preserve"> </w:t>
      </w:r>
      <w:r w:rsidR="0062101F" w:rsidRPr="00B87E5A">
        <w:rPr>
          <w:lang w:val="en-GB"/>
        </w:rPr>
        <w:t>colour</w:t>
      </w:r>
      <w:r w:rsidRPr="00B87E5A">
        <w:rPr>
          <w:lang w:val="en-GB"/>
        </w:rPr>
        <w:t xml:space="preserve"> and bullae suggests more serious </w:t>
      </w:r>
      <w:r w:rsidR="00FC26E4" w:rsidRPr="00B87E5A">
        <w:rPr>
          <w:lang w:val="en-GB"/>
        </w:rPr>
        <w:t xml:space="preserve">or systemic infection with organisms such </w:t>
      </w:r>
      <w:r w:rsidR="00FC26E4" w:rsidRPr="00677F2F">
        <w:rPr>
          <w:lang w:val="en-GB"/>
        </w:rPr>
        <w:t>as</w:t>
      </w:r>
      <w:r w:rsidR="00FC26E4" w:rsidRPr="00B87E5A">
        <w:rPr>
          <w:b/>
          <w:lang w:val="en-GB"/>
        </w:rPr>
        <w:t xml:space="preserve"> </w:t>
      </w:r>
      <w:r w:rsidR="00FC26E4" w:rsidRPr="00677F2F">
        <w:rPr>
          <w:i/>
          <w:lang w:val="en-GB"/>
        </w:rPr>
        <w:t>V</w:t>
      </w:r>
      <w:r w:rsidR="00657154" w:rsidRPr="00677F2F">
        <w:rPr>
          <w:i/>
          <w:lang w:val="en-GB"/>
        </w:rPr>
        <w:t>.</w:t>
      </w:r>
      <w:r w:rsidR="00FC26E4" w:rsidRPr="00677F2F">
        <w:rPr>
          <w:i/>
          <w:lang w:val="en-GB"/>
        </w:rPr>
        <w:t xml:space="preserve"> vulnificus</w:t>
      </w:r>
      <w:r w:rsidR="00FC26E4" w:rsidRPr="00B87E5A">
        <w:rPr>
          <w:lang w:val="en-GB"/>
        </w:rPr>
        <w:t xml:space="preserve"> or </w:t>
      </w:r>
      <w:r w:rsidR="00FC26E4" w:rsidRPr="00677F2F">
        <w:rPr>
          <w:i/>
          <w:lang w:val="en-GB"/>
        </w:rPr>
        <w:t>S</w:t>
      </w:r>
      <w:r w:rsidR="00657154" w:rsidRPr="00677F2F">
        <w:rPr>
          <w:i/>
          <w:lang w:val="en-GB"/>
        </w:rPr>
        <w:t>.</w:t>
      </w:r>
      <w:r w:rsidR="00FC26E4" w:rsidRPr="00677F2F">
        <w:rPr>
          <w:i/>
          <w:lang w:val="en-GB"/>
        </w:rPr>
        <w:t xml:space="preserve"> pneumoniae.</w:t>
      </w:r>
    </w:p>
    <w:p w14:paraId="7972FE82" w14:textId="56C5BB03" w:rsidR="00FC26E4" w:rsidRPr="00B87E5A" w:rsidRDefault="00FC26E4" w:rsidP="00870784">
      <w:pPr>
        <w:rPr>
          <w:lang w:val="en-GB"/>
        </w:rPr>
      </w:pPr>
      <w:r w:rsidRPr="00B87E5A">
        <w:rPr>
          <w:lang w:val="en-GB"/>
        </w:rPr>
        <w:t>Lymphangitic spread</w:t>
      </w:r>
      <w:r w:rsidR="00DD3022" w:rsidRPr="00B87E5A">
        <w:rPr>
          <w:lang w:val="en-GB"/>
        </w:rPr>
        <w:t xml:space="preserve"> </w:t>
      </w:r>
      <w:r w:rsidRPr="00B87E5A">
        <w:rPr>
          <w:lang w:val="en-GB"/>
        </w:rPr>
        <w:t xml:space="preserve">(red lines streaking away from area of infection), crepitus, </w:t>
      </w:r>
      <w:r w:rsidR="00657154">
        <w:rPr>
          <w:lang w:val="en-GB"/>
        </w:rPr>
        <w:t>.</w:t>
      </w:r>
      <w:r w:rsidRPr="00B87E5A">
        <w:rPr>
          <w:lang w:val="en-GB"/>
        </w:rPr>
        <w:t>and hemodynamic instability are indications of severe infection, requiring more aggressive treatment.</w:t>
      </w:r>
    </w:p>
    <w:p w14:paraId="56453521" w14:textId="712E40A5" w:rsidR="00FC26E4" w:rsidRPr="00B87E5A" w:rsidRDefault="00FC26E4" w:rsidP="00870784">
      <w:pPr>
        <w:rPr>
          <w:lang w:val="en-GB"/>
        </w:rPr>
      </w:pPr>
      <w:r w:rsidRPr="00B87E5A">
        <w:rPr>
          <w:lang w:val="en-GB"/>
        </w:rPr>
        <w:t>Circumferential cellulitis or pain that is disproportional to examination findings should prompt consideration of sever</w:t>
      </w:r>
      <w:r w:rsidR="00701522" w:rsidRPr="00B87E5A">
        <w:rPr>
          <w:lang w:val="en-GB"/>
        </w:rPr>
        <w:t>e</w:t>
      </w:r>
      <w:r w:rsidRPr="00B87E5A">
        <w:rPr>
          <w:lang w:val="en-GB"/>
        </w:rPr>
        <w:t xml:space="preserve"> soft tissue infection</w:t>
      </w:r>
    </w:p>
    <w:p w14:paraId="537F621C" w14:textId="6112B5CE" w:rsidR="00FC26E4" w:rsidRPr="00B87E5A" w:rsidRDefault="002831BF" w:rsidP="00870784">
      <w:pPr>
        <w:rPr>
          <w:szCs w:val="22"/>
          <w:lang w:val="en-GB"/>
        </w:rPr>
      </w:pPr>
      <w:hyperlink r:id="rId7" w:history="1">
        <w:r w:rsidR="00E77561">
          <w:rPr>
            <w:b/>
            <w:szCs w:val="22"/>
            <w:lang w:val="en"/>
          </w:rPr>
          <w:t>Periorbital</w:t>
        </w:r>
      </w:hyperlink>
      <w:r w:rsidR="00E77561">
        <w:rPr>
          <w:b/>
          <w:szCs w:val="22"/>
          <w:lang w:val="en"/>
        </w:rPr>
        <w:t xml:space="preserve"> (preseptal) </w:t>
      </w:r>
      <w:proofErr w:type="gramStart"/>
      <w:r w:rsidR="00E77561">
        <w:rPr>
          <w:b/>
          <w:szCs w:val="22"/>
          <w:lang w:val="en"/>
        </w:rPr>
        <w:t xml:space="preserve">cellulitis </w:t>
      </w:r>
      <w:r w:rsidR="00FC26E4" w:rsidRPr="00B87E5A">
        <w:rPr>
          <w:szCs w:val="22"/>
          <w:lang w:val="en"/>
        </w:rPr>
        <w:t xml:space="preserve"> is</w:t>
      </w:r>
      <w:proofErr w:type="gramEnd"/>
      <w:r w:rsidR="00FC26E4" w:rsidRPr="00B87E5A">
        <w:rPr>
          <w:szCs w:val="22"/>
          <w:lang w:val="en"/>
        </w:rPr>
        <w:t xml:space="preserve"> potentially serious and merits an ophthalmology consultation and a CT scan to exclude </w:t>
      </w:r>
      <w:r w:rsidR="00E77561">
        <w:rPr>
          <w:szCs w:val="22"/>
          <w:lang w:val="en"/>
        </w:rPr>
        <w:t xml:space="preserve">an orbital </w:t>
      </w:r>
      <w:r w:rsidR="00FC26E4" w:rsidRPr="00B87E5A">
        <w:rPr>
          <w:szCs w:val="22"/>
          <w:lang w:val="en"/>
        </w:rPr>
        <w:t>infection</w:t>
      </w:r>
    </w:p>
    <w:p w14:paraId="61F07182" w14:textId="465DB5CB" w:rsidR="00FC26E4" w:rsidRPr="00B87E5A" w:rsidRDefault="00FC26E4" w:rsidP="00FC26E4">
      <w:pPr>
        <w:rPr>
          <w:color w:val="000000" w:themeColor="text1"/>
          <w:lang w:val="en-GB"/>
        </w:rPr>
      </w:pPr>
      <w:r w:rsidRPr="0078789F">
        <w:rPr>
          <w:b/>
          <w:color w:val="000000" w:themeColor="text1"/>
          <w:u w:val="single"/>
          <w:lang w:val="en-GB"/>
        </w:rPr>
        <w:t xml:space="preserve">Indication for </w:t>
      </w:r>
      <w:r w:rsidR="00BE4766" w:rsidRPr="0078789F">
        <w:rPr>
          <w:b/>
          <w:color w:val="000000" w:themeColor="text1"/>
          <w:u w:val="single"/>
          <w:lang w:val="en-GB"/>
        </w:rPr>
        <w:t xml:space="preserve">referral for </w:t>
      </w:r>
      <w:r w:rsidRPr="0078789F">
        <w:rPr>
          <w:b/>
          <w:color w:val="000000" w:themeColor="text1"/>
          <w:u w:val="single"/>
          <w:lang w:val="en-GB"/>
        </w:rPr>
        <w:t>emergent surgical evaluation</w:t>
      </w:r>
      <w:r w:rsidRPr="00B87E5A">
        <w:rPr>
          <w:color w:val="000000" w:themeColor="text1"/>
          <w:lang w:val="en-GB"/>
        </w:rPr>
        <w:t xml:space="preserve"> are as follows:</w:t>
      </w:r>
    </w:p>
    <w:p w14:paraId="603F7E9D" w14:textId="77777777" w:rsidR="00FC26E4" w:rsidRPr="00B87E5A" w:rsidRDefault="00FC26E4" w:rsidP="0052773E">
      <w:pPr>
        <w:pStyle w:val="ListParagraph"/>
        <w:numPr>
          <w:ilvl w:val="0"/>
          <w:numId w:val="4"/>
        </w:numPr>
        <w:rPr>
          <w:color w:val="000000" w:themeColor="text1"/>
          <w:lang w:val="en-GB"/>
        </w:rPr>
      </w:pPr>
      <w:r w:rsidRPr="00B87E5A">
        <w:rPr>
          <w:color w:val="000000" w:themeColor="text1"/>
          <w:lang w:val="en-GB"/>
        </w:rPr>
        <w:t>Violaceous bullae</w:t>
      </w:r>
    </w:p>
    <w:p w14:paraId="7EE92692" w14:textId="77777777" w:rsidR="00FC26E4" w:rsidRPr="00B87E5A" w:rsidRDefault="00FC26E4" w:rsidP="0052773E">
      <w:pPr>
        <w:pStyle w:val="ListParagraph"/>
        <w:numPr>
          <w:ilvl w:val="0"/>
          <w:numId w:val="4"/>
        </w:numPr>
        <w:rPr>
          <w:color w:val="000000" w:themeColor="text1"/>
          <w:lang w:val="en-GB"/>
        </w:rPr>
      </w:pPr>
      <w:r w:rsidRPr="00B87E5A">
        <w:rPr>
          <w:color w:val="000000" w:themeColor="text1"/>
          <w:lang w:val="en-GB"/>
        </w:rPr>
        <w:t>Cutaneous haemorrhage</w:t>
      </w:r>
    </w:p>
    <w:p w14:paraId="5179B190" w14:textId="77777777" w:rsidR="00FC26E4" w:rsidRPr="00B87E5A" w:rsidRDefault="00FC26E4" w:rsidP="0052773E">
      <w:pPr>
        <w:pStyle w:val="ListParagraph"/>
        <w:numPr>
          <w:ilvl w:val="0"/>
          <w:numId w:val="4"/>
        </w:numPr>
        <w:rPr>
          <w:color w:val="000000" w:themeColor="text1"/>
          <w:lang w:val="en-GB"/>
        </w:rPr>
      </w:pPr>
      <w:r w:rsidRPr="00B87E5A">
        <w:rPr>
          <w:color w:val="000000" w:themeColor="text1"/>
          <w:lang w:val="en-GB"/>
        </w:rPr>
        <w:t>Skin sloughing</w:t>
      </w:r>
    </w:p>
    <w:p w14:paraId="449DCB56" w14:textId="232CA637" w:rsidR="00FC26E4" w:rsidRPr="00B87E5A" w:rsidRDefault="00FC26E4" w:rsidP="0052773E">
      <w:pPr>
        <w:pStyle w:val="ListParagraph"/>
        <w:numPr>
          <w:ilvl w:val="0"/>
          <w:numId w:val="4"/>
        </w:numPr>
        <w:rPr>
          <w:color w:val="000000" w:themeColor="text1"/>
          <w:lang w:val="en-GB"/>
        </w:rPr>
      </w:pPr>
      <w:r w:rsidRPr="00B87E5A">
        <w:rPr>
          <w:color w:val="000000" w:themeColor="text1"/>
          <w:lang w:val="en-GB"/>
        </w:rPr>
        <w:t xml:space="preserve">Skin </w:t>
      </w:r>
      <w:r w:rsidR="00677F2F" w:rsidRPr="00B87E5A">
        <w:rPr>
          <w:color w:val="000000" w:themeColor="text1"/>
          <w:lang w:val="en-GB"/>
        </w:rPr>
        <w:t>anaesthesia</w:t>
      </w:r>
    </w:p>
    <w:p w14:paraId="748E7CE7" w14:textId="77777777" w:rsidR="00FC26E4" w:rsidRPr="00B87E5A" w:rsidRDefault="00FC26E4" w:rsidP="0052773E">
      <w:pPr>
        <w:pStyle w:val="ListParagraph"/>
        <w:numPr>
          <w:ilvl w:val="0"/>
          <w:numId w:val="4"/>
        </w:numPr>
        <w:rPr>
          <w:color w:val="000000" w:themeColor="text1"/>
          <w:lang w:val="en-GB"/>
        </w:rPr>
      </w:pPr>
      <w:r w:rsidRPr="00B87E5A">
        <w:rPr>
          <w:color w:val="000000" w:themeColor="text1"/>
          <w:lang w:val="en-GB"/>
        </w:rPr>
        <w:t>Rapid progression</w:t>
      </w:r>
    </w:p>
    <w:p w14:paraId="195AA1E1" w14:textId="72A7B67D" w:rsidR="00FC26E4" w:rsidRPr="00B87E5A" w:rsidRDefault="00FC26E4" w:rsidP="0052773E">
      <w:pPr>
        <w:pStyle w:val="ListParagraph"/>
        <w:numPr>
          <w:ilvl w:val="0"/>
          <w:numId w:val="4"/>
        </w:numPr>
        <w:rPr>
          <w:color w:val="000000" w:themeColor="text1"/>
          <w:lang w:val="en-GB"/>
        </w:rPr>
      </w:pPr>
      <w:r w:rsidRPr="00B87E5A">
        <w:rPr>
          <w:color w:val="000000" w:themeColor="text1"/>
          <w:lang w:val="en-GB"/>
        </w:rPr>
        <w:t>Gas in the tissue</w:t>
      </w:r>
      <w:r w:rsidR="0029386B" w:rsidRPr="00B87E5A">
        <w:rPr>
          <w:color w:val="000000" w:themeColor="text1"/>
          <w:lang w:val="en-GB"/>
        </w:rPr>
        <w:t xml:space="preserve"> (crepitus)</w:t>
      </w:r>
    </w:p>
    <w:p w14:paraId="59B6DE40" w14:textId="77777777" w:rsidR="00EA1890" w:rsidRPr="00B87E5A" w:rsidRDefault="00EA1890" w:rsidP="00EA1890">
      <w:pPr>
        <w:pStyle w:val="Heading2"/>
        <w:rPr>
          <w:color w:val="000000" w:themeColor="text1"/>
          <w:lang w:val="en-GB"/>
        </w:rPr>
      </w:pPr>
      <w:r w:rsidRPr="00B87E5A">
        <w:rPr>
          <w:color w:val="000000" w:themeColor="text1"/>
          <w:lang w:val="en-GB"/>
        </w:rPr>
        <w:lastRenderedPageBreak/>
        <w:t>Differential Diagnoses</w:t>
      </w:r>
    </w:p>
    <w:p w14:paraId="5C6B85D7" w14:textId="153F659E" w:rsidR="00195B96" w:rsidRPr="00B87E5A" w:rsidRDefault="00195B96" w:rsidP="0052773E">
      <w:pPr>
        <w:pStyle w:val="ListParagraph"/>
        <w:numPr>
          <w:ilvl w:val="0"/>
          <w:numId w:val="6"/>
        </w:numPr>
        <w:rPr>
          <w:color w:val="000000" w:themeColor="text1"/>
          <w:szCs w:val="22"/>
          <w:lang w:val="en-GB"/>
        </w:rPr>
      </w:pPr>
      <w:r w:rsidRPr="00B87E5A">
        <w:rPr>
          <w:color w:val="000000" w:themeColor="text1"/>
          <w:szCs w:val="22"/>
          <w:lang w:val="en-GB"/>
        </w:rPr>
        <w:t>Erysipelas (more superficial with sharply demarcated borders)</w:t>
      </w:r>
    </w:p>
    <w:p w14:paraId="1BD818A8" w14:textId="77777777" w:rsidR="0029386B" w:rsidRPr="00B87E5A" w:rsidRDefault="0029386B" w:rsidP="0029386B">
      <w:pPr>
        <w:pStyle w:val="ListParagraph"/>
        <w:numPr>
          <w:ilvl w:val="0"/>
          <w:numId w:val="6"/>
        </w:numPr>
        <w:rPr>
          <w:color w:val="000000" w:themeColor="text1"/>
          <w:szCs w:val="22"/>
          <w:lang w:val="en-GB"/>
        </w:rPr>
      </w:pPr>
      <w:r w:rsidRPr="00B87E5A">
        <w:rPr>
          <w:color w:val="000000" w:themeColor="text1"/>
          <w:szCs w:val="22"/>
          <w:lang w:val="en"/>
        </w:rPr>
        <w:t>Thrombophlebitis</w:t>
      </w:r>
    </w:p>
    <w:p w14:paraId="4C36B44E" w14:textId="77777777" w:rsidR="0029386B" w:rsidRPr="00B87E5A" w:rsidRDefault="002831BF" w:rsidP="0029386B">
      <w:pPr>
        <w:pStyle w:val="ListParagraph"/>
        <w:numPr>
          <w:ilvl w:val="0"/>
          <w:numId w:val="6"/>
        </w:numPr>
        <w:rPr>
          <w:color w:val="000000" w:themeColor="text1"/>
          <w:szCs w:val="22"/>
          <w:lang w:val="en-GB"/>
        </w:rPr>
      </w:pPr>
      <w:hyperlink r:id="rId8" w:history="1">
        <w:r w:rsidR="0029386B" w:rsidRPr="00B87E5A">
          <w:rPr>
            <w:color w:val="000000" w:themeColor="text1"/>
            <w:szCs w:val="22"/>
            <w:lang w:val="en"/>
          </w:rPr>
          <w:t>Necrotizing fasciitis</w:t>
        </w:r>
      </w:hyperlink>
    </w:p>
    <w:p w14:paraId="4DACAF66" w14:textId="77777777" w:rsidR="0029386B" w:rsidRPr="00B87E5A" w:rsidRDefault="0029386B" w:rsidP="0029386B">
      <w:pPr>
        <w:pStyle w:val="ListParagraph"/>
        <w:numPr>
          <w:ilvl w:val="0"/>
          <w:numId w:val="6"/>
        </w:numPr>
        <w:rPr>
          <w:color w:val="000000" w:themeColor="text1"/>
          <w:szCs w:val="22"/>
          <w:lang w:val="en-GB"/>
        </w:rPr>
      </w:pPr>
      <w:r w:rsidRPr="00B87E5A">
        <w:rPr>
          <w:color w:val="000000" w:themeColor="text1"/>
          <w:szCs w:val="22"/>
          <w:lang w:val="en"/>
        </w:rPr>
        <w:t>Erythroderma</w:t>
      </w:r>
    </w:p>
    <w:p w14:paraId="74D1B897" w14:textId="77777777" w:rsidR="0029386B" w:rsidRPr="00B87E5A" w:rsidRDefault="0029386B" w:rsidP="0029386B">
      <w:pPr>
        <w:pStyle w:val="ListParagraph"/>
        <w:numPr>
          <w:ilvl w:val="0"/>
          <w:numId w:val="6"/>
        </w:numPr>
        <w:rPr>
          <w:color w:val="000000" w:themeColor="text1"/>
          <w:szCs w:val="22"/>
          <w:lang w:val="en-GB"/>
        </w:rPr>
      </w:pPr>
      <w:r w:rsidRPr="00B87E5A">
        <w:rPr>
          <w:color w:val="000000" w:themeColor="text1"/>
          <w:szCs w:val="22"/>
          <w:lang w:val="en"/>
        </w:rPr>
        <w:t>Panniculitis</w:t>
      </w:r>
    </w:p>
    <w:p w14:paraId="2CA35F36" w14:textId="77777777" w:rsidR="0029386B" w:rsidRPr="00B87E5A" w:rsidRDefault="0029386B" w:rsidP="0029386B">
      <w:pPr>
        <w:pStyle w:val="ListParagraph"/>
        <w:numPr>
          <w:ilvl w:val="0"/>
          <w:numId w:val="6"/>
        </w:numPr>
        <w:rPr>
          <w:color w:val="000000" w:themeColor="text1"/>
          <w:szCs w:val="22"/>
          <w:lang w:val="en-GB"/>
        </w:rPr>
      </w:pPr>
      <w:r w:rsidRPr="00B87E5A">
        <w:rPr>
          <w:color w:val="000000" w:themeColor="text1"/>
          <w:szCs w:val="22"/>
          <w:lang w:val="en"/>
        </w:rPr>
        <w:t>Pyoderma</w:t>
      </w:r>
    </w:p>
    <w:p w14:paraId="4380B8DD" w14:textId="77777777" w:rsidR="0029386B" w:rsidRPr="00B87E5A" w:rsidRDefault="0029386B" w:rsidP="0029386B">
      <w:pPr>
        <w:pStyle w:val="ListParagraph"/>
        <w:numPr>
          <w:ilvl w:val="0"/>
          <w:numId w:val="6"/>
        </w:numPr>
        <w:rPr>
          <w:color w:val="000000" w:themeColor="text1"/>
          <w:szCs w:val="22"/>
          <w:lang w:val="en-GB"/>
        </w:rPr>
      </w:pPr>
      <w:r w:rsidRPr="00B87E5A">
        <w:rPr>
          <w:color w:val="000000" w:themeColor="text1"/>
          <w:szCs w:val="22"/>
          <w:lang w:val="en"/>
        </w:rPr>
        <w:t>Dermatitis</w:t>
      </w:r>
    </w:p>
    <w:p w14:paraId="57792C11" w14:textId="7C5C4AC1" w:rsidR="00EA1890" w:rsidRPr="00B87E5A" w:rsidRDefault="00DF02B6" w:rsidP="0052773E">
      <w:pPr>
        <w:pStyle w:val="ListParagraph"/>
        <w:numPr>
          <w:ilvl w:val="0"/>
          <w:numId w:val="6"/>
        </w:numPr>
        <w:rPr>
          <w:color w:val="000000" w:themeColor="text1"/>
          <w:szCs w:val="22"/>
          <w:lang w:val="en-GB"/>
        </w:rPr>
      </w:pPr>
      <w:r w:rsidRPr="00B87E5A">
        <w:rPr>
          <w:color w:val="000000" w:themeColor="text1"/>
          <w:szCs w:val="22"/>
          <w:lang w:val="en"/>
        </w:rPr>
        <w:t>A</w:t>
      </w:r>
      <w:r w:rsidR="00EA1890" w:rsidRPr="00B87E5A">
        <w:rPr>
          <w:color w:val="000000" w:themeColor="text1"/>
          <w:szCs w:val="22"/>
          <w:lang w:val="en"/>
        </w:rPr>
        <w:t>llergic reactions</w:t>
      </w:r>
    </w:p>
    <w:p w14:paraId="5EDF51E9" w14:textId="77CDF3F6" w:rsidR="00EA1890" w:rsidRPr="00B87E5A" w:rsidRDefault="00DF02B6" w:rsidP="0052773E">
      <w:pPr>
        <w:pStyle w:val="ListParagraph"/>
        <w:numPr>
          <w:ilvl w:val="0"/>
          <w:numId w:val="6"/>
        </w:numPr>
        <w:rPr>
          <w:color w:val="000000" w:themeColor="text1"/>
          <w:szCs w:val="22"/>
          <w:lang w:val="en-GB"/>
        </w:rPr>
      </w:pPr>
      <w:r w:rsidRPr="00B87E5A">
        <w:rPr>
          <w:color w:val="000000" w:themeColor="text1"/>
          <w:szCs w:val="22"/>
          <w:lang w:val="en"/>
        </w:rPr>
        <w:t>D</w:t>
      </w:r>
      <w:r w:rsidR="00EA1890" w:rsidRPr="00B87E5A">
        <w:rPr>
          <w:color w:val="000000" w:themeColor="text1"/>
          <w:szCs w:val="22"/>
          <w:lang w:val="en"/>
        </w:rPr>
        <w:t xml:space="preserve">rug reaction </w:t>
      </w:r>
    </w:p>
    <w:p w14:paraId="4CE9E45D" w14:textId="3F32F03D" w:rsidR="00AA46AD" w:rsidRPr="00B87E5A" w:rsidRDefault="000A3AA8" w:rsidP="000A3AA8">
      <w:pPr>
        <w:pStyle w:val="Heading2"/>
        <w:rPr>
          <w:color w:val="000000" w:themeColor="text1"/>
          <w:lang w:val="en-GB"/>
        </w:rPr>
      </w:pPr>
      <w:r w:rsidRPr="00B87E5A">
        <w:rPr>
          <w:color w:val="000000" w:themeColor="text1"/>
          <w:lang w:val="en-GB"/>
        </w:rPr>
        <w:t>Investigations</w:t>
      </w:r>
    </w:p>
    <w:p w14:paraId="20373438" w14:textId="1282CB2C" w:rsidR="00EA1890" w:rsidRPr="00B87E5A" w:rsidRDefault="00EA1890">
      <w:pPr>
        <w:rPr>
          <w:color w:val="000000" w:themeColor="text1"/>
          <w:szCs w:val="22"/>
          <w:lang w:val="en"/>
        </w:rPr>
      </w:pPr>
      <w:proofErr w:type="gramStart"/>
      <w:r w:rsidRPr="00B87E5A">
        <w:rPr>
          <w:color w:val="000000" w:themeColor="text1"/>
          <w:szCs w:val="22"/>
          <w:lang w:val="en"/>
        </w:rPr>
        <w:t>Generally</w:t>
      </w:r>
      <w:proofErr w:type="gramEnd"/>
      <w:r w:rsidRPr="00B87E5A">
        <w:rPr>
          <w:color w:val="000000" w:themeColor="text1"/>
          <w:szCs w:val="22"/>
          <w:lang w:val="en"/>
        </w:rPr>
        <w:t xml:space="preserve"> no work</w:t>
      </w:r>
      <w:r w:rsidR="00725279" w:rsidRPr="00B87E5A">
        <w:rPr>
          <w:color w:val="000000" w:themeColor="text1"/>
          <w:szCs w:val="22"/>
          <w:lang w:val="en"/>
        </w:rPr>
        <w:t>-</w:t>
      </w:r>
      <w:r w:rsidRPr="00B87E5A">
        <w:rPr>
          <w:color w:val="000000" w:themeColor="text1"/>
          <w:szCs w:val="22"/>
          <w:lang w:val="en"/>
        </w:rPr>
        <w:t xml:space="preserve">up is required in uncomplicated cases </w:t>
      </w:r>
      <w:r w:rsidR="00590CCE" w:rsidRPr="00B87E5A">
        <w:rPr>
          <w:color w:val="000000" w:themeColor="text1"/>
          <w:szCs w:val="22"/>
          <w:lang w:val="en"/>
        </w:rPr>
        <w:t>of cellulitis.</w:t>
      </w:r>
    </w:p>
    <w:p w14:paraId="5E774E16" w14:textId="7FD15665" w:rsidR="00725279" w:rsidRPr="00B87E5A" w:rsidRDefault="00725279" w:rsidP="00B87E5A">
      <w:pPr>
        <w:rPr>
          <w:color w:val="000000" w:themeColor="text1"/>
          <w:szCs w:val="22"/>
          <w:lang w:val="en"/>
        </w:rPr>
      </w:pPr>
      <w:r w:rsidRPr="00B87E5A">
        <w:rPr>
          <w:color w:val="000000" w:themeColor="text1"/>
          <w:szCs w:val="22"/>
          <w:lang w:val="en"/>
        </w:rPr>
        <w:t xml:space="preserve">For patients with </w:t>
      </w:r>
      <w:r w:rsidR="001B317D">
        <w:rPr>
          <w:color w:val="000000" w:themeColor="text1"/>
          <w:szCs w:val="22"/>
          <w:lang w:val="en"/>
        </w:rPr>
        <w:t>cellulitis</w:t>
      </w:r>
      <w:r w:rsidRPr="00B87E5A">
        <w:rPr>
          <w:color w:val="000000" w:themeColor="text1"/>
          <w:szCs w:val="22"/>
          <w:lang w:val="en"/>
        </w:rPr>
        <w:t xml:space="preserve"> who have signs and symptoms of systemic </w:t>
      </w:r>
      <w:r w:rsidR="00410E1E" w:rsidRPr="00B87E5A">
        <w:rPr>
          <w:color w:val="000000" w:themeColor="text1"/>
          <w:szCs w:val="22"/>
          <w:lang w:val="en"/>
        </w:rPr>
        <w:t>inflammatory response</w:t>
      </w:r>
      <w:r w:rsidR="001B317D">
        <w:rPr>
          <w:color w:val="000000" w:themeColor="text1"/>
          <w:szCs w:val="22"/>
          <w:lang w:val="en"/>
        </w:rPr>
        <w:t>, do</w:t>
      </w:r>
      <w:r w:rsidRPr="00B87E5A">
        <w:rPr>
          <w:color w:val="000000" w:themeColor="text1"/>
          <w:szCs w:val="22"/>
          <w:lang w:val="en"/>
        </w:rPr>
        <w:t>:</w:t>
      </w:r>
    </w:p>
    <w:p w14:paraId="32CCC47E" w14:textId="77777777" w:rsidR="00725279" w:rsidRPr="00B87E5A" w:rsidRDefault="00D37D8D" w:rsidP="00B87E5A">
      <w:pPr>
        <w:pStyle w:val="ListParagraph"/>
        <w:numPr>
          <w:ilvl w:val="0"/>
          <w:numId w:val="6"/>
        </w:numPr>
        <w:rPr>
          <w:color w:val="000000" w:themeColor="text1"/>
          <w:lang w:val="en-GB" w:eastAsia="en-GB"/>
        </w:rPr>
      </w:pPr>
      <w:r w:rsidRPr="00B87E5A">
        <w:rPr>
          <w:color w:val="000000" w:themeColor="text1"/>
          <w:lang w:val="en-GB" w:eastAsia="en-GB"/>
        </w:rPr>
        <w:t>FBC</w:t>
      </w:r>
      <w:r w:rsidR="00725279" w:rsidRPr="00B87E5A">
        <w:rPr>
          <w:color w:val="000000" w:themeColor="text1"/>
          <w:lang w:val="en-GB" w:eastAsia="en-GB"/>
        </w:rPr>
        <w:t xml:space="preserve"> </w:t>
      </w:r>
    </w:p>
    <w:p w14:paraId="76BEED84" w14:textId="7FEFAF16" w:rsidR="00725279" w:rsidRPr="00B87E5A" w:rsidRDefault="00D37D8D" w:rsidP="00B87E5A">
      <w:pPr>
        <w:pStyle w:val="ListParagraph"/>
        <w:numPr>
          <w:ilvl w:val="0"/>
          <w:numId w:val="6"/>
        </w:numPr>
        <w:rPr>
          <w:color w:val="000000" w:themeColor="text1"/>
          <w:lang w:val="en-GB" w:eastAsia="en-GB"/>
        </w:rPr>
      </w:pPr>
      <w:r w:rsidRPr="00B87E5A">
        <w:rPr>
          <w:color w:val="000000" w:themeColor="text1"/>
          <w:lang w:val="en-GB" w:eastAsia="en-GB"/>
        </w:rPr>
        <w:t>Cr</w:t>
      </w:r>
      <w:r w:rsidR="00725279" w:rsidRPr="00B87E5A">
        <w:rPr>
          <w:color w:val="000000" w:themeColor="text1"/>
          <w:lang w:val="en-GB" w:eastAsia="en-GB"/>
        </w:rPr>
        <w:t xml:space="preserve">eatinine and </w:t>
      </w:r>
      <w:r w:rsidRPr="00B87E5A">
        <w:rPr>
          <w:color w:val="000000" w:themeColor="text1"/>
          <w:lang w:val="en-GB" w:eastAsia="en-GB"/>
        </w:rPr>
        <w:t xml:space="preserve">Bicarbonate </w:t>
      </w:r>
    </w:p>
    <w:p w14:paraId="669140A0" w14:textId="1CEC51FC" w:rsidR="00410E1E" w:rsidRPr="00B87E5A" w:rsidRDefault="00410E1E" w:rsidP="00B87E5A">
      <w:pPr>
        <w:pStyle w:val="ListParagraph"/>
        <w:numPr>
          <w:ilvl w:val="0"/>
          <w:numId w:val="6"/>
        </w:numPr>
        <w:rPr>
          <w:color w:val="000000" w:themeColor="text1"/>
          <w:lang w:val="en-GB" w:eastAsia="en-GB"/>
        </w:rPr>
      </w:pPr>
      <w:r w:rsidRPr="00B87E5A">
        <w:rPr>
          <w:color w:val="000000" w:themeColor="text1"/>
          <w:lang w:val="en-GB" w:eastAsia="en-GB"/>
        </w:rPr>
        <w:t>Aspirate gram stain and culture (purulent cellulitis</w:t>
      </w:r>
      <w:r w:rsidR="001B317D">
        <w:rPr>
          <w:color w:val="000000" w:themeColor="text1"/>
          <w:lang w:val="en-GB" w:eastAsia="en-GB"/>
        </w:rPr>
        <w:t xml:space="preserve"> only</w:t>
      </w:r>
      <w:r w:rsidRPr="00B87E5A">
        <w:rPr>
          <w:color w:val="000000" w:themeColor="text1"/>
          <w:lang w:val="en-GB" w:eastAsia="en-GB"/>
        </w:rPr>
        <w:t>)</w:t>
      </w:r>
    </w:p>
    <w:p w14:paraId="75937A32" w14:textId="6163675A" w:rsidR="00725279" w:rsidRPr="00B87E5A" w:rsidRDefault="00251005" w:rsidP="00B87E5A">
      <w:pPr>
        <w:pStyle w:val="ListParagraph"/>
        <w:numPr>
          <w:ilvl w:val="0"/>
          <w:numId w:val="6"/>
        </w:numPr>
        <w:rPr>
          <w:color w:val="000000" w:themeColor="text1"/>
          <w:lang w:val="en-GB" w:eastAsia="en-GB"/>
        </w:rPr>
      </w:pPr>
      <w:r w:rsidRPr="00B87E5A">
        <w:rPr>
          <w:color w:val="000000" w:themeColor="text1"/>
          <w:lang w:val="en-GB" w:eastAsia="en-GB"/>
        </w:rPr>
        <w:t>B</w:t>
      </w:r>
      <w:r w:rsidR="00590CCE" w:rsidRPr="00B87E5A">
        <w:rPr>
          <w:color w:val="000000" w:themeColor="text1"/>
          <w:lang w:val="en-GB" w:eastAsia="en-GB"/>
        </w:rPr>
        <w:t xml:space="preserve">lood culture </w:t>
      </w:r>
      <w:r w:rsidR="00D37D8D" w:rsidRPr="00B87E5A">
        <w:rPr>
          <w:color w:val="000000" w:themeColor="text1"/>
          <w:lang w:val="en-GB" w:eastAsia="en-GB"/>
        </w:rPr>
        <w:t xml:space="preserve">should be performed for serious infections </w:t>
      </w:r>
      <w:r w:rsidR="00590CCE" w:rsidRPr="00B87E5A">
        <w:rPr>
          <w:color w:val="000000" w:themeColor="text1"/>
          <w:lang w:val="en-GB" w:eastAsia="en-GB"/>
        </w:rPr>
        <w:t>to pinpoint the etiology</w:t>
      </w:r>
      <w:r w:rsidR="00D37D8D" w:rsidRPr="00B87E5A">
        <w:rPr>
          <w:color w:val="000000" w:themeColor="text1"/>
          <w:lang w:val="en-GB" w:eastAsia="en-GB"/>
        </w:rPr>
        <w:t xml:space="preserve"> </w:t>
      </w:r>
    </w:p>
    <w:p w14:paraId="0A04B9B0" w14:textId="771291CD" w:rsidR="00725279" w:rsidRPr="00B87E5A" w:rsidRDefault="00590CCE" w:rsidP="00B87E5A">
      <w:pPr>
        <w:pStyle w:val="ListParagraph"/>
        <w:ind w:firstLine="720"/>
        <w:rPr>
          <w:color w:val="000000" w:themeColor="text1"/>
          <w:lang w:val="en-GB" w:eastAsia="en-GB"/>
        </w:rPr>
      </w:pPr>
      <w:r w:rsidRPr="00B87E5A">
        <w:rPr>
          <w:color w:val="000000" w:themeColor="text1"/>
          <w:lang w:val="en-GB" w:eastAsia="en-GB"/>
        </w:rPr>
        <w:t>Blood cultures are</w:t>
      </w:r>
      <w:r w:rsidR="00215822" w:rsidRPr="00B87E5A">
        <w:rPr>
          <w:color w:val="000000" w:themeColor="text1"/>
          <w:lang w:val="en-GB" w:eastAsia="en-GB"/>
        </w:rPr>
        <w:t xml:space="preserve"> only </w:t>
      </w:r>
      <w:r w:rsidRPr="00B87E5A">
        <w:rPr>
          <w:color w:val="000000" w:themeColor="text1"/>
          <w:lang w:val="en-GB" w:eastAsia="en-GB"/>
        </w:rPr>
        <w:t>positive in 5</w:t>
      </w:r>
      <w:r w:rsidR="00215822" w:rsidRPr="00B87E5A">
        <w:rPr>
          <w:color w:val="000000" w:themeColor="text1"/>
          <w:lang w:val="en-GB" w:eastAsia="en-GB"/>
        </w:rPr>
        <w:t>-15</w:t>
      </w:r>
      <w:r w:rsidR="00621B48" w:rsidRPr="00B87E5A">
        <w:rPr>
          <w:color w:val="000000" w:themeColor="text1"/>
          <w:lang w:val="en-GB" w:eastAsia="en-GB"/>
        </w:rPr>
        <w:t xml:space="preserve"> </w:t>
      </w:r>
      <w:r w:rsidRPr="00B87E5A">
        <w:rPr>
          <w:color w:val="000000" w:themeColor="text1"/>
          <w:lang w:val="en-GB" w:eastAsia="en-GB"/>
        </w:rPr>
        <w:t xml:space="preserve">% </w:t>
      </w:r>
      <w:r w:rsidR="00D37D8D" w:rsidRPr="00B87E5A">
        <w:rPr>
          <w:color w:val="000000" w:themeColor="text1"/>
          <w:lang w:val="en-GB" w:eastAsia="en-GB"/>
        </w:rPr>
        <w:t>of patients with cellulitis</w:t>
      </w:r>
      <w:r w:rsidR="00725279" w:rsidRPr="00B87E5A">
        <w:rPr>
          <w:color w:val="000000" w:themeColor="text1"/>
          <w:lang w:val="en-GB" w:eastAsia="en-GB"/>
        </w:rPr>
        <w:t>)</w:t>
      </w:r>
    </w:p>
    <w:p w14:paraId="1F2A21B4" w14:textId="0709DCDE" w:rsidR="00725279" w:rsidRPr="00657154" w:rsidRDefault="00725279" w:rsidP="00B87E5A">
      <w:pPr>
        <w:pStyle w:val="ListParagraph"/>
        <w:ind w:left="1440"/>
        <w:rPr>
          <w:color w:val="000000" w:themeColor="text1"/>
          <w:lang w:val="en-GB"/>
        </w:rPr>
      </w:pPr>
      <w:r w:rsidRPr="00B87E5A">
        <w:rPr>
          <w:color w:val="000000" w:themeColor="text1"/>
          <w:lang w:val="en-GB" w:eastAsia="en-GB"/>
        </w:rPr>
        <w:t>B</w:t>
      </w:r>
      <w:r w:rsidR="00590CCE" w:rsidRPr="00B87E5A">
        <w:rPr>
          <w:color w:val="000000" w:themeColor="text1"/>
          <w:lang w:val="en-GB" w:eastAsia="en-GB"/>
        </w:rPr>
        <w:t>lood cultures</w:t>
      </w:r>
      <w:r w:rsidR="00251005" w:rsidRPr="00B87E5A">
        <w:rPr>
          <w:color w:val="000000" w:themeColor="text1"/>
          <w:lang w:val="en-GB" w:eastAsia="en-GB"/>
        </w:rPr>
        <w:t xml:space="preserve"> are also</w:t>
      </w:r>
      <w:r w:rsidR="00590CCE" w:rsidRPr="00B87E5A">
        <w:rPr>
          <w:color w:val="000000" w:themeColor="text1"/>
          <w:lang w:val="en-GB" w:eastAsia="en-GB"/>
        </w:rPr>
        <w:t xml:space="preserve"> indicated in special populations</w:t>
      </w:r>
      <w:r w:rsidRPr="00B87E5A">
        <w:rPr>
          <w:color w:val="000000" w:themeColor="text1"/>
          <w:lang w:val="en-GB" w:eastAsia="en-GB"/>
        </w:rPr>
        <w:t xml:space="preserve"> </w:t>
      </w:r>
      <w:r w:rsidR="00590CCE" w:rsidRPr="00B87E5A">
        <w:rPr>
          <w:color w:val="000000" w:themeColor="text1"/>
          <w:lang w:val="en-GB" w:eastAsia="en-GB"/>
        </w:rPr>
        <w:t>(immunosuppressed, severe post-surgical wounds</w:t>
      </w:r>
      <w:r w:rsidR="00590CCE" w:rsidRPr="00B87E5A">
        <w:rPr>
          <w:color w:val="000000" w:themeColor="text1"/>
          <w:lang w:val="en-GB"/>
        </w:rPr>
        <w:t>).</w:t>
      </w:r>
    </w:p>
    <w:p w14:paraId="538B3DD9" w14:textId="321CF82C" w:rsidR="00195B96" w:rsidRDefault="00195B96" w:rsidP="00195B96">
      <w:pPr>
        <w:pStyle w:val="Heading2"/>
        <w:rPr>
          <w:color w:val="000000" w:themeColor="text1"/>
          <w:lang w:val="en-GB"/>
        </w:rPr>
      </w:pPr>
      <w:r w:rsidRPr="00B87E5A">
        <w:rPr>
          <w:color w:val="000000" w:themeColor="text1"/>
          <w:lang w:val="en-GB"/>
        </w:rPr>
        <w:t xml:space="preserve">Management </w:t>
      </w:r>
    </w:p>
    <w:p w14:paraId="1C69736C" w14:textId="179176BC" w:rsidR="00D30938" w:rsidRPr="00D30938" w:rsidRDefault="00D30938" w:rsidP="0045799D">
      <w:pPr>
        <w:pStyle w:val="Heading3"/>
      </w:pPr>
      <w:r>
        <w:t xml:space="preserve">Management at the </w:t>
      </w:r>
      <w:r w:rsidRPr="00D30938">
        <w:t>Gate Clinic</w:t>
      </w:r>
    </w:p>
    <w:p w14:paraId="6C63E75C" w14:textId="380E27C7" w:rsidR="00852937" w:rsidRPr="00B87E5A" w:rsidRDefault="00195B96" w:rsidP="00B87E5A">
      <w:pPr>
        <w:rPr>
          <w:color w:val="000000" w:themeColor="text1"/>
          <w:lang w:val="en-GB"/>
        </w:rPr>
      </w:pPr>
      <w:r w:rsidRPr="00B87E5A">
        <w:rPr>
          <w:color w:val="000000" w:themeColor="text1"/>
          <w:lang w:val="en-GB" w:eastAsia="en-GB"/>
        </w:rPr>
        <w:t>Patients with cellulitis should be referred to OPD for evaluation by a doctor.</w:t>
      </w:r>
    </w:p>
    <w:p w14:paraId="7CFA0D8E" w14:textId="0090BE35" w:rsidR="008328D4" w:rsidRPr="00D30938" w:rsidRDefault="008328D4" w:rsidP="0045799D">
      <w:pPr>
        <w:pStyle w:val="Heading3"/>
      </w:pPr>
      <w:r w:rsidRPr="00D30938">
        <w:t>Management in OPD or on the ward</w:t>
      </w:r>
    </w:p>
    <w:p w14:paraId="7107CB52" w14:textId="7A10178C" w:rsidR="00701522" w:rsidRPr="00657154" w:rsidRDefault="009F1E75" w:rsidP="000A3AA8">
      <w:pPr>
        <w:rPr>
          <w:color w:val="000000" w:themeColor="text1"/>
          <w:lang w:val="en-GB" w:eastAsia="en-GB"/>
        </w:rPr>
      </w:pPr>
      <w:r w:rsidRPr="00657154">
        <w:rPr>
          <w:color w:val="000000" w:themeColor="text1"/>
          <w:lang w:val="en-GB" w:eastAsia="en-GB"/>
        </w:rPr>
        <w:t xml:space="preserve">Management of cellulitis should include elevation of the affected area and treatment of underlying conditions. </w:t>
      </w:r>
    </w:p>
    <w:p w14:paraId="5E647748" w14:textId="4F120CAC" w:rsidR="00195B96" w:rsidRPr="00657154" w:rsidRDefault="009F1E75">
      <w:pPr>
        <w:rPr>
          <w:color w:val="000000" w:themeColor="text1"/>
          <w:lang w:val="en-GB" w:eastAsia="en-GB"/>
        </w:rPr>
      </w:pPr>
      <w:r w:rsidRPr="00657154">
        <w:rPr>
          <w:color w:val="000000" w:themeColor="text1"/>
          <w:lang w:val="en-GB" w:eastAsia="en-GB"/>
        </w:rPr>
        <w:t xml:space="preserve">Many patients with cellulitis have underlying conditions that predispose them to developing recurrent cellulitis (these include tinea pedis, lymphedema, and chronic venous insufficiency). In such patients, treatment should be directed at both the infection and the predisposing condition if modifiable. As an example, patients with </w:t>
      </w:r>
      <w:r w:rsidR="0062101F" w:rsidRPr="00657154">
        <w:rPr>
          <w:color w:val="000000" w:themeColor="text1"/>
          <w:lang w:val="en-GB" w:eastAsia="en-GB"/>
        </w:rPr>
        <w:t>oedema</w:t>
      </w:r>
      <w:r w:rsidRPr="00657154">
        <w:rPr>
          <w:color w:val="000000" w:themeColor="text1"/>
          <w:lang w:val="en-GB" w:eastAsia="en-GB"/>
        </w:rPr>
        <w:t xml:space="preserve"> may benefit from treatment with compressive stockings and diuretic therapy.</w:t>
      </w:r>
      <w:r w:rsidR="00195B96" w:rsidRPr="00657154">
        <w:rPr>
          <w:color w:val="000000" w:themeColor="text1"/>
          <w:lang w:val="en-GB" w:eastAsia="en-GB"/>
        </w:rPr>
        <w:t xml:space="preserve"> </w:t>
      </w:r>
    </w:p>
    <w:p w14:paraId="372CFC6D" w14:textId="4F40DCF9" w:rsidR="00725279" w:rsidRPr="00657154" w:rsidRDefault="00725279" w:rsidP="00657154">
      <w:pPr>
        <w:rPr>
          <w:color w:val="000000" w:themeColor="text1"/>
          <w:lang w:val="en-GB"/>
        </w:rPr>
      </w:pPr>
      <w:r w:rsidRPr="00657154">
        <w:rPr>
          <w:color w:val="000000" w:themeColor="text1"/>
          <w:lang w:val="en-GB"/>
        </w:rPr>
        <w:t>Consider in-patient care when</w:t>
      </w:r>
      <w:r w:rsidR="00195B96" w:rsidRPr="00657154">
        <w:rPr>
          <w:color w:val="000000" w:themeColor="text1"/>
          <w:lang w:val="en-GB"/>
        </w:rPr>
        <w:t xml:space="preserve"> there is</w:t>
      </w:r>
      <w:r w:rsidRPr="00657154">
        <w:rPr>
          <w:color w:val="000000" w:themeColor="text1"/>
          <w:lang w:val="en-GB"/>
        </w:rPr>
        <w:t>:</w:t>
      </w:r>
    </w:p>
    <w:p w14:paraId="542F7EF5" w14:textId="487DAE90" w:rsidR="00725279" w:rsidRPr="00657154" w:rsidRDefault="00725279">
      <w:pPr>
        <w:pStyle w:val="ListParagraph"/>
        <w:numPr>
          <w:ilvl w:val="0"/>
          <w:numId w:val="9"/>
        </w:numPr>
        <w:rPr>
          <w:color w:val="000000" w:themeColor="text1"/>
          <w:lang w:val="en-GB"/>
        </w:rPr>
      </w:pPr>
      <w:r w:rsidRPr="00657154">
        <w:rPr>
          <w:color w:val="000000" w:themeColor="text1"/>
          <w:lang w:val="en-GB"/>
        </w:rPr>
        <w:t>An elevated creatinine level</w:t>
      </w:r>
    </w:p>
    <w:p w14:paraId="3D265412" w14:textId="77777777" w:rsidR="00725279" w:rsidRPr="00657154" w:rsidRDefault="00725279" w:rsidP="00725279">
      <w:pPr>
        <w:pStyle w:val="ListParagraph"/>
        <w:numPr>
          <w:ilvl w:val="0"/>
          <w:numId w:val="9"/>
        </w:numPr>
        <w:rPr>
          <w:color w:val="000000" w:themeColor="text1"/>
          <w:lang w:val="en-GB"/>
        </w:rPr>
      </w:pPr>
      <w:r w:rsidRPr="00657154">
        <w:rPr>
          <w:color w:val="000000" w:themeColor="text1"/>
          <w:lang w:val="en-GB"/>
        </w:rPr>
        <w:t>A low serum bicarbonate level</w:t>
      </w:r>
    </w:p>
    <w:p w14:paraId="3A06E684" w14:textId="485A93E2" w:rsidR="00725279" w:rsidRPr="00657154" w:rsidRDefault="00725279" w:rsidP="00725279">
      <w:pPr>
        <w:pStyle w:val="ListParagraph"/>
        <w:numPr>
          <w:ilvl w:val="0"/>
          <w:numId w:val="9"/>
        </w:numPr>
        <w:rPr>
          <w:color w:val="000000" w:themeColor="text1"/>
          <w:lang w:val="en-GB"/>
        </w:rPr>
      </w:pPr>
      <w:r w:rsidRPr="00657154">
        <w:rPr>
          <w:color w:val="000000" w:themeColor="text1"/>
          <w:lang w:val="en-GB"/>
        </w:rPr>
        <w:t xml:space="preserve">Systemic signs </w:t>
      </w:r>
      <w:r w:rsidR="00195B96" w:rsidRPr="00657154">
        <w:rPr>
          <w:color w:val="000000" w:themeColor="text1"/>
          <w:lang w:val="en-GB"/>
        </w:rPr>
        <w:t>of toxicity (</w:t>
      </w:r>
      <w:r w:rsidR="0062101F" w:rsidRPr="00657154">
        <w:rPr>
          <w:color w:val="000000" w:themeColor="text1"/>
          <w:lang w:val="en-GB"/>
        </w:rPr>
        <w:t>e.g.</w:t>
      </w:r>
      <w:r w:rsidR="00195B96" w:rsidRPr="00657154">
        <w:rPr>
          <w:color w:val="000000" w:themeColor="text1"/>
          <w:lang w:val="en-GB"/>
        </w:rPr>
        <w:t xml:space="preserve"> fever &gt; </w:t>
      </w:r>
      <w:r w:rsidRPr="00657154">
        <w:rPr>
          <w:color w:val="000000" w:themeColor="text1"/>
          <w:lang w:val="en-GB"/>
        </w:rPr>
        <w:t>38°C, hypotension, or sustained tachycardia)</w:t>
      </w:r>
    </w:p>
    <w:p w14:paraId="35C61652" w14:textId="77777777" w:rsidR="00725279" w:rsidRPr="00657154" w:rsidRDefault="00725279" w:rsidP="00725279">
      <w:pPr>
        <w:pStyle w:val="ListParagraph"/>
        <w:numPr>
          <w:ilvl w:val="0"/>
          <w:numId w:val="9"/>
        </w:numPr>
        <w:rPr>
          <w:color w:val="000000" w:themeColor="text1"/>
          <w:lang w:val="en-GB"/>
        </w:rPr>
      </w:pPr>
      <w:r w:rsidRPr="00657154">
        <w:rPr>
          <w:color w:val="000000" w:themeColor="text1"/>
          <w:lang w:val="en-GB"/>
        </w:rPr>
        <w:t>Rapid progression of erythema</w:t>
      </w:r>
    </w:p>
    <w:p w14:paraId="0B531365" w14:textId="77777777" w:rsidR="00725279" w:rsidRPr="00657154" w:rsidRDefault="00725279" w:rsidP="00725279">
      <w:pPr>
        <w:pStyle w:val="ListParagraph"/>
        <w:numPr>
          <w:ilvl w:val="0"/>
          <w:numId w:val="9"/>
        </w:numPr>
        <w:rPr>
          <w:color w:val="000000" w:themeColor="text1"/>
          <w:lang w:val="en-GB"/>
        </w:rPr>
      </w:pPr>
      <w:r w:rsidRPr="00657154">
        <w:rPr>
          <w:color w:val="000000" w:themeColor="text1"/>
          <w:lang w:val="en-GB"/>
        </w:rPr>
        <w:t>Progression of clinical findings after 48 hours of oral antibiotic therapy</w:t>
      </w:r>
    </w:p>
    <w:p w14:paraId="0D1BC7BC" w14:textId="77777777" w:rsidR="00725279" w:rsidRPr="00657154" w:rsidRDefault="00725279" w:rsidP="00725279">
      <w:pPr>
        <w:pStyle w:val="ListParagraph"/>
        <w:numPr>
          <w:ilvl w:val="0"/>
          <w:numId w:val="9"/>
        </w:numPr>
        <w:rPr>
          <w:color w:val="000000" w:themeColor="text1"/>
          <w:lang w:val="en-GB"/>
        </w:rPr>
      </w:pPr>
      <w:r w:rsidRPr="00657154">
        <w:rPr>
          <w:color w:val="000000" w:themeColor="text1"/>
          <w:lang w:val="en-GB"/>
        </w:rPr>
        <w:t>Inability to tolerate oral therapy</w:t>
      </w:r>
    </w:p>
    <w:p w14:paraId="7DCA3A0E" w14:textId="55E8296E" w:rsidR="00725279" w:rsidRPr="00657154" w:rsidRDefault="00725279" w:rsidP="00725279">
      <w:pPr>
        <w:pStyle w:val="ListParagraph"/>
        <w:numPr>
          <w:ilvl w:val="0"/>
          <w:numId w:val="9"/>
        </w:numPr>
        <w:rPr>
          <w:color w:val="000000" w:themeColor="text1"/>
          <w:lang w:val="en-GB"/>
        </w:rPr>
      </w:pPr>
      <w:r w:rsidRPr="00657154">
        <w:rPr>
          <w:color w:val="000000" w:themeColor="text1"/>
          <w:lang w:val="en-GB"/>
        </w:rPr>
        <w:t>Proximity of the lesion to an indwelling medical device (</w:t>
      </w:r>
      <w:r w:rsidR="00677F2F" w:rsidRPr="00657154">
        <w:rPr>
          <w:color w:val="000000" w:themeColor="text1"/>
          <w:lang w:val="en-GB"/>
        </w:rPr>
        <w:t>e.g.</w:t>
      </w:r>
      <w:r w:rsidRPr="00657154">
        <w:rPr>
          <w:color w:val="000000" w:themeColor="text1"/>
          <w:lang w:val="en-GB"/>
        </w:rPr>
        <w:t xml:space="preserve"> prosthetic joint or vascular graft)</w:t>
      </w:r>
    </w:p>
    <w:p w14:paraId="022AF456" w14:textId="77777777" w:rsidR="0045799D" w:rsidRDefault="0054617B" w:rsidP="0045799D">
      <w:pPr>
        <w:pStyle w:val="Heading3"/>
        <w:rPr>
          <w:bCs/>
        </w:rPr>
      </w:pPr>
      <w:proofErr w:type="spellStart"/>
      <w:r w:rsidRPr="00657154">
        <w:lastRenderedPageBreak/>
        <w:t>Nonpurulent</w:t>
      </w:r>
      <w:proofErr w:type="spellEnd"/>
      <w:r w:rsidRPr="00657154">
        <w:t xml:space="preserve"> </w:t>
      </w:r>
      <w:r w:rsidRPr="0045799D">
        <w:t>celluliti</w:t>
      </w:r>
      <w:r w:rsidR="0045799D" w:rsidRPr="0045799D">
        <w:t>s</w:t>
      </w:r>
    </w:p>
    <w:p w14:paraId="15587C65" w14:textId="469F82BD" w:rsidR="0054617B" w:rsidRPr="00657154" w:rsidRDefault="0054617B" w:rsidP="0045799D">
      <w:pPr>
        <w:rPr>
          <w:b/>
        </w:rPr>
      </w:pPr>
      <w:r w:rsidRPr="00657154">
        <w:t xml:space="preserve">Patients with </w:t>
      </w:r>
      <w:proofErr w:type="spellStart"/>
      <w:r w:rsidRPr="00657154">
        <w:t>nonpurulent</w:t>
      </w:r>
      <w:proofErr w:type="spellEnd"/>
      <w:r w:rsidRPr="00657154">
        <w:t xml:space="preserve"> cellulitis (</w:t>
      </w:r>
      <w:r w:rsidR="00677F2F" w:rsidRPr="00657154">
        <w:t>e.g.</w:t>
      </w:r>
      <w:r w:rsidRPr="00657154">
        <w:t xml:space="preserve"> cellulitis with no purulent drainage or exudate and no associated abscess) should be managed with empiric therapy for infection due to beta-hemolytic streptococci and methicillin-susceptible </w:t>
      </w:r>
      <w:r w:rsidRPr="00657154">
        <w:rPr>
          <w:rStyle w:val="Emphasis"/>
          <w:color w:val="000000" w:themeColor="text1"/>
          <w:szCs w:val="22"/>
        </w:rPr>
        <w:t>Staphylococcus aureus</w:t>
      </w:r>
      <w:r w:rsidRPr="00657154">
        <w:t>. Common</w:t>
      </w:r>
      <w:r w:rsidR="00B759FB" w:rsidRPr="00657154">
        <w:t xml:space="preserve"> options</w:t>
      </w:r>
      <w:r w:rsidRPr="00657154">
        <w:t xml:space="preserve"> for mild infections are:</w:t>
      </w:r>
    </w:p>
    <w:p w14:paraId="020E1043" w14:textId="468A431E" w:rsidR="00DD3022" w:rsidRPr="00657154" w:rsidRDefault="00DD3022" w:rsidP="0052773E">
      <w:pPr>
        <w:pStyle w:val="ListParagraph"/>
        <w:numPr>
          <w:ilvl w:val="0"/>
          <w:numId w:val="10"/>
        </w:numPr>
        <w:rPr>
          <w:color w:val="000000" w:themeColor="text1"/>
        </w:rPr>
      </w:pPr>
      <w:r w:rsidRPr="00657154">
        <w:rPr>
          <w:color w:val="000000" w:themeColor="text1"/>
        </w:rPr>
        <w:t xml:space="preserve">Cloxacillin </w:t>
      </w:r>
      <w:r w:rsidR="001360A8">
        <w:rPr>
          <w:color w:val="000000" w:themeColor="text1"/>
        </w:rPr>
        <w:t xml:space="preserve">25 </w:t>
      </w:r>
      <w:r w:rsidR="00DB19F3" w:rsidRPr="00657154">
        <w:rPr>
          <w:color w:val="000000" w:themeColor="text1"/>
        </w:rPr>
        <w:t xml:space="preserve">mg/kg/dose </w:t>
      </w:r>
      <w:r w:rsidR="001360A8">
        <w:rPr>
          <w:color w:val="000000" w:themeColor="text1"/>
        </w:rPr>
        <w:t>(</w:t>
      </w:r>
      <w:r w:rsidR="00DB19F3" w:rsidRPr="00657154">
        <w:rPr>
          <w:color w:val="000000" w:themeColor="text1"/>
        </w:rPr>
        <w:t xml:space="preserve">max. </w:t>
      </w:r>
      <w:r w:rsidRPr="00657154">
        <w:rPr>
          <w:color w:val="000000" w:themeColor="text1"/>
        </w:rPr>
        <w:t>500</w:t>
      </w:r>
      <w:r w:rsidR="00701522" w:rsidRPr="00657154">
        <w:rPr>
          <w:color w:val="000000" w:themeColor="text1"/>
        </w:rPr>
        <w:t xml:space="preserve"> </w:t>
      </w:r>
      <w:r w:rsidRPr="00657154">
        <w:rPr>
          <w:color w:val="000000" w:themeColor="text1"/>
        </w:rPr>
        <w:t>mg</w:t>
      </w:r>
      <w:r w:rsidR="001360A8">
        <w:rPr>
          <w:color w:val="000000" w:themeColor="text1"/>
        </w:rPr>
        <w:t>)</w:t>
      </w:r>
      <w:r w:rsidRPr="00657154">
        <w:rPr>
          <w:color w:val="000000" w:themeColor="text1"/>
        </w:rPr>
        <w:t xml:space="preserve"> </w:t>
      </w:r>
      <w:r w:rsidR="0062101F">
        <w:rPr>
          <w:color w:val="000000" w:themeColor="text1"/>
        </w:rPr>
        <w:t xml:space="preserve">PO </w:t>
      </w:r>
      <w:r w:rsidR="00677F2F">
        <w:rPr>
          <w:color w:val="000000" w:themeColor="text1"/>
        </w:rPr>
        <w:t>QDS</w:t>
      </w:r>
    </w:p>
    <w:p w14:paraId="623A0E46" w14:textId="2C717047" w:rsidR="00B759FB" w:rsidRPr="00657154" w:rsidRDefault="0054617B">
      <w:pPr>
        <w:pStyle w:val="ListParagraph"/>
        <w:numPr>
          <w:ilvl w:val="0"/>
          <w:numId w:val="10"/>
        </w:numPr>
        <w:rPr>
          <w:color w:val="000000" w:themeColor="text1"/>
        </w:rPr>
      </w:pPr>
      <w:r w:rsidRPr="00657154">
        <w:rPr>
          <w:color w:val="000000" w:themeColor="text1"/>
        </w:rPr>
        <w:t>Amoxicillin/</w:t>
      </w:r>
      <w:r w:rsidR="001D420E">
        <w:rPr>
          <w:color w:val="000000" w:themeColor="text1"/>
        </w:rPr>
        <w:t>C</w:t>
      </w:r>
      <w:r w:rsidRPr="00657154">
        <w:rPr>
          <w:color w:val="000000" w:themeColor="text1"/>
        </w:rPr>
        <w:t>lavulanate</w:t>
      </w:r>
      <w:r w:rsidR="00DF02B6" w:rsidRPr="00657154">
        <w:rPr>
          <w:color w:val="000000" w:themeColor="text1"/>
        </w:rPr>
        <w:t xml:space="preserve"> 62</w:t>
      </w:r>
      <w:r w:rsidR="00701522" w:rsidRPr="00657154">
        <w:rPr>
          <w:color w:val="000000" w:themeColor="text1"/>
        </w:rPr>
        <w:t xml:space="preserve">5 – </w:t>
      </w:r>
      <w:r w:rsidR="00DF02B6" w:rsidRPr="00657154">
        <w:rPr>
          <w:color w:val="000000" w:themeColor="text1"/>
        </w:rPr>
        <w:t>875</w:t>
      </w:r>
      <w:r w:rsidR="00701522" w:rsidRPr="00657154">
        <w:rPr>
          <w:color w:val="000000" w:themeColor="text1"/>
        </w:rPr>
        <w:t xml:space="preserve"> </w:t>
      </w:r>
      <w:r w:rsidR="00DF02B6" w:rsidRPr="00657154">
        <w:rPr>
          <w:color w:val="000000" w:themeColor="text1"/>
        </w:rPr>
        <w:t>mg</w:t>
      </w:r>
      <w:r w:rsidR="0062101F">
        <w:rPr>
          <w:color w:val="000000" w:themeColor="text1"/>
        </w:rPr>
        <w:t xml:space="preserve"> PO</w:t>
      </w:r>
      <w:r w:rsidR="00677F2F">
        <w:rPr>
          <w:color w:val="000000" w:themeColor="text1"/>
        </w:rPr>
        <w:t xml:space="preserve"> BD</w:t>
      </w:r>
      <w:r w:rsidR="001D420E">
        <w:rPr>
          <w:color w:val="000000" w:themeColor="text1"/>
        </w:rPr>
        <w:t xml:space="preserve"> </w:t>
      </w:r>
    </w:p>
    <w:p w14:paraId="189EA44E" w14:textId="7DB2BD1C" w:rsidR="00B759FB" w:rsidRPr="00657154" w:rsidRDefault="00B759FB" w:rsidP="00657154">
      <w:pPr>
        <w:rPr>
          <w:color w:val="000000" w:themeColor="text1"/>
        </w:rPr>
      </w:pPr>
      <w:r w:rsidRPr="00657154">
        <w:rPr>
          <w:color w:val="000000" w:themeColor="text1"/>
        </w:rPr>
        <w:t>For patients with penicillin allergies</w:t>
      </w:r>
      <w:r w:rsidR="00AF3C4B">
        <w:rPr>
          <w:color w:val="000000" w:themeColor="text1"/>
        </w:rPr>
        <w:t>:</w:t>
      </w:r>
    </w:p>
    <w:p w14:paraId="59DDF203" w14:textId="69CF3B80" w:rsidR="0054617B" w:rsidRPr="00657154" w:rsidRDefault="00B759FB">
      <w:pPr>
        <w:pStyle w:val="ListParagraph"/>
        <w:numPr>
          <w:ilvl w:val="0"/>
          <w:numId w:val="10"/>
        </w:numPr>
        <w:rPr>
          <w:color w:val="000000" w:themeColor="text1"/>
        </w:rPr>
      </w:pPr>
      <w:r w:rsidRPr="00657154">
        <w:rPr>
          <w:color w:val="000000" w:themeColor="text1"/>
        </w:rPr>
        <w:t xml:space="preserve">Azithromycin </w:t>
      </w:r>
      <w:r w:rsidR="00AF3C4B">
        <w:rPr>
          <w:color w:val="000000" w:themeColor="text1"/>
        </w:rPr>
        <w:t>10</w:t>
      </w:r>
      <w:r w:rsidR="008B404F">
        <w:rPr>
          <w:color w:val="000000" w:themeColor="text1"/>
        </w:rPr>
        <w:t xml:space="preserve"> </w:t>
      </w:r>
      <w:r w:rsidR="00AF3C4B">
        <w:rPr>
          <w:color w:val="000000" w:themeColor="text1"/>
        </w:rPr>
        <w:t xml:space="preserve">mg/kg (max. 500 mg) </w:t>
      </w:r>
      <w:r w:rsidR="0062101F">
        <w:rPr>
          <w:color w:val="000000" w:themeColor="text1"/>
        </w:rPr>
        <w:t xml:space="preserve">PO </w:t>
      </w:r>
      <w:r w:rsidR="00AF3C4B">
        <w:rPr>
          <w:color w:val="000000" w:themeColor="text1"/>
        </w:rPr>
        <w:t>OD for 3 days</w:t>
      </w:r>
      <w:r w:rsidRPr="00657154">
        <w:rPr>
          <w:color w:val="000000" w:themeColor="text1"/>
        </w:rPr>
        <w:t>, or</w:t>
      </w:r>
    </w:p>
    <w:p w14:paraId="6DDC927E" w14:textId="4E2A93F6" w:rsidR="0054617B" w:rsidRPr="00657154" w:rsidRDefault="0054617B" w:rsidP="0052773E">
      <w:pPr>
        <w:pStyle w:val="ListParagraph"/>
        <w:numPr>
          <w:ilvl w:val="0"/>
          <w:numId w:val="10"/>
        </w:numPr>
        <w:rPr>
          <w:color w:val="000000" w:themeColor="text1"/>
        </w:rPr>
      </w:pPr>
      <w:r w:rsidRPr="00657154">
        <w:rPr>
          <w:color w:val="000000" w:themeColor="text1"/>
        </w:rPr>
        <w:t>Clindamycin</w:t>
      </w:r>
      <w:r w:rsidR="00DF02B6" w:rsidRPr="00657154">
        <w:rPr>
          <w:color w:val="000000" w:themeColor="text1"/>
        </w:rPr>
        <w:t xml:space="preserve"> </w:t>
      </w:r>
      <w:r w:rsidR="00AF3C4B">
        <w:rPr>
          <w:color w:val="000000" w:themeColor="text1"/>
        </w:rPr>
        <w:t xml:space="preserve">150 – </w:t>
      </w:r>
      <w:r w:rsidR="00DF02B6" w:rsidRPr="00657154">
        <w:rPr>
          <w:color w:val="000000" w:themeColor="text1"/>
        </w:rPr>
        <w:t>300</w:t>
      </w:r>
      <w:r w:rsidR="008B404F">
        <w:rPr>
          <w:color w:val="000000" w:themeColor="text1"/>
        </w:rPr>
        <w:t xml:space="preserve"> </w:t>
      </w:r>
      <w:r w:rsidR="00AF3C4B">
        <w:rPr>
          <w:color w:val="000000" w:themeColor="text1"/>
        </w:rPr>
        <w:t>mg</w:t>
      </w:r>
      <w:r w:rsidR="0062101F">
        <w:rPr>
          <w:color w:val="000000" w:themeColor="text1"/>
        </w:rPr>
        <w:t xml:space="preserve"> PO</w:t>
      </w:r>
      <w:r w:rsidR="00AF3C4B">
        <w:rPr>
          <w:color w:val="000000" w:themeColor="text1"/>
        </w:rPr>
        <w:t xml:space="preserve"> </w:t>
      </w:r>
      <w:r w:rsidR="00677F2F">
        <w:rPr>
          <w:color w:val="000000" w:themeColor="text1"/>
        </w:rPr>
        <w:t>QDS</w:t>
      </w:r>
      <w:r w:rsidR="00AF3C4B">
        <w:rPr>
          <w:color w:val="000000" w:themeColor="text1"/>
        </w:rPr>
        <w:t xml:space="preserve"> (3 – 6 mg/kg/dose in children)</w:t>
      </w:r>
    </w:p>
    <w:p w14:paraId="089B96D3" w14:textId="4CEE1176" w:rsidR="0054617B" w:rsidRPr="00657154" w:rsidRDefault="0054617B" w:rsidP="0054617B">
      <w:pPr>
        <w:rPr>
          <w:color w:val="000000" w:themeColor="text1"/>
        </w:rPr>
      </w:pPr>
      <w:r w:rsidRPr="00657154">
        <w:rPr>
          <w:color w:val="000000" w:themeColor="text1"/>
        </w:rPr>
        <w:t xml:space="preserve">In </w:t>
      </w:r>
      <w:r w:rsidR="00725279" w:rsidRPr="00657154">
        <w:rPr>
          <w:color w:val="000000" w:themeColor="text1"/>
        </w:rPr>
        <w:t>p</w:t>
      </w:r>
      <w:r w:rsidRPr="00657154">
        <w:rPr>
          <w:color w:val="000000" w:themeColor="text1"/>
        </w:rPr>
        <w:t>atients with moderate</w:t>
      </w:r>
      <w:r w:rsidR="0038385D" w:rsidRPr="00657154">
        <w:rPr>
          <w:color w:val="000000" w:themeColor="text1"/>
        </w:rPr>
        <w:t xml:space="preserve">ly </w:t>
      </w:r>
      <w:r w:rsidR="00DD3022" w:rsidRPr="00657154">
        <w:rPr>
          <w:color w:val="000000" w:themeColor="text1"/>
        </w:rPr>
        <w:t xml:space="preserve">severe </w:t>
      </w:r>
      <w:r w:rsidRPr="00657154">
        <w:rPr>
          <w:color w:val="000000" w:themeColor="text1"/>
        </w:rPr>
        <w:t>infection, intravenous antibiotics options include:</w:t>
      </w:r>
    </w:p>
    <w:p w14:paraId="716B0C07" w14:textId="144CF84F" w:rsidR="00DD3022" w:rsidRPr="00657154" w:rsidRDefault="00DD3022" w:rsidP="0052773E">
      <w:pPr>
        <w:pStyle w:val="ListParagraph"/>
        <w:numPr>
          <w:ilvl w:val="0"/>
          <w:numId w:val="11"/>
        </w:numPr>
        <w:rPr>
          <w:color w:val="000000" w:themeColor="text1"/>
        </w:rPr>
      </w:pPr>
      <w:r w:rsidRPr="00657154">
        <w:rPr>
          <w:color w:val="000000" w:themeColor="text1"/>
        </w:rPr>
        <w:t xml:space="preserve">IV Cloxacillin </w:t>
      </w:r>
      <w:r w:rsidR="00AF3C4B">
        <w:rPr>
          <w:color w:val="000000" w:themeColor="text1"/>
        </w:rPr>
        <w:t>1 – 2</w:t>
      </w:r>
      <w:r w:rsidR="0078789F">
        <w:rPr>
          <w:color w:val="000000" w:themeColor="text1"/>
        </w:rPr>
        <w:t xml:space="preserve"> g</w:t>
      </w:r>
      <w:r w:rsidR="00AF3C4B">
        <w:rPr>
          <w:color w:val="000000" w:themeColor="text1"/>
        </w:rPr>
        <w:t xml:space="preserve"> </w:t>
      </w:r>
      <w:r w:rsidR="00677F2F">
        <w:rPr>
          <w:color w:val="000000" w:themeColor="text1"/>
        </w:rPr>
        <w:t>QDS</w:t>
      </w:r>
    </w:p>
    <w:p w14:paraId="6A9E7460" w14:textId="511DC245" w:rsidR="0038385D" w:rsidRPr="00657154" w:rsidRDefault="0038385D" w:rsidP="00657154">
      <w:pPr>
        <w:rPr>
          <w:color w:val="000000" w:themeColor="text1"/>
        </w:rPr>
      </w:pPr>
      <w:r w:rsidRPr="00657154">
        <w:rPr>
          <w:color w:val="000000" w:themeColor="text1"/>
        </w:rPr>
        <w:t>For severe infections</w:t>
      </w:r>
      <w:r w:rsidR="00AF3C4B">
        <w:rPr>
          <w:color w:val="000000" w:themeColor="text1"/>
        </w:rPr>
        <w:t>:</w:t>
      </w:r>
    </w:p>
    <w:p w14:paraId="315BE222" w14:textId="784C4517" w:rsidR="00D205CB" w:rsidRDefault="00E6030A" w:rsidP="00D029E2">
      <w:pPr>
        <w:pStyle w:val="ListParagraph"/>
        <w:numPr>
          <w:ilvl w:val="0"/>
          <w:numId w:val="11"/>
        </w:numPr>
        <w:rPr>
          <w:color w:val="000000" w:themeColor="text1"/>
        </w:rPr>
      </w:pPr>
      <w:r w:rsidRPr="0062101F">
        <w:rPr>
          <w:color w:val="000000" w:themeColor="text1"/>
        </w:rPr>
        <w:t xml:space="preserve">IV </w:t>
      </w:r>
      <w:r w:rsidR="0054617B" w:rsidRPr="0062101F">
        <w:rPr>
          <w:color w:val="000000" w:themeColor="text1"/>
        </w:rPr>
        <w:t>Ceftriaxone</w:t>
      </w:r>
      <w:r w:rsidRPr="0062101F">
        <w:rPr>
          <w:color w:val="000000" w:themeColor="text1"/>
        </w:rPr>
        <w:t xml:space="preserve"> 1</w:t>
      </w:r>
      <w:r w:rsidR="00701522" w:rsidRPr="0062101F">
        <w:rPr>
          <w:color w:val="000000" w:themeColor="text1"/>
        </w:rPr>
        <w:t xml:space="preserve"> – </w:t>
      </w:r>
      <w:r w:rsidRPr="0062101F">
        <w:rPr>
          <w:color w:val="000000" w:themeColor="text1"/>
        </w:rPr>
        <w:t>2</w:t>
      </w:r>
      <w:r w:rsidR="00701522" w:rsidRPr="0062101F">
        <w:rPr>
          <w:color w:val="000000" w:themeColor="text1"/>
        </w:rPr>
        <w:t xml:space="preserve"> </w:t>
      </w:r>
      <w:r w:rsidRPr="0062101F">
        <w:rPr>
          <w:color w:val="000000" w:themeColor="text1"/>
        </w:rPr>
        <w:t>g OD</w:t>
      </w:r>
      <w:r w:rsidR="00AF3C4B" w:rsidRPr="0062101F">
        <w:rPr>
          <w:color w:val="000000" w:themeColor="text1"/>
        </w:rPr>
        <w:t xml:space="preserve"> (children 50 – 80 mg/kg OD)</w:t>
      </w:r>
    </w:p>
    <w:p w14:paraId="21038057" w14:textId="77777777" w:rsidR="0062101F" w:rsidRPr="0062101F" w:rsidRDefault="0062101F" w:rsidP="0062101F">
      <w:pPr>
        <w:pStyle w:val="ListParagraph"/>
        <w:rPr>
          <w:color w:val="000000" w:themeColor="text1"/>
        </w:rPr>
      </w:pPr>
    </w:p>
    <w:p w14:paraId="7E4671E8" w14:textId="77777777" w:rsidR="0045799D" w:rsidRPr="0045799D" w:rsidRDefault="00D205CB" w:rsidP="0045799D">
      <w:pPr>
        <w:pStyle w:val="Heading3"/>
        <w:rPr>
          <w:rStyle w:val="h23"/>
          <w:b/>
        </w:rPr>
      </w:pPr>
      <w:r w:rsidRPr="0045799D">
        <w:rPr>
          <w:rStyle w:val="h23"/>
          <w:b/>
        </w:rPr>
        <w:t>Purulent infection</w:t>
      </w:r>
    </w:p>
    <w:p w14:paraId="4D2500C3" w14:textId="5A238BAB" w:rsidR="00D205CB" w:rsidRPr="00657154" w:rsidRDefault="00D205CB" w:rsidP="0054617B">
      <w:pPr>
        <w:rPr>
          <w:rFonts w:ascii="Helvetica" w:hAnsi="Helvetica" w:cs="Helvetica"/>
          <w:color w:val="000000" w:themeColor="text1"/>
          <w:szCs w:val="22"/>
        </w:rPr>
      </w:pPr>
      <w:r w:rsidRPr="00657154">
        <w:rPr>
          <w:rFonts w:ascii="Helvetica" w:hAnsi="Helvetica" w:cs="Helvetica"/>
          <w:color w:val="000000" w:themeColor="text1"/>
          <w:szCs w:val="22"/>
        </w:rPr>
        <w:t xml:space="preserve">Purulent infection refers to presence of a drainable abscess </w:t>
      </w:r>
      <w:r w:rsidRPr="00657154">
        <w:rPr>
          <w:rStyle w:val="Strong"/>
          <w:rFonts w:ascii="Helvetica" w:hAnsi="Helvetica" w:cs="Helvetica"/>
          <w:color w:val="000000" w:themeColor="text1"/>
          <w:szCs w:val="22"/>
        </w:rPr>
        <w:t>or</w:t>
      </w:r>
      <w:r w:rsidRPr="00657154">
        <w:rPr>
          <w:rFonts w:ascii="Helvetica" w:hAnsi="Helvetica" w:cs="Helvetica"/>
          <w:color w:val="000000" w:themeColor="text1"/>
          <w:szCs w:val="22"/>
        </w:rPr>
        <w:t xml:space="preserve"> cellulitis associated with purulent drainage in the absence of drainable abscess. An</w:t>
      </w:r>
      <w:r w:rsidR="00701522" w:rsidRPr="00657154">
        <w:rPr>
          <w:rFonts w:ascii="Helvetica" w:hAnsi="Helvetica" w:cs="Helvetica"/>
          <w:color w:val="000000" w:themeColor="text1"/>
          <w:szCs w:val="22"/>
        </w:rPr>
        <w:t>y</w:t>
      </w:r>
      <w:r w:rsidRPr="00657154">
        <w:rPr>
          <w:rFonts w:ascii="Helvetica" w:hAnsi="Helvetica" w:cs="Helvetica"/>
          <w:color w:val="000000" w:themeColor="text1"/>
          <w:szCs w:val="22"/>
        </w:rPr>
        <w:t xml:space="preserve"> infection involving purulence is potentially attributable to </w:t>
      </w:r>
      <w:bookmarkStart w:id="0" w:name="_GoBack"/>
      <w:bookmarkEnd w:id="0"/>
      <w:r w:rsidR="008B404F">
        <w:rPr>
          <w:rStyle w:val="Emphasis"/>
          <w:rFonts w:ascii="Helvetica" w:hAnsi="Helvetica" w:cs="Helvetica"/>
          <w:i w:val="0"/>
          <w:color w:val="000000" w:themeColor="text1"/>
          <w:szCs w:val="22"/>
        </w:rPr>
        <w:t>MRSA</w:t>
      </w:r>
      <w:r w:rsidRPr="00657154">
        <w:rPr>
          <w:rFonts w:ascii="Helvetica" w:hAnsi="Helvetica" w:cs="Helvetica"/>
          <w:color w:val="000000" w:themeColor="text1"/>
          <w:szCs w:val="22"/>
        </w:rPr>
        <w:t>, which should be reflected in the choice of empiric antimicrobial therapy.</w:t>
      </w:r>
    </w:p>
    <w:p w14:paraId="647F6C93" w14:textId="60153438" w:rsidR="00D205CB" w:rsidRPr="00657154" w:rsidRDefault="00701522" w:rsidP="0054617B">
      <w:pPr>
        <w:rPr>
          <w:b/>
          <w:color w:val="000000" w:themeColor="text1"/>
        </w:rPr>
      </w:pPr>
      <w:r w:rsidRPr="00657154">
        <w:rPr>
          <w:b/>
          <w:color w:val="000000" w:themeColor="text1"/>
        </w:rPr>
        <w:t>Incision</w:t>
      </w:r>
      <w:r w:rsidR="00D205CB" w:rsidRPr="00657154">
        <w:rPr>
          <w:b/>
          <w:color w:val="000000" w:themeColor="text1"/>
        </w:rPr>
        <w:t xml:space="preserve"> and drainage</w:t>
      </w:r>
      <w:r w:rsidR="00D205CB" w:rsidRPr="00657154">
        <w:rPr>
          <w:color w:val="000000" w:themeColor="text1"/>
        </w:rPr>
        <w:t xml:space="preserve"> of abscess is indicated for all purulent </w:t>
      </w:r>
      <w:r w:rsidR="0038385D" w:rsidRPr="00657154">
        <w:rPr>
          <w:color w:val="000000" w:themeColor="text1"/>
        </w:rPr>
        <w:t xml:space="preserve">infections </w:t>
      </w:r>
      <w:r w:rsidR="00D205CB" w:rsidRPr="00657154">
        <w:rPr>
          <w:color w:val="000000" w:themeColor="text1"/>
        </w:rPr>
        <w:t xml:space="preserve">and is </w:t>
      </w:r>
      <w:proofErr w:type="gramStart"/>
      <w:r w:rsidR="00D205CB" w:rsidRPr="00657154">
        <w:rPr>
          <w:color w:val="000000" w:themeColor="text1"/>
        </w:rPr>
        <w:t>sufficient</w:t>
      </w:r>
      <w:proofErr w:type="gramEnd"/>
      <w:r w:rsidR="00D205CB" w:rsidRPr="00657154">
        <w:rPr>
          <w:color w:val="000000" w:themeColor="text1"/>
        </w:rPr>
        <w:t xml:space="preserve"> for </w:t>
      </w:r>
      <w:r w:rsidR="00D205CB" w:rsidRPr="00657154">
        <w:rPr>
          <w:b/>
          <w:color w:val="000000" w:themeColor="text1"/>
        </w:rPr>
        <w:t>mild infections.</w:t>
      </w:r>
    </w:p>
    <w:p w14:paraId="34FD5E8C" w14:textId="03A683B0" w:rsidR="00D205CB" w:rsidRPr="00657154" w:rsidRDefault="00D205CB" w:rsidP="0054617B">
      <w:pPr>
        <w:rPr>
          <w:color w:val="000000" w:themeColor="text1"/>
        </w:rPr>
      </w:pPr>
      <w:r w:rsidRPr="00657154">
        <w:rPr>
          <w:color w:val="000000" w:themeColor="text1"/>
        </w:rPr>
        <w:t>For moderate infections, options for oral antibiotics include the following:</w:t>
      </w:r>
    </w:p>
    <w:p w14:paraId="26169882" w14:textId="527B24E0" w:rsidR="00D205CB" w:rsidRPr="00657154" w:rsidRDefault="00D205CB" w:rsidP="0052773E">
      <w:pPr>
        <w:pStyle w:val="ListParagraph"/>
        <w:numPr>
          <w:ilvl w:val="0"/>
          <w:numId w:val="12"/>
        </w:numPr>
        <w:rPr>
          <w:color w:val="000000" w:themeColor="text1"/>
        </w:rPr>
      </w:pPr>
      <w:r w:rsidRPr="00657154">
        <w:rPr>
          <w:color w:val="000000" w:themeColor="text1"/>
        </w:rPr>
        <w:t>Doxycycline</w:t>
      </w:r>
      <w:r w:rsidR="00323DC7" w:rsidRPr="00657154">
        <w:rPr>
          <w:color w:val="000000" w:themeColor="text1"/>
        </w:rPr>
        <w:t xml:space="preserve"> 100</w:t>
      </w:r>
      <w:r w:rsidR="008B404F">
        <w:rPr>
          <w:color w:val="000000" w:themeColor="text1"/>
        </w:rPr>
        <w:t xml:space="preserve"> </w:t>
      </w:r>
      <w:r w:rsidR="00323DC7" w:rsidRPr="00657154">
        <w:rPr>
          <w:color w:val="000000" w:themeColor="text1"/>
        </w:rPr>
        <w:t xml:space="preserve">mg </w:t>
      </w:r>
      <w:r w:rsidR="0062101F">
        <w:rPr>
          <w:color w:val="000000" w:themeColor="text1"/>
        </w:rPr>
        <w:t>PO BD</w:t>
      </w:r>
      <w:r w:rsidR="001B317D">
        <w:rPr>
          <w:color w:val="000000" w:themeColor="text1"/>
        </w:rPr>
        <w:t xml:space="preserve"> (non-pregnant adults only)</w:t>
      </w:r>
      <w:r w:rsidR="003E0D33" w:rsidRPr="00657154">
        <w:rPr>
          <w:color w:val="000000" w:themeColor="text1"/>
        </w:rPr>
        <w:t xml:space="preserve">, or </w:t>
      </w:r>
    </w:p>
    <w:p w14:paraId="36B08AED" w14:textId="66D235C1" w:rsidR="00594FBC" w:rsidRPr="00657154" w:rsidRDefault="00D205CB" w:rsidP="00657154">
      <w:pPr>
        <w:pStyle w:val="ListParagraph"/>
        <w:numPr>
          <w:ilvl w:val="0"/>
          <w:numId w:val="12"/>
        </w:numPr>
        <w:rPr>
          <w:color w:val="000000" w:themeColor="text1"/>
        </w:rPr>
      </w:pPr>
      <w:r w:rsidRPr="00657154">
        <w:rPr>
          <w:color w:val="000000" w:themeColor="text1"/>
        </w:rPr>
        <w:t>Trimethoprim-sul</w:t>
      </w:r>
      <w:r w:rsidR="00594FBC" w:rsidRPr="00657154">
        <w:rPr>
          <w:color w:val="000000" w:themeColor="text1"/>
        </w:rPr>
        <w:t>famethoxazole</w:t>
      </w:r>
      <w:r w:rsidR="00323DC7" w:rsidRPr="00657154">
        <w:rPr>
          <w:color w:val="000000" w:themeColor="text1"/>
        </w:rPr>
        <w:t xml:space="preserve"> </w:t>
      </w:r>
      <w:r w:rsidR="00AF3C4B">
        <w:rPr>
          <w:color w:val="000000" w:themeColor="text1"/>
        </w:rPr>
        <w:t>24</w:t>
      </w:r>
      <w:r w:rsidR="008B404F">
        <w:rPr>
          <w:color w:val="000000" w:themeColor="text1"/>
        </w:rPr>
        <w:t xml:space="preserve"> </w:t>
      </w:r>
      <w:r w:rsidR="00AF3C4B">
        <w:rPr>
          <w:color w:val="000000" w:themeColor="text1"/>
        </w:rPr>
        <w:t xml:space="preserve">mg/kg/dose </w:t>
      </w:r>
      <w:r w:rsidR="001360A8">
        <w:rPr>
          <w:color w:val="000000" w:themeColor="text1"/>
        </w:rPr>
        <w:t xml:space="preserve">(max. </w:t>
      </w:r>
      <w:r w:rsidR="0038385D" w:rsidRPr="00657154">
        <w:rPr>
          <w:color w:val="000000" w:themeColor="text1"/>
        </w:rPr>
        <w:t>960</w:t>
      </w:r>
      <w:r w:rsidR="008B404F">
        <w:rPr>
          <w:color w:val="000000" w:themeColor="text1"/>
        </w:rPr>
        <w:t xml:space="preserve"> </w:t>
      </w:r>
      <w:r w:rsidR="0038385D" w:rsidRPr="00657154">
        <w:rPr>
          <w:color w:val="000000" w:themeColor="text1"/>
        </w:rPr>
        <w:t>mg</w:t>
      </w:r>
      <w:r w:rsidR="001360A8">
        <w:rPr>
          <w:color w:val="000000" w:themeColor="text1"/>
        </w:rPr>
        <w:t>)</w:t>
      </w:r>
      <w:r w:rsidR="00FE585C">
        <w:rPr>
          <w:color w:val="000000" w:themeColor="text1"/>
        </w:rPr>
        <w:t xml:space="preserve"> </w:t>
      </w:r>
      <w:r w:rsidR="0062101F">
        <w:rPr>
          <w:color w:val="000000" w:themeColor="text1"/>
        </w:rPr>
        <w:t>PO</w:t>
      </w:r>
      <w:r w:rsidR="0038385D" w:rsidRPr="00657154">
        <w:rPr>
          <w:color w:val="000000" w:themeColor="text1"/>
        </w:rPr>
        <w:t xml:space="preserve"> </w:t>
      </w:r>
      <w:r w:rsidR="0062101F">
        <w:rPr>
          <w:color w:val="000000" w:themeColor="text1"/>
        </w:rPr>
        <w:t>BD</w:t>
      </w:r>
    </w:p>
    <w:p w14:paraId="4D189E66" w14:textId="60BFC21E" w:rsidR="005E5332" w:rsidRPr="00657154" w:rsidRDefault="005E5332" w:rsidP="005E5332">
      <w:pPr>
        <w:rPr>
          <w:color w:val="000000" w:themeColor="text1"/>
        </w:rPr>
      </w:pPr>
      <w:r w:rsidRPr="00657154">
        <w:rPr>
          <w:color w:val="000000" w:themeColor="text1"/>
        </w:rPr>
        <w:t>Once microorganisms are identified based on cultures, treatment is tailored to the patient’s need. The most common organism are staphylococcal and streptococcal strains.</w:t>
      </w:r>
    </w:p>
    <w:p w14:paraId="5B84A161" w14:textId="77777777" w:rsidR="0045799D" w:rsidRDefault="00323DC7" w:rsidP="0045799D">
      <w:pPr>
        <w:pStyle w:val="Heading3"/>
        <w:rPr>
          <w:lang w:eastAsia="en-GB"/>
        </w:rPr>
      </w:pPr>
      <w:r w:rsidRPr="00D30938">
        <w:rPr>
          <w:lang w:eastAsia="en-GB"/>
        </w:rPr>
        <w:t>Duration of therapy</w:t>
      </w:r>
    </w:p>
    <w:p w14:paraId="531D52C7" w14:textId="57185513" w:rsidR="00323DC7" w:rsidRPr="00657154" w:rsidRDefault="00323DC7" w:rsidP="00323DC7">
      <w:pPr>
        <w:spacing w:before="100" w:beforeAutospacing="1" w:after="100" w:afterAutospacing="1"/>
        <w:outlineLvl w:val="9"/>
        <w:rPr>
          <w:rFonts w:eastAsia="Times New Roman"/>
          <w:color w:val="000000" w:themeColor="text1"/>
          <w:szCs w:val="22"/>
          <w:lang w:val="en-GB" w:eastAsia="en-GB"/>
        </w:rPr>
      </w:pPr>
      <w:r w:rsidRPr="00657154">
        <w:rPr>
          <w:rFonts w:eastAsia="Times New Roman"/>
          <w:color w:val="000000" w:themeColor="text1"/>
          <w:szCs w:val="22"/>
          <w:lang w:val="en-GB" w:eastAsia="en-GB"/>
        </w:rPr>
        <w:t>The appropriate duration of therapy for treatment of skin and soft tissue infection depends on the nature of the clinical presentation, and the clinical response should guide duration of therapy.</w:t>
      </w:r>
    </w:p>
    <w:p w14:paraId="59C75F94" w14:textId="7326AE2B" w:rsidR="00323DC7" w:rsidRPr="00657154" w:rsidRDefault="00323DC7" w:rsidP="00323DC7">
      <w:pPr>
        <w:spacing w:before="100" w:beforeAutospacing="1" w:after="100" w:afterAutospacing="1"/>
        <w:outlineLvl w:val="9"/>
        <w:rPr>
          <w:rFonts w:eastAsia="Times New Roman"/>
          <w:color w:val="000000" w:themeColor="text1"/>
          <w:szCs w:val="22"/>
          <w:lang w:val="en-GB" w:eastAsia="en-GB"/>
        </w:rPr>
      </w:pPr>
      <w:r w:rsidRPr="00657154">
        <w:rPr>
          <w:rFonts w:eastAsia="Times New Roman"/>
          <w:color w:val="000000" w:themeColor="text1"/>
          <w:szCs w:val="22"/>
          <w:lang w:val="en-GB" w:eastAsia="en-GB"/>
        </w:rPr>
        <w:t xml:space="preserve">Patients with mild infection who </w:t>
      </w:r>
      <w:r w:rsidR="00195B96" w:rsidRPr="00657154">
        <w:rPr>
          <w:rFonts w:eastAsia="Times New Roman"/>
          <w:color w:val="000000" w:themeColor="text1"/>
          <w:szCs w:val="22"/>
          <w:lang w:val="en-GB" w:eastAsia="en-GB"/>
        </w:rPr>
        <w:t xml:space="preserve">receive </w:t>
      </w:r>
      <w:r w:rsidRPr="00657154">
        <w:rPr>
          <w:rFonts w:eastAsia="Times New Roman"/>
          <w:color w:val="000000" w:themeColor="text1"/>
          <w:szCs w:val="22"/>
          <w:lang w:val="en-GB" w:eastAsia="en-GB"/>
        </w:rPr>
        <w:t xml:space="preserve">outpatient management with oral antibiotic therapy should have repeat evaluation after 48 hours to verify clinical response. </w:t>
      </w:r>
    </w:p>
    <w:p w14:paraId="26FD7DA0" w14:textId="4C9016D0" w:rsidR="00323DC7" w:rsidRPr="00657154" w:rsidRDefault="00323DC7" w:rsidP="00323DC7">
      <w:pPr>
        <w:spacing w:before="100" w:beforeAutospacing="1" w:after="100" w:afterAutospacing="1"/>
        <w:outlineLvl w:val="9"/>
        <w:rPr>
          <w:rFonts w:eastAsia="Times New Roman"/>
          <w:color w:val="000000" w:themeColor="text1"/>
          <w:szCs w:val="22"/>
          <w:lang w:val="en-GB" w:eastAsia="en-GB"/>
        </w:rPr>
      </w:pPr>
      <w:r w:rsidRPr="00657154">
        <w:rPr>
          <w:rFonts w:eastAsia="Times New Roman"/>
          <w:color w:val="000000" w:themeColor="text1"/>
          <w:szCs w:val="22"/>
          <w:lang w:val="en-GB" w:eastAsia="en-GB"/>
        </w:rPr>
        <w:t>Patients with MRSA responsive to oral therapy are typically treated for 5 days;</w:t>
      </w:r>
      <w:r w:rsidR="00195B96" w:rsidRPr="00657154">
        <w:rPr>
          <w:rFonts w:eastAsia="Times New Roman"/>
          <w:color w:val="000000" w:themeColor="text1"/>
          <w:szCs w:val="22"/>
          <w:lang w:val="en-GB" w:eastAsia="en-GB"/>
        </w:rPr>
        <w:t xml:space="preserve"> treatment may be extended up to 14 days where there is </w:t>
      </w:r>
      <w:r w:rsidRPr="00657154">
        <w:rPr>
          <w:rFonts w:eastAsia="Times New Roman"/>
          <w:color w:val="000000" w:themeColor="text1"/>
          <w:szCs w:val="22"/>
          <w:lang w:val="en-GB" w:eastAsia="en-GB"/>
        </w:rPr>
        <w:t>severe infection, slow response to therapy, or immunosuppression. Lack of response may be due to infection with resistant organism(s), inadequate adherence, or presence of a deeper, more serious infection than previously realized.</w:t>
      </w:r>
    </w:p>
    <w:p w14:paraId="65C93B17" w14:textId="5A435F4F" w:rsidR="00323DC7" w:rsidRPr="00657154" w:rsidRDefault="00323DC7" w:rsidP="00323DC7">
      <w:pPr>
        <w:spacing w:before="100" w:beforeAutospacing="1" w:after="100" w:afterAutospacing="1"/>
        <w:outlineLvl w:val="9"/>
        <w:rPr>
          <w:rFonts w:eastAsia="Times New Roman"/>
          <w:color w:val="000000" w:themeColor="text1"/>
          <w:szCs w:val="22"/>
          <w:lang w:val="en-GB" w:eastAsia="en-GB"/>
        </w:rPr>
      </w:pPr>
      <w:r w:rsidRPr="00657154">
        <w:rPr>
          <w:rFonts w:eastAsia="Times New Roman"/>
          <w:color w:val="000000" w:themeColor="text1"/>
          <w:szCs w:val="22"/>
          <w:lang w:val="en-GB" w:eastAsia="en-GB"/>
        </w:rPr>
        <w:lastRenderedPageBreak/>
        <w:t>Patients with infection warranting parenteral therapy (in the absence of bacter</w:t>
      </w:r>
      <w:r w:rsidR="00677F2F">
        <w:rPr>
          <w:rFonts w:eastAsia="Times New Roman"/>
          <w:color w:val="000000" w:themeColor="text1"/>
          <w:szCs w:val="22"/>
          <w:lang w:val="en-GB" w:eastAsia="en-GB"/>
        </w:rPr>
        <w:t>a</w:t>
      </w:r>
      <w:r w:rsidRPr="00657154">
        <w:rPr>
          <w:rFonts w:eastAsia="Times New Roman"/>
          <w:color w:val="000000" w:themeColor="text1"/>
          <w:szCs w:val="22"/>
          <w:lang w:val="en-GB" w:eastAsia="en-GB"/>
        </w:rPr>
        <w:t>emia or involvement beyond soft tissue) are typically treated for a total duration of 5 to 14 days. Once there are signs of clinical improvement with no evidence of systemic toxicity, antibiotics may be transitioned from parenteral to oral therapy.</w:t>
      </w:r>
    </w:p>
    <w:p w14:paraId="20754D52" w14:textId="521D604F" w:rsidR="005E5332" w:rsidRPr="00657154" w:rsidRDefault="00323DC7" w:rsidP="0062101F">
      <w:pPr>
        <w:spacing w:before="100" w:beforeAutospacing="1" w:after="100" w:afterAutospacing="1"/>
        <w:outlineLvl w:val="9"/>
        <w:rPr>
          <w:color w:val="000000" w:themeColor="text1"/>
        </w:rPr>
      </w:pPr>
      <w:r w:rsidRPr="00657154">
        <w:rPr>
          <w:rFonts w:eastAsia="Times New Roman"/>
          <w:color w:val="000000" w:themeColor="text1"/>
          <w:szCs w:val="22"/>
          <w:lang w:val="en-GB" w:eastAsia="en-GB"/>
        </w:rPr>
        <w:t>For patients with abscess that was detected radiographically, follow-up imaging may be useful for assessing response to therapy.</w:t>
      </w:r>
    </w:p>
    <w:p w14:paraId="7A67A79E" w14:textId="28A8C6E1" w:rsidR="00F03F25" w:rsidRPr="00657154" w:rsidRDefault="00F03F25" w:rsidP="00F03F25">
      <w:pPr>
        <w:pStyle w:val="Heading2"/>
        <w:rPr>
          <w:rFonts w:cs="Arial"/>
          <w:color w:val="000000" w:themeColor="text1"/>
          <w:szCs w:val="22"/>
          <w:lang w:val="en-GB"/>
        </w:rPr>
      </w:pPr>
      <w:r w:rsidRPr="00657154">
        <w:rPr>
          <w:rFonts w:cs="Arial"/>
          <w:color w:val="000000" w:themeColor="text1"/>
          <w:szCs w:val="22"/>
          <w:lang w:val="en-GB"/>
        </w:rPr>
        <w:t>Key Issues for Nursing care</w:t>
      </w:r>
    </w:p>
    <w:p w14:paraId="1C5C3EBA" w14:textId="423ABC9C" w:rsidR="00B40AFF" w:rsidRPr="00657154" w:rsidRDefault="00B40AFF" w:rsidP="00B40AFF">
      <w:pPr>
        <w:pStyle w:val="ListParagraph"/>
        <w:numPr>
          <w:ilvl w:val="0"/>
          <w:numId w:val="8"/>
        </w:numPr>
        <w:rPr>
          <w:color w:val="000000" w:themeColor="text1"/>
          <w:lang w:val="en-GB"/>
        </w:rPr>
      </w:pPr>
      <w:r w:rsidRPr="00657154">
        <w:rPr>
          <w:color w:val="000000" w:themeColor="text1"/>
          <w:lang w:val="en-GB"/>
        </w:rPr>
        <w:t>Ensure that patient get adequate bed rest</w:t>
      </w:r>
      <w:r w:rsidR="00701522" w:rsidRPr="00657154">
        <w:rPr>
          <w:color w:val="000000" w:themeColor="text1"/>
          <w:lang w:val="en-GB"/>
        </w:rPr>
        <w:t xml:space="preserve">: </w:t>
      </w:r>
      <w:r w:rsidRPr="00657154">
        <w:rPr>
          <w:color w:val="000000" w:themeColor="text1"/>
          <w:lang w:val="en-GB"/>
        </w:rPr>
        <w:t>Passive exercise can reduce the</w:t>
      </w:r>
      <w:r w:rsidR="00DF02B6" w:rsidRPr="00657154">
        <w:rPr>
          <w:color w:val="000000" w:themeColor="text1"/>
          <w:lang w:val="en-GB"/>
        </w:rPr>
        <w:t xml:space="preserve"> </w:t>
      </w:r>
      <w:r w:rsidRPr="00657154">
        <w:rPr>
          <w:color w:val="000000" w:themeColor="text1"/>
          <w:lang w:val="en-GB"/>
        </w:rPr>
        <w:t>associated complications</w:t>
      </w:r>
    </w:p>
    <w:p w14:paraId="2D9FD024" w14:textId="338649C9" w:rsidR="00B40AFF" w:rsidRPr="00657154" w:rsidRDefault="00B40AFF" w:rsidP="00B40AFF">
      <w:pPr>
        <w:pStyle w:val="ListParagraph"/>
        <w:numPr>
          <w:ilvl w:val="0"/>
          <w:numId w:val="8"/>
        </w:numPr>
        <w:rPr>
          <w:color w:val="000000" w:themeColor="text1"/>
          <w:lang w:val="en-GB"/>
        </w:rPr>
      </w:pPr>
      <w:r w:rsidRPr="00657154">
        <w:rPr>
          <w:color w:val="000000" w:themeColor="text1"/>
          <w:lang w:val="en-GB"/>
        </w:rPr>
        <w:t>Limb elevation is important to reduce oedema</w:t>
      </w:r>
    </w:p>
    <w:p w14:paraId="41C96369" w14:textId="47A0164B" w:rsidR="00B40AFF" w:rsidRPr="00657154" w:rsidRDefault="00B40AFF" w:rsidP="00B40AFF">
      <w:pPr>
        <w:pStyle w:val="ListParagraph"/>
        <w:numPr>
          <w:ilvl w:val="0"/>
          <w:numId w:val="8"/>
        </w:numPr>
        <w:rPr>
          <w:color w:val="000000" w:themeColor="text1"/>
          <w:lang w:val="en-GB"/>
        </w:rPr>
      </w:pPr>
      <w:r w:rsidRPr="00657154">
        <w:rPr>
          <w:color w:val="000000" w:themeColor="text1"/>
          <w:lang w:val="en-GB"/>
        </w:rPr>
        <w:t>Pressure area care</w:t>
      </w:r>
    </w:p>
    <w:p w14:paraId="63841BAD" w14:textId="4C00F5E1" w:rsidR="00B40AFF" w:rsidRPr="00657154" w:rsidRDefault="00B40AFF" w:rsidP="00B40AFF">
      <w:pPr>
        <w:pStyle w:val="ListParagraph"/>
        <w:numPr>
          <w:ilvl w:val="0"/>
          <w:numId w:val="8"/>
        </w:numPr>
        <w:rPr>
          <w:color w:val="000000" w:themeColor="text1"/>
          <w:lang w:val="en-GB"/>
        </w:rPr>
      </w:pPr>
      <w:r w:rsidRPr="00657154">
        <w:rPr>
          <w:color w:val="000000" w:themeColor="text1"/>
          <w:lang w:val="en-GB"/>
        </w:rPr>
        <w:t>Cleaning any skin breaks carefully and monitoring for signs of infection</w:t>
      </w:r>
    </w:p>
    <w:p w14:paraId="7EF6AC7A" w14:textId="51CC68C6" w:rsidR="00B40AFF" w:rsidRPr="00657154" w:rsidRDefault="00B40AFF" w:rsidP="00B40AFF">
      <w:pPr>
        <w:pStyle w:val="ListParagraph"/>
        <w:numPr>
          <w:ilvl w:val="0"/>
          <w:numId w:val="8"/>
        </w:numPr>
        <w:rPr>
          <w:color w:val="000000" w:themeColor="text1"/>
          <w:lang w:val="en-GB"/>
        </w:rPr>
      </w:pPr>
      <w:r w:rsidRPr="00657154">
        <w:rPr>
          <w:color w:val="000000" w:themeColor="text1"/>
          <w:lang w:val="en-GB"/>
        </w:rPr>
        <w:t>Advi</w:t>
      </w:r>
      <w:r w:rsidR="00701522" w:rsidRPr="00657154">
        <w:rPr>
          <w:color w:val="000000" w:themeColor="text1"/>
          <w:lang w:val="en-GB"/>
        </w:rPr>
        <w:t>s</w:t>
      </w:r>
      <w:r w:rsidRPr="00657154">
        <w:rPr>
          <w:color w:val="000000" w:themeColor="text1"/>
          <w:lang w:val="en-GB"/>
        </w:rPr>
        <w:t>e on basic skin care and avoidance of predisposing factors where possible</w:t>
      </w:r>
    </w:p>
    <w:p w14:paraId="3E832144" w14:textId="5031C016" w:rsidR="00B40AFF" w:rsidRPr="00657154" w:rsidRDefault="00B40AFF" w:rsidP="00B40AFF">
      <w:pPr>
        <w:pStyle w:val="ListParagraph"/>
        <w:numPr>
          <w:ilvl w:val="0"/>
          <w:numId w:val="8"/>
        </w:numPr>
        <w:rPr>
          <w:color w:val="000000" w:themeColor="text1"/>
          <w:lang w:val="en-GB"/>
        </w:rPr>
      </w:pPr>
      <w:r w:rsidRPr="00657154">
        <w:rPr>
          <w:color w:val="000000" w:themeColor="text1"/>
          <w:lang w:val="en-GB"/>
        </w:rPr>
        <w:t>Advi</w:t>
      </w:r>
      <w:r w:rsidR="00701522" w:rsidRPr="00657154">
        <w:rPr>
          <w:color w:val="000000" w:themeColor="text1"/>
          <w:lang w:val="en-GB"/>
        </w:rPr>
        <w:t>s</w:t>
      </w:r>
      <w:r w:rsidRPr="00657154">
        <w:rPr>
          <w:color w:val="000000" w:themeColor="text1"/>
          <w:lang w:val="en-GB"/>
        </w:rPr>
        <w:t xml:space="preserve">e on avoidance of skin damage by </w:t>
      </w:r>
      <w:r w:rsidR="00701522" w:rsidRPr="00657154">
        <w:rPr>
          <w:color w:val="000000" w:themeColor="text1"/>
          <w:lang w:val="en-GB"/>
        </w:rPr>
        <w:t>w</w:t>
      </w:r>
      <w:r w:rsidRPr="00657154">
        <w:rPr>
          <w:color w:val="000000" w:themeColor="text1"/>
          <w:lang w:val="en-GB"/>
        </w:rPr>
        <w:t>earing appropriate protective equipment when taking par</w:t>
      </w:r>
      <w:r w:rsidR="000B1955" w:rsidRPr="00657154">
        <w:rPr>
          <w:color w:val="000000" w:themeColor="text1"/>
          <w:lang w:val="en-GB"/>
        </w:rPr>
        <w:t>t in work or sport.</w:t>
      </w:r>
    </w:p>
    <w:p w14:paraId="7AFB0398" w14:textId="5D01643E" w:rsidR="00F03F25" w:rsidRPr="00657154" w:rsidRDefault="00F03F25" w:rsidP="00F03F25">
      <w:pPr>
        <w:pStyle w:val="Heading2"/>
        <w:rPr>
          <w:rFonts w:cs="Arial"/>
          <w:color w:val="000000" w:themeColor="text1"/>
          <w:szCs w:val="22"/>
          <w:lang w:val="en-GB"/>
        </w:rPr>
      </w:pPr>
      <w:r w:rsidRPr="00657154">
        <w:rPr>
          <w:rFonts w:cs="Arial"/>
          <w:color w:val="000000" w:themeColor="text1"/>
          <w:szCs w:val="22"/>
          <w:lang w:val="en-GB"/>
        </w:rPr>
        <w:t>References</w:t>
      </w:r>
    </w:p>
    <w:p w14:paraId="55F12679" w14:textId="33AB9039" w:rsidR="001759B6" w:rsidRPr="00005E5E" w:rsidRDefault="002831BF" w:rsidP="00005E5E">
      <w:pPr>
        <w:rPr>
          <w:sz w:val="20"/>
          <w:szCs w:val="20"/>
          <w:lang w:val="en-GB" w:eastAsia="en-GB"/>
        </w:rPr>
      </w:pPr>
      <w:hyperlink r:id="rId9" w:history="1">
        <w:r w:rsidR="00CB3905" w:rsidRPr="00005E5E">
          <w:rPr>
            <w:sz w:val="20"/>
            <w:szCs w:val="20"/>
            <w:lang w:val="en-GB" w:eastAsia="en-GB"/>
          </w:rPr>
          <w:t xml:space="preserve">Liu C, Bayer A, Cosgrove SE, et al. Clinical practice guidelines by the </w:t>
        </w:r>
        <w:r w:rsidR="00701522" w:rsidRPr="00005E5E">
          <w:rPr>
            <w:sz w:val="20"/>
            <w:szCs w:val="20"/>
            <w:lang w:val="en-GB" w:eastAsia="en-GB"/>
          </w:rPr>
          <w:t>I</w:t>
        </w:r>
        <w:r w:rsidR="00CB3905" w:rsidRPr="00005E5E">
          <w:rPr>
            <w:sz w:val="20"/>
            <w:szCs w:val="20"/>
            <w:lang w:val="en-GB" w:eastAsia="en-GB"/>
          </w:rPr>
          <w:t xml:space="preserve">nfectious </w:t>
        </w:r>
        <w:r w:rsidR="00701522" w:rsidRPr="00005E5E">
          <w:rPr>
            <w:sz w:val="20"/>
            <w:szCs w:val="20"/>
            <w:lang w:val="en-GB" w:eastAsia="en-GB"/>
          </w:rPr>
          <w:t>D</w:t>
        </w:r>
        <w:r w:rsidR="00CB3905" w:rsidRPr="00005E5E">
          <w:rPr>
            <w:sz w:val="20"/>
            <w:szCs w:val="20"/>
            <w:lang w:val="en-GB" w:eastAsia="en-GB"/>
          </w:rPr>
          <w:t xml:space="preserve">iseases </w:t>
        </w:r>
        <w:r w:rsidR="00701522" w:rsidRPr="00005E5E">
          <w:rPr>
            <w:sz w:val="20"/>
            <w:szCs w:val="20"/>
            <w:lang w:val="en-GB" w:eastAsia="en-GB"/>
          </w:rPr>
          <w:t>S</w:t>
        </w:r>
        <w:r w:rsidR="00CB3905" w:rsidRPr="00005E5E">
          <w:rPr>
            <w:sz w:val="20"/>
            <w:szCs w:val="20"/>
            <w:lang w:val="en-GB" w:eastAsia="en-GB"/>
          </w:rPr>
          <w:t xml:space="preserve">ociety of </w:t>
        </w:r>
        <w:r w:rsidR="00701522" w:rsidRPr="00005E5E">
          <w:rPr>
            <w:sz w:val="20"/>
            <w:szCs w:val="20"/>
            <w:lang w:val="en-GB" w:eastAsia="en-GB"/>
          </w:rPr>
          <w:t>A</w:t>
        </w:r>
        <w:r w:rsidR="00CB3905" w:rsidRPr="00005E5E">
          <w:rPr>
            <w:sz w:val="20"/>
            <w:szCs w:val="20"/>
            <w:lang w:val="en-GB" w:eastAsia="en-GB"/>
          </w:rPr>
          <w:t xml:space="preserve">merica for the treatment of methicillin-resistant Staphylococcus aureus infections in adults and children. Clin Infect Dis 2011; </w:t>
        </w:r>
        <w:proofErr w:type="gramStart"/>
        <w:r w:rsidR="00CB3905" w:rsidRPr="00005E5E">
          <w:rPr>
            <w:sz w:val="20"/>
            <w:szCs w:val="20"/>
            <w:lang w:val="en-GB" w:eastAsia="en-GB"/>
          </w:rPr>
          <w:t>52:e</w:t>
        </w:r>
        <w:proofErr w:type="gramEnd"/>
        <w:r w:rsidR="00CB3905" w:rsidRPr="00005E5E">
          <w:rPr>
            <w:sz w:val="20"/>
            <w:szCs w:val="20"/>
            <w:lang w:val="en-GB" w:eastAsia="en-GB"/>
          </w:rPr>
          <w:t>18.</w:t>
        </w:r>
      </w:hyperlink>
    </w:p>
    <w:p w14:paraId="1F5DDB8E" w14:textId="744930B6" w:rsidR="001759B6" w:rsidRPr="00005E5E" w:rsidRDefault="002831BF" w:rsidP="00005E5E">
      <w:pPr>
        <w:rPr>
          <w:rFonts w:eastAsia="Times New Roman"/>
          <w:sz w:val="20"/>
          <w:szCs w:val="20"/>
          <w:lang w:val="en-GB" w:eastAsia="en-GB"/>
        </w:rPr>
      </w:pPr>
      <w:hyperlink r:id="rId10" w:history="1">
        <w:r w:rsidR="00CB3905" w:rsidRPr="00005E5E">
          <w:rPr>
            <w:rFonts w:eastAsia="Times New Roman"/>
            <w:sz w:val="20"/>
            <w:szCs w:val="20"/>
            <w:lang w:val="en-GB" w:eastAsia="en-GB"/>
          </w:rPr>
          <w:t xml:space="preserve">Stevens DL, </w:t>
        </w:r>
        <w:proofErr w:type="spellStart"/>
        <w:r w:rsidR="00CB3905" w:rsidRPr="00005E5E">
          <w:rPr>
            <w:rFonts w:eastAsia="Times New Roman"/>
            <w:sz w:val="20"/>
            <w:szCs w:val="20"/>
            <w:lang w:val="en-GB" w:eastAsia="en-GB"/>
          </w:rPr>
          <w:t>Bisno</w:t>
        </w:r>
        <w:proofErr w:type="spellEnd"/>
        <w:r w:rsidR="00CB3905" w:rsidRPr="00005E5E">
          <w:rPr>
            <w:rFonts w:eastAsia="Times New Roman"/>
            <w:sz w:val="20"/>
            <w:szCs w:val="20"/>
            <w:lang w:val="en-GB" w:eastAsia="en-GB"/>
          </w:rPr>
          <w:t xml:space="preserve"> AL, Chambers HF, et al. Practice guidelines for the diagnosis and management of skin and soft tissue infections: 2014 update by the infectious </w:t>
        </w:r>
        <w:proofErr w:type="gramStart"/>
        <w:r w:rsidR="00CB3905" w:rsidRPr="00005E5E">
          <w:rPr>
            <w:rFonts w:eastAsia="Times New Roman"/>
            <w:sz w:val="20"/>
            <w:szCs w:val="20"/>
            <w:lang w:val="en-GB" w:eastAsia="en-GB"/>
          </w:rPr>
          <w:t>diseases</w:t>
        </w:r>
        <w:proofErr w:type="gramEnd"/>
        <w:r w:rsidR="00CB3905" w:rsidRPr="00005E5E">
          <w:rPr>
            <w:rFonts w:eastAsia="Times New Roman"/>
            <w:sz w:val="20"/>
            <w:szCs w:val="20"/>
            <w:lang w:val="en-GB" w:eastAsia="en-GB"/>
          </w:rPr>
          <w:t xml:space="preserve"> society of America. Clin Infect Dis 2014; 59:147.</w:t>
        </w:r>
      </w:hyperlink>
    </w:p>
    <w:p w14:paraId="6EBCAA21" w14:textId="52E6D9E1" w:rsidR="001759B6" w:rsidRPr="00005E5E" w:rsidRDefault="002831BF" w:rsidP="00005E5E">
      <w:pPr>
        <w:rPr>
          <w:sz w:val="20"/>
          <w:szCs w:val="20"/>
          <w:lang w:val="en-GB" w:eastAsia="en-GB"/>
        </w:rPr>
      </w:pPr>
      <w:hyperlink r:id="rId11" w:history="1">
        <w:r w:rsidR="00CB3905" w:rsidRPr="00005E5E">
          <w:rPr>
            <w:rFonts w:eastAsia="Times New Roman"/>
            <w:sz w:val="20"/>
            <w:szCs w:val="20"/>
            <w:lang w:val="en-GB" w:eastAsia="en-GB"/>
          </w:rPr>
          <w:t xml:space="preserve">Raff AB, </w:t>
        </w:r>
        <w:proofErr w:type="spellStart"/>
        <w:r w:rsidR="00CB3905" w:rsidRPr="00005E5E">
          <w:rPr>
            <w:rFonts w:eastAsia="Times New Roman"/>
            <w:sz w:val="20"/>
            <w:szCs w:val="20"/>
            <w:lang w:val="en-GB" w:eastAsia="en-GB"/>
          </w:rPr>
          <w:t>Kroshinsky</w:t>
        </w:r>
        <w:proofErr w:type="spellEnd"/>
        <w:r w:rsidR="00CB3905" w:rsidRPr="00005E5E">
          <w:rPr>
            <w:rFonts w:eastAsia="Times New Roman"/>
            <w:sz w:val="20"/>
            <w:szCs w:val="20"/>
            <w:lang w:val="en-GB" w:eastAsia="en-GB"/>
          </w:rPr>
          <w:t xml:space="preserve"> D. Cellulitis: A Review. JAMA 2016; 316:325.</w:t>
        </w:r>
      </w:hyperlink>
    </w:p>
    <w:p w14:paraId="3D5E08D3" w14:textId="50FADC7F" w:rsidR="001759B6" w:rsidRPr="00005E5E" w:rsidRDefault="002831BF" w:rsidP="00005E5E">
      <w:pPr>
        <w:rPr>
          <w:sz w:val="20"/>
          <w:szCs w:val="20"/>
          <w:lang w:val="en-GB"/>
        </w:rPr>
      </w:pPr>
      <w:hyperlink r:id="rId12" w:history="1">
        <w:proofErr w:type="spellStart"/>
        <w:r w:rsidR="00CB3905" w:rsidRPr="00005E5E">
          <w:rPr>
            <w:rFonts w:eastAsia="Times New Roman"/>
            <w:sz w:val="20"/>
            <w:szCs w:val="20"/>
            <w:lang w:val="en-GB" w:eastAsia="en-GB"/>
          </w:rPr>
          <w:t>Halilovic</w:t>
        </w:r>
        <w:proofErr w:type="spellEnd"/>
        <w:r w:rsidR="00CB3905" w:rsidRPr="00005E5E">
          <w:rPr>
            <w:rFonts w:eastAsia="Times New Roman"/>
            <w:sz w:val="20"/>
            <w:szCs w:val="20"/>
            <w:lang w:val="en-GB" w:eastAsia="en-GB"/>
          </w:rPr>
          <w:t xml:space="preserve"> J, </w:t>
        </w:r>
        <w:proofErr w:type="spellStart"/>
        <w:r w:rsidR="00CB3905" w:rsidRPr="00005E5E">
          <w:rPr>
            <w:rFonts w:eastAsia="Times New Roman"/>
            <w:sz w:val="20"/>
            <w:szCs w:val="20"/>
            <w:lang w:val="en-GB" w:eastAsia="en-GB"/>
          </w:rPr>
          <w:t>Heintz</w:t>
        </w:r>
        <w:proofErr w:type="spellEnd"/>
        <w:r w:rsidR="00CB3905" w:rsidRPr="00005E5E">
          <w:rPr>
            <w:rFonts w:eastAsia="Times New Roman"/>
            <w:sz w:val="20"/>
            <w:szCs w:val="20"/>
            <w:lang w:val="en-GB" w:eastAsia="en-GB"/>
          </w:rPr>
          <w:t xml:space="preserve"> BH, Brown J. Risk factors for clinical failure in patients hospitalized with cellulitis and cutaneous abscess. J Infect 2012; 65:128.</w:t>
        </w:r>
      </w:hyperlink>
    </w:p>
    <w:p w14:paraId="5218DCF1" w14:textId="6493ABFC" w:rsidR="001759B6" w:rsidRPr="00005E5E" w:rsidRDefault="00410E1E" w:rsidP="00005E5E">
      <w:pPr>
        <w:rPr>
          <w:sz w:val="20"/>
          <w:szCs w:val="20"/>
          <w:lang w:val="en-GB"/>
        </w:rPr>
      </w:pPr>
      <w:proofErr w:type="spellStart"/>
      <w:r w:rsidRPr="00005E5E">
        <w:rPr>
          <w:sz w:val="20"/>
          <w:szCs w:val="20"/>
          <w:lang w:val="en-GB"/>
        </w:rPr>
        <w:t>Herchline</w:t>
      </w:r>
      <w:proofErr w:type="spellEnd"/>
      <w:r w:rsidRPr="00005E5E">
        <w:rPr>
          <w:sz w:val="20"/>
          <w:szCs w:val="20"/>
          <w:lang w:val="en-GB"/>
        </w:rPr>
        <w:t xml:space="preserve"> TE. Cellulitis. </w:t>
      </w:r>
      <w:r w:rsidR="001759B6" w:rsidRPr="00005E5E">
        <w:rPr>
          <w:sz w:val="20"/>
          <w:szCs w:val="20"/>
          <w:lang w:val="en-GB"/>
        </w:rPr>
        <w:t>Medscape</w:t>
      </w:r>
      <w:r w:rsidR="00B7504A" w:rsidRPr="00005E5E">
        <w:rPr>
          <w:sz w:val="20"/>
          <w:szCs w:val="20"/>
          <w:lang w:val="en-GB"/>
        </w:rPr>
        <w:t xml:space="preserve"> 2018. Available from: </w:t>
      </w:r>
      <w:hyperlink r:id="rId13" w:history="1">
        <w:r w:rsidR="00B7504A" w:rsidRPr="00005E5E">
          <w:rPr>
            <w:rStyle w:val="Hyperlink"/>
            <w:color w:val="000000" w:themeColor="text1"/>
            <w:sz w:val="20"/>
            <w:szCs w:val="20"/>
            <w:lang w:val="en-GB"/>
          </w:rPr>
          <w:t>https://emedicine.medscape.com/article/214222-overview</w:t>
        </w:r>
      </w:hyperlink>
    </w:p>
    <w:p w14:paraId="42C41A3E" w14:textId="670FC575" w:rsidR="001759B6" w:rsidRPr="00005E5E" w:rsidRDefault="001759B6" w:rsidP="00005E5E">
      <w:pPr>
        <w:rPr>
          <w:sz w:val="20"/>
          <w:szCs w:val="20"/>
          <w:lang w:val="en-GB"/>
        </w:rPr>
      </w:pPr>
      <w:r w:rsidRPr="00005E5E">
        <w:rPr>
          <w:sz w:val="20"/>
          <w:szCs w:val="20"/>
          <w:lang w:val="en-GB"/>
        </w:rPr>
        <w:t>John Hopkins ABX guide for cellulitis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29386B" w14:paraId="4C441B67" w14:textId="77777777" w:rsidTr="00515546">
        <w:trPr>
          <w:trHeight w:val="20"/>
        </w:trPr>
        <w:tc>
          <w:tcPr>
            <w:tcW w:w="2139" w:type="dxa"/>
            <w:shd w:val="clear" w:color="auto" w:fill="auto"/>
            <w:vAlign w:val="bottom"/>
          </w:tcPr>
          <w:p w14:paraId="3C364193" w14:textId="77777777" w:rsidR="004C4442" w:rsidRPr="00657154" w:rsidRDefault="004C4442" w:rsidP="00701522">
            <w:pPr>
              <w:spacing w:after="0"/>
              <w:rPr>
                <w:b/>
                <w:color w:val="000000" w:themeColor="text1"/>
                <w:szCs w:val="22"/>
                <w:lang w:val="en-GB"/>
              </w:rPr>
            </w:pPr>
            <w:r w:rsidRPr="00657154">
              <w:rPr>
                <w:b/>
                <w:color w:val="000000" w:themeColor="text1"/>
                <w:szCs w:val="22"/>
                <w:lang w:val="en-GB"/>
              </w:rPr>
              <w:t>Written by:</w:t>
            </w:r>
          </w:p>
        </w:tc>
        <w:tc>
          <w:tcPr>
            <w:tcW w:w="3622" w:type="dxa"/>
            <w:shd w:val="clear" w:color="auto" w:fill="auto"/>
            <w:vAlign w:val="bottom"/>
          </w:tcPr>
          <w:p w14:paraId="087E8AAF" w14:textId="4429D01D" w:rsidR="004C4442" w:rsidRPr="00657154" w:rsidRDefault="004C4442" w:rsidP="00701522">
            <w:pPr>
              <w:spacing w:after="0"/>
              <w:rPr>
                <w:color w:val="000000" w:themeColor="text1"/>
                <w:szCs w:val="22"/>
                <w:lang w:val="en-GB"/>
              </w:rPr>
            </w:pPr>
            <w:r w:rsidRPr="00657154">
              <w:rPr>
                <w:color w:val="000000" w:themeColor="text1"/>
                <w:szCs w:val="22"/>
                <w:lang w:val="en-GB"/>
              </w:rPr>
              <w:t>Name</w:t>
            </w:r>
            <w:r w:rsidR="005638D0" w:rsidRPr="00657154">
              <w:rPr>
                <w:color w:val="000000" w:themeColor="text1"/>
                <w:szCs w:val="22"/>
                <w:lang w:val="en-GB"/>
              </w:rPr>
              <w:t xml:space="preserve">: </w:t>
            </w:r>
            <w:r w:rsidR="00BF3226" w:rsidRPr="00657154">
              <w:rPr>
                <w:color w:val="000000" w:themeColor="text1"/>
                <w:szCs w:val="22"/>
                <w:lang w:val="en-GB"/>
              </w:rPr>
              <w:t>Amie Secka</w:t>
            </w:r>
          </w:p>
        </w:tc>
        <w:tc>
          <w:tcPr>
            <w:tcW w:w="2869" w:type="dxa"/>
            <w:shd w:val="clear" w:color="auto" w:fill="auto"/>
            <w:vAlign w:val="bottom"/>
          </w:tcPr>
          <w:p w14:paraId="799B0CB9" w14:textId="3888C51C" w:rsidR="004C4442" w:rsidRPr="00657154" w:rsidRDefault="004C4442" w:rsidP="00DF02B6">
            <w:pPr>
              <w:spacing w:after="0"/>
              <w:rPr>
                <w:color w:val="000000" w:themeColor="text1"/>
                <w:szCs w:val="22"/>
                <w:lang w:val="en-GB"/>
              </w:rPr>
            </w:pPr>
            <w:r w:rsidRPr="00657154">
              <w:rPr>
                <w:color w:val="000000" w:themeColor="text1"/>
                <w:szCs w:val="22"/>
                <w:lang w:val="en-GB"/>
              </w:rPr>
              <w:t xml:space="preserve">Date: </w:t>
            </w:r>
            <w:r w:rsidR="00DF02B6" w:rsidRPr="00657154">
              <w:rPr>
                <w:color w:val="000000" w:themeColor="text1"/>
                <w:szCs w:val="22"/>
                <w:lang w:val="en-GB"/>
              </w:rPr>
              <w:t xml:space="preserve">26 November </w:t>
            </w:r>
            <w:r w:rsidR="00BF3226" w:rsidRPr="00657154">
              <w:rPr>
                <w:color w:val="000000" w:themeColor="text1"/>
                <w:szCs w:val="22"/>
                <w:lang w:val="en-GB"/>
              </w:rPr>
              <w:t>2018</w:t>
            </w:r>
          </w:p>
        </w:tc>
      </w:tr>
      <w:tr w:rsidR="004C4442" w:rsidRPr="0029386B" w14:paraId="17BC65F6" w14:textId="77777777" w:rsidTr="00515546">
        <w:trPr>
          <w:trHeight w:val="20"/>
        </w:trPr>
        <w:tc>
          <w:tcPr>
            <w:tcW w:w="2139" w:type="dxa"/>
            <w:shd w:val="clear" w:color="auto" w:fill="auto"/>
            <w:vAlign w:val="bottom"/>
          </w:tcPr>
          <w:p w14:paraId="6BDC248B" w14:textId="77777777" w:rsidR="004C4442" w:rsidRPr="00657154" w:rsidRDefault="004C4442" w:rsidP="00701522">
            <w:pPr>
              <w:spacing w:after="0"/>
              <w:rPr>
                <w:b/>
                <w:color w:val="000000" w:themeColor="text1"/>
                <w:szCs w:val="22"/>
                <w:lang w:val="en-GB"/>
              </w:rPr>
            </w:pPr>
            <w:r w:rsidRPr="00657154">
              <w:rPr>
                <w:b/>
                <w:color w:val="000000" w:themeColor="text1"/>
                <w:szCs w:val="22"/>
                <w:lang w:val="en-GB"/>
              </w:rPr>
              <w:t>Reviewed by:</w:t>
            </w:r>
          </w:p>
        </w:tc>
        <w:tc>
          <w:tcPr>
            <w:tcW w:w="3622" w:type="dxa"/>
            <w:shd w:val="clear" w:color="auto" w:fill="auto"/>
            <w:vAlign w:val="bottom"/>
          </w:tcPr>
          <w:p w14:paraId="7772D870" w14:textId="5287F45F" w:rsidR="004C4442" w:rsidRPr="00657154" w:rsidRDefault="004C4442" w:rsidP="00701522">
            <w:pPr>
              <w:spacing w:after="0"/>
              <w:rPr>
                <w:color w:val="000000" w:themeColor="text1"/>
                <w:szCs w:val="22"/>
                <w:lang w:val="en-GB"/>
              </w:rPr>
            </w:pPr>
            <w:r w:rsidRPr="00657154">
              <w:rPr>
                <w:color w:val="000000" w:themeColor="text1"/>
                <w:szCs w:val="22"/>
                <w:lang w:val="en-GB"/>
              </w:rPr>
              <w:t xml:space="preserve">Name: </w:t>
            </w:r>
            <w:r w:rsidR="00195B96" w:rsidRPr="00657154">
              <w:rPr>
                <w:color w:val="000000" w:themeColor="text1"/>
                <w:szCs w:val="22"/>
                <w:lang w:val="en-GB"/>
              </w:rPr>
              <w:t>Fatai Akemokwe</w:t>
            </w:r>
          </w:p>
        </w:tc>
        <w:tc>
          <w:tcPr>
            <w:tcW w:w="2869" w:type="dxa"/>
            <w:shd w:val="clear" w:color="auto" w:fill="auto"/>
            <w:vAlign w:val="bottom"/>
          </w:tcPr>
          <w:p w14:paraId="0BE628EB" w14:textId="4C50FF30" w:rsidR="004C4442" w:rsidRPr="00657154" w:rsidRDefault="004C4442" w:rsidP="00701522">
            <w:pPr>
              <w:spacing w:after="0"/>
              <w:rPr>
                <w:color w:val="000000" w:themeColor="text1"/>
                <w:szCs w:val="22"/>
                <w:lang w:val="en-GB"/>
              </w:rPr>
            </w:pPr>
            <w:r w:rsidRPr="00657154">
              <w:rPr>
                <w:color w:val="000000" w:themeColor="text1"/>
                <w:szCs w:val="22"/>
                <w:lang w:val="en-GB"/>
              </w:rPr>
              <w:t>Date:</w:t>
            </w:r>
            <w:r w:rsidR="00195B96" w:rsidRPr="00657154">
              <w:rPr>
                <w:color w:val="000000" w:themeColor="text1"/>
                <w:szCs w:val="22"/>
                <w:lang w:val="en-GB"/>
              </w:rPr>
              <w:t xml:space="preserve"> 28 January 2019</w:t>
            </w:r>
            <w:r w:rsidRPr="00657154">
              <w:rPr>
                <w:color w:val="000000" w:themeColor="text1"/>
                <w:szCs w:val="22"/>
                <w:lang w:val="en-GB"/>
              </w:rPr>
              <w:t xml:space="preserve"> </w:t>
            </w:r>
          </w:p>
        </w:tc>
      </w:tr>
      <w:tr w:rsidR="004C4442" w:rsidRPr="0029386B" w14:paraId="7EF2AD63" w14:textId="77777777" w:rsidTr="00515546">
        <w:trPr>
          <w:trHeight w:val="20"/>
        </w:trPr>
        <w:tc>
          <w:tcPr>
            <w:tcW w:w="2139" w:type="dxa"/>
            <w:shd w:val="clear" w:color="auto" w:fill="auto"/>
            <w:vAlign w:val="bottom"/>
          </w:tcPr>
          <w:p w14:paraId="31A056C0" w14:textId="77777777" w:rsidR="004C4442" w:rsidRPr="00657154" w:rsidRDefault="004C4442" w:rsidP="00701522">
            <w:pPr>
              <w:spacing w:after="0"/>
              <w:rPr>
                <w:color w:val="000000" w:themeColor="text1"/>
                <w:szCs w:val="22"/>
                <w:lang w:val="en-GB"/>
              </w:rPr>
            </w:pPr>
            <w:r w:rsidRPr="00657154">
              <w:rPr>
                <w:b/>
                <w:color w:val="000000" w:themeColor="text1"/>
                <w:szCs w:val="22"/>
                <w:lang w:val="en-GB"/>
              </w:rPr>
              <w:t>Version:</w:t>
            </w:r>
          </w:p>
        </w:tc>
        <w:tc>
          <w:tcPr>
            <w:tcW w:w="3622" w:type="dxa"/>
            <w:shd w:val="clear" w:color="auto" w:fill="auto"/>
            <w:vAlign w:val="bottom"/>
          </w:tcPr>
          <w:p w14:paraId="6F2CC90E" w14:textId="77777777" w:rsidR="004C4442" w:rsidRPr="00657154" w:rsidRDefault="004C4442" w:rsidP="00701522">
            <w:pPr>
              <w:spacing w:after="0"/>
              <w:rPr>
                <w:color w:val="000000" w:themeColor="text1"/>
                <w:szCs w:val="22"/>
                <w:lang w:val="en-GB"/>
              </w:rPr>
            </w:pPr>
            <w:r w:rsidRPr="00657154">
              <w:rPr>
                <w:b/>
                <w:color w:val="000000" w:themeColor="text1"/>
                <w:szCs w:val="22"/>
                <w:lang w:val="en-GB"/>
              </w:rPr>
              <w:t>Change history:</w:t>
            </w:r>
          </w:p>
        </w:tc>
        <w:tc>
          <w:tcPr>
            <w:tcW w:w="2869" w:type="dxa"/>
            <w:shd w:val="clear" w:color="auto" w:fill="auto"/>
            <w:vAlign w:val="bottom"/>
          </w:tcPr>
          <w:p w14:paraId="242A1EF7" w14:textId="77777777" w:rsidR="004C4442" w:rsidRPr="00657154" w:rsidRDefault="004C4442" w:rsidP="00701522">
            <w:pPr>
              <w:spacing w:after="0"/>
              <w:rPr>
                <w:b/>
                <w:color w:val="000000" w:themeColor="text1"/>
                <w:szCs w:val="22"/>
                <w:lang w:val="en-GB"/>
              </w:rPr>
            </w:pPr>
            <w:r w:rsidRPr="00657154">
              <w:rPr>
                <w:b/>
                <w:color w:val="000000" w:themeColor="text1"/>
                <w:szCs w:val="22"/>
                <w:lang w:val="en-GB"/>
              </w:rPr>
              <w:t>Review due date:</w:t>
            </w:r>
          </w:p>
        </w:tc>
      </w:tr>
      <w:tr w:rsidR="004C4442" w:rsidRPr="0029386B" w14:paraId="0F09859B" w14:textId="77777777" w:rsidTr="00515546">
        <w:trPr>
          <w:trHeight w:val="20"/>
        </w:trPr>
        <w:tc>
          <w:tcPr>
            <w:tcW w:w="2139" w:type="dxa"/>
            <w:shd w:val="clear" w:color="auto" w:fill="auto"/>
            <w:vAlign w:val="bottom"/>
          </w:tcPr>
          <w:p w14:paraId="3EF2AFFE" w14:textId="77777777" w:rsidR="004C4442" w:rsidRPr="00657154" w:rsidRDefault="004C4442" w:rsidP="00701522">
            <w:pPr>
              <w:spacing w:after="0"/>
              <w:rPr>
                <w:color w:val="000000" w:themeColor="text1"/>
                <w:szCs w:val="22"/>
                <w:lang w:val="en-GB"/>
              </w:rPr>
            </w:pPr>
            <w:r w:rsidRPr="00657154">
              <w:rPr>
                <w:color w:val="000000" w:themeColor="text1"/>
                <w:szCs w:val="22"/>
                <w:lang w:val="en-GB"/>
              </w:rPr>
              <w:t>1.0</w:t>
            </w:r>
          </w:p>
        </w:tc>
        <w:tc>
          <w:tcPr>
            <w:tcW w:w="3622" w:type="dxa"/>
            <w:shd w:val="clear" w:color="auto" w:fill="auto"/>
            <w:vAlign w:val="bottom"/>
          </w:tcPr>
          <w:p w14:paraId="7F567504" w14:textId="77777777" w:rsidR="004C4442" w:rsidRPr="00657154" w:rsidRDefault="004C4442" w:rsidP="00701522">
            <w:pPr>
              <w:spacing w:after="0"/>
              <w:rPr>
                <w:color w:val="000000" w:themeColor="text1"/>
                <w:szCs w:val="22"/>
                <w:lang w:val="en-GB"/>
              </w:rPr>
            </w:pPr>
            <w:r w:rsidRPr="00657154">
              <w:rPr>
                <w:color w:val="000000" w:themeColor="text1"/>
                <w:szCs w:val="22"/>
                <w:lang w:val="en-GB"/>
              </w:rPr>
              <w:t>New document</w:t>
            </w:r>
          </w:p>
        </w:tc>
        <w:tc>
          <w:tcPr>
            <w:tcW w:w="2869" w:type="dxa"/>
            <w:shd w:val="clear" w:color="auto" w:fill="auto"/>
            <w:vAlign w:val="bottom"/>
          </w:tcPr>
          <w:p w14:paraId="32D4212D" w14:textId="41DBB62E" w:rsidR="004C4442" w:rsidRPr="00657154" w:rsidRDefault="00B56E27" w:rsidP="00701522">
            <w:pPr>
              <w:spacing w:after="0"/>
              <w:rPr>
                <w:color w:val="000000" w:themeColor="text1"/>
                <w:szCs w:val="22"/>
                <w:lang w:val="en-GB"/>
              </w:rPr>
            </w:pPr>
            <w:r>
              <w:rPr>
                <w:color w:val="000000" w:themeColor="text1"/>
                <w:szCs w:val="22"/>
                <w:lang w:val="en-GB"/>
              </w:rPr>
              <w:t>31 January 2021</w:t>
            </w:r>
          </w:p>
        </w:tc>
      </w:tr>
      <w:tr w:rsidR="000A3AA8" w:rsidRPr="0029386B" w14:paraId="02C8D915" w14:textId="77777777" w:rsidTr="00515546">
        <w:trPr>
          <w:trHeight w:val="20"/>
        </w:trPr>
        <w:tc>
          <w:tcPr>
            <w:tcW w:w="2139" w:type="dxa"/>
            <w:shd w:val="clear" w:color="auto" w:fill="auto"/>
            <w:vAlign w:val="bottom"/>
          </w:tcPr>
          <w:p w14:paraId="36B60DB4" w14:textId="6B45D6EA" w:rsidR="000A3AA8" w:rsidRPr="00657154" w:rsidRDefault="00B56E27" w:rsidP="00701522">
            <w:pPr>
              <w:spacing w:after="0"/>
              <w:rPr>
                <w:color w:val="000000" w:themeColor="text1"/>
                <w:szCs w:val="22"/>
                <w:lang w:val="en-GB"/>
              </w:rPr>
            </w:pPr>
            <w:r>
              <w:rPr>
                <w:color w:val="000000" w:themeColor="text1"/>
                <w:szCs w:val="22"/>
                <w:lang w:val="en-GB"/>
              </w:rPr>
              <w:t>1.1</w:t>
            </w:r>
          </w:p>
        </w:tc>
        <w:tc>
          <w:tcPr>
            <w:tcW w:w="3622" w:type="dxa"/>
            <w:shd w:val="clear" w:color="auto" w:fill="auto"/>
            <w:vAlign w:val="bottom"/>
          </w:tcPr>
          <w:p w14:paraId="0138953A" w14:textId="6F402836" w:rsidR="000A3AA8" w:rsidRPr="00657154" w:rsidRDefault="00B56E27" w:rsidP="00701522">
            <w:pPr>
              <w:spacing w:after="0"/>
              <w:rPr>
                <w:color w:val="000000" w:themeColor="text1"/>
                <w:szCs w:val="22"/>
                <w:lang w:val="en-GB"/>
              </w:rPr>
            </w:pPr>
            <w:r>
              <w:rPr>
                <w:color w:val="000000" w:themeColor="text1"/>
                <w:szCs w:val="22"/>
                <w:lang w:val="en-GB"/>
              </w:rPr>
              <w:t>Executive summary added</w:t>
            </w:r>
          </w:p>
        </w:tc>
        <w:tc>
          <w:tcPr>
            <w:tcW w:w="2869" w:type="dxa"/>
            <w:shd w:val="clear" w:color="auto" w:fill="auto"/>
            <w:vAlign w:val="bottom"/>
          </w:tcPr>
          <w:p w14:paraId="72C17595" w14:textId="24E8E17F" w:rsidR="000A3AA8" w:rsidRPr="00657154" w:rsidRDefault="00B56E27" w:rsidP="00701522">
            <w:pPr>
              <w:spacing w:after="0"/>
              <w:rPr>
                <w:color w:val="000000" w:themeColor="text1"/>
                <w:szCs w:val="22"/>
                <w:lang w:val="en-GB"/>
              </w:rPr>
            </w:pPr>
            <w:r>
              <w:rPr>
                <w:color w:val="000000" w:themeColor="text1"/>
                <w:szCs w:val="22"/>
                <w:lang w:val="en-GB"/>
              </w:rPr>
              <w:t>31 January 2021</w:t>
            </w:r>
          </w:p>
        </w:tc>
      </w:tr>
      <w:tr w:rsidR="005638D0" w:rsidRPr="0029386B" w14:paraId="1D814E02" w14:textId="77777777" w:rsidTr="00515546">
        <w:trPr>
          <w:trHeight w:val="20"/>
        </w:trPr>
        <w:tc>
          <w:tcPr>
            <w:tcW w:w="2139" w:type="dxa"/>
            <w:shd w:val="clear" w:color="auto" w:fill="auto"/>
            <w:vAlign w:val="bottom"/>
          </w:tcPr>
          <w:p w14:paraId="7B573F01" w14:textId="77777777" w:rsidR="005638D0" w:rsidRPr="00657154" w:rsidRDefault="005638D0" w:rsidP="005638D0">
            <w:pPr>
              <w:spacing w:after="0"/>
              <w:rPr>
                <w:color w:val="000000" w:themeColor="text1"/>
                <w:szCs w:val="22"/>
                <w:lang w:val="en-GB"/>
              </w:rPr>
            </w:pPr>
            <w:r w:rsidRPr="00657154">
              <w:rPr>
                <w:color w:val="000000" w:themeColor="text1"/>
                <w:szCs w:val="22"/>
                <w:lang w:val="en-GB"/>
              </w:rPr>
              <w:t>Review Comments (</w:t>
            </w:r>
            <w:r w:rsidRPr="00657154">
              <w:rPr>
                <w:i/>
                <w:color w:val="000000" w:themeColor="text1"/>
                <w:szCs w:val="22"/>
                <w:lang w:val="en-GB"/>
              </w:rPr>
              <w:t>if applicable)</w:t>
            </w:r>
          </w:p>
        </w:tc>
        <w:tc>
          <w:tcPr>
            <w:tcW w:w="3622" w:type="dxa"/>
            <w:shd w:val="clear" w:color="auto" w:fill="auto"/>
            <w:vAlign w:val="bottom"/>
          </w:tcPr>
          <w:p w14:paraId="5D19164D" w14:textId="77777777" w:rsidR="005638D0" w:rsidRPr="00657154" w:rsidRDefault="005638D0" w:rsidP="005638D0">
            <w:pPr>
              <w:spacing w:after="0"/>
              <w:rPr>
                <w:color w:val="000000" w:themeColor="text1"/>
                <w:szCs w:val="22"/>
                <w:lang w:val="en-GB"/>
              </w:rPr>
            </w:pPr>
          </w:p>
        </w:tc>
        <w:tc>
          <w:tcPr>
            <w:tcW w:w="2869" w:type="dxa"/>
            <w:shd w:val="clear" w:color="auto" w:fill="auto"/>
            <w:vAlign w:val="bottom"/>
          </w:tcPr>
          <w:p w14:paraId="26797B70" w14:textId="77777777" w:rsidR="005638D0" w:rsidRPr="00657154" w:rsidRDefault="005638D0" w:rsidP="005638D0">
            <w:pPr>
              <w:spacing w:after="0"/>
              <w:rPr>
                <w:b/>
                <w:color w:val="000000" w:themeColor="text1"/>
                <w:szCs w:val="22"/>
                <w:lang w:val="en-GB"/>
              </w:rPr>
            </w:pPr>
          </w:p>
        </w:tc>
      </w:tr>
    </w:tbl>
    <w:p w14:paraId="049A5FCC" w14:textId="77777777" w:rsidR="00975A60" w:rsidRPr="00657154" w:rsidRDefault="00975A60" w:rsidP="00975A60">
      <w:pPr>
        <w:rPr>
          <w:color w:val="000000" w:themeColor="text1"/>
          <w:szCs w:val="22"/>
          <w:lang w:val="en-GB"/>
        </w:rPr>
      </w:pPr>
    </w:p>
    <w:sectPr w:rsidR="00975A60" w:rsidRPr="00657154" w:rsidSect="00D13825">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6DBE6" w14:textId="77777777" w:rsidR="002831BF" w:rsidRDefault="002831BF" w:rsidP="00975A60">
      <w:pPr>
        <w:spacing w:after="0"/>
      </w:pPr>
      <w:r>
        <w:separator/>
      </w:r>
    </w:p>
  </w:endnote>
  <w:endnote w:type="continuationSeparator" w:id="0">
    <w:p w14:paraId="1FC75441" w14:textId="77777777" w:rsidR="002831BF" w:rsidRDefault="002831BF"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9E00C" w14:textId="77777777" w:rsidR="00AF3C4B" w:rsidRDefault="00AF3C4B"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44F68A" w14:textId="77777777" w:rsidR="00AF3C4B" w:rsidRDefault="00AF3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A9EC5" w14:textId="77777777" w:rsidR="00AF3C4B" w:rsidRPr="003A02A5" w:rsidRDefault="00AF3C4B"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1D420E">
      <w:rPr>
        <w:rStyle w:val="PageNumber"/>
        <w:noProof/>
      </w:rPr>
      <w:t>5</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1D420E">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C6883" w14:textId="77777777" w:rsidR="00AF3C4B" w:rsidRDefault="00AF3C4B"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noProof/>
      </w:rPr>
      <w:t>5</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6A943" w14:textId="77777777" w:rsidR="002831BF" w:rsidRDefault="002831BF" w:rsidP="00975A60">
      <w:pPr>
        <w:spacing w:after="0"/>
      </w:pPr>
      <w:r>
        <w:separator/>
      </w:r>
    </w:p>
  </w:footnote>
  <w:footnote w:type="continuationSeparator" w:id="0">
    <w:p w14:paraId="2E588E44" w14:textId="77777777" w:rsidR="002831BF" w:rsidRDefault="002831BF"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81D5D" w14:textId="77777777" w:rsidR="00B56E27" w:rsidRDefault="00B56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5EA2C" w14:textId="11434E91" w:rsidR="00AF3C4B" w:rsidRPr="00BF3226" w:rsidRDefault="00AF3C4B" w:rsidP="00BF3226">
    <w:pPr>
      <w:pStyle w:val="Header"/>
    </w:pPr>
    <w:r w:rsidRPr="00BF3226">
      <w:t>Identification code: MeG-CLS-0</w:t>
    </w:r>
    <w:r w:rsidR="0084489C">
      <w:t>51</w:t>
    </w:r>
    <w:r w:rsidRPr="00BF3226">
      <w:tab/>
    </w:r>
  </w:p>
  <w:p w14:paraId="16B58A3B" w14:textId="38C49F51" w:rsidR="00AF3C4B" w:rsidRPr="00BF3226" w:rsidRDefault="00AF3C4B" w:rsidP="00BF3226">
    <w:pPr>
      <w:pStyle w:val="Header"/>
    </w:pPr>
    <w:r w:rsidRPr="00BF3226">
      <w:t xml:space="preserve">Version: </w:t>
    </w:r>
    <w:r w:rsidR="0062101F">
      <w:t>1</w:t>
    </w:r>
    <w:r w:rsidRPr="00BF3226">
      <w:t>.</w:t>
    </w:r>
    <w:r w:rsidR="00B56E27">
      <w:t>1</w:t>
    </w:r>
    <w:r w:rsidR="00FA4941">
      <w:t xml:space="preserve"> - </w:t>
    </w:r>
    <w:r w:rsidR="0062101F">
      <w:t>31 January 2019</w:t>
    </w:r>
  </w:p>
  <w:p w14:paraId="063908DC" w14:textId="4CC2FF38" w:rsidR="00AF3C4B" w:rsidRPr="00BF3226" w:rsidRDefault="00AF3C4B" w:rsidP="00BF3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D0F38" w14:textId="77777777" w:rsidR="00AF3C4B" w:rsidRDefault="00AF3C4B" w:rsidP="00D13825">
    <w:pPr>
      <w:pStyle w:val="Header"/>
      <w:ind w:firstLine="2880"/>
      <w:rPr>
        <w:rFonts w:cs="Arial"/>
        <w:b/>
      </w:rPr>
    </w:pPr>
    <w:r>
      <w:rPr>
        <w:rFonts w:cs="Arial"/>
        <w:b/>
        <w:noProof/>
        <w:lang w:val="en-GB" w:eastAsia="en-GB"/>
      </w:rPr>
      <w:drawing>
        <wp:anchor distT="0" distB="0" distL="114300" distR="114300" simplePos="0" relativeHeight="251658240" behindDoc="1" locked="0" layoutInCell="1" allowOverlap="1" wp14:anchorId="40B4BCC9" wp14:editId="70BB354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5FD86C6" w14:textId="77777777" w:rsidR="00AF3C4B" w:rsidRDefault="00AF3C4B"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A2832F1" w14:textId="77777777" w:rsidR="00AF3C4B" w:rsidRPr="003C0800" w:rsidRDefault="00AF3C4B" w:rsidP="00D13825">
    <w:pPr>
      <w:pStyle w:val="Header"/>
      <w:ind w:firstLine="2880"/>
      <w:rPr>
        <w:rFonts w:cs="Arial"/>
        <w:b/>
      </w:rPr>
    </w:pPr>
  </w:p>
  <w:p w14:paraId="73373FA8" w14:textId="0F66DC59" w:rsidR="00AF3C4B" w:rsidRPr="00BF3226" w:rsidRDefault="00AF3C4B" w:rsidP="00D13825">
    <w:pPr>
      <w:pStyle w:val="Header"/>
    </w:pPr>
    <w:r w:rsidRPr="00BF3226">
      <w:t>Identification code: MeG-CLS-0</w:t>
    </w:r>
    <w:r w:rsidR="0062101F">
      <w:t>51</w:t>
    </w:r>
    <w:r w:rsidRPr="00BF3226">
      <w:tab/>
    </w:r>
  </w:p>
  <w:p w14:paraId="299216D4" w14:textId="02EA7FFF" w:rsidR="00AF3C4B" w:rsidRPr="00BF3226" w:rsidRDefault="00AF3C4B" w:rsidP="00D13825">
    <w:pPr>
      <w:pStyle w:val="Header"/>
    </w:pPr>
    <w:r w:rsidRPr="00BF3226">
      <w:t>Version</w:t>
    </w:r>
    <w:r w:rsidR="0062101F">
      <w:t>: 1.</w:t>
    </w:r>
    <w:r w:rsidR="00B56E27">
      <w:t>1</w:t>
    </w:r>
    <w:r w:rsidR="00FA4941">
      <w:t xml:space="preserve"> -</w:t>
    </w:r>
    <w:r w:rsidR="0062101F">
      <w:t>31 January 2019</w:t>
    </w:r>
  </w:p>
  <w:p w14:paraId="64829429" w14:textId="77777777" w:rsidR="00AF3C4B" w:rsidRDefault="00AF3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4EF912"/>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CDE44E20"/>
    <w:lvl w:ilvl="0">
      <w:start w:val="1"/>
      <w:numFmt w:val="decimal"/>
      <w:lvlText w:val="%1."/>
      <w:lvlJc w:val="left"/>
      <w:pPr>
        <w:tabs>
          <w:tab w:val="num" w:pos="643"/>
        </w:tabs>
        <w:ind w:left="643" w:hanging="360"/>
      </w:pPr>
    </w:lvl>
  </w:abstractNum>
  <w:abstractNum w:abstractNumId="2" w15:restartNumberingAfterBreak="0">
    <w:nsid w:val="02133803"/>
    <w:multiLevelType w:val="hybridMultilevel"/>
    <w:tmpl w:val="0A3AD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84EA9"/>
    <w:multiLevelType w:val="hybridMultilevel"/>
    <w:tmpl w:val="C024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F57EA4"/>
    <w:multiLevelType w:val="hybridMultilevel"/>
    <w:tmpl w:val="38C42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DC3192"/>
    <w:multiLevelType w:val="hybridMultilevel"/>
    <w:tmpl w:val="CA68A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785E00"/>
    <w:multiLevelType w:val="hybridMultilevel"/>
    <w:tmpl w:val="F870A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1528E5"/>
    <w:multiLevelType w:val="hybridMultilevel"/>
    <w:tmpl w:val="140A4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2F04AA"/>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A591F"/>
    <w:multiLevelType w:val="hybridMultilevel"/>
    <w:tmpl w:val="9BFA4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104B9C"/>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0197C"/>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0578D"/>
    <w:multiLevelType w:val="hybridMultilevel"/>
    <w:tmpl w:val="1AD6E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565A8E"/>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D6C9B"/>
    <w:multiLevelType w:val="hybridMultilevel"/>
    <w:tmpl w:val="7E9EE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72022B"/>
    <w:multiLevelType w:val="hybridMultilevel"/>
    <w:tmpl w:val="D56E8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A37BC"/>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E4F14"/>
    <w:multiLevelType w:val="hybridMultilevel"/>
    <w:tmpl w:val="0346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DE157B"/>
    <w:multiLevelType w:val="hybridMultilevel"/>
    <w:tmpl w:val="7A266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BB1833"/>
    <w:multiLevelType w:val="hybridMultilevel"/>
    <w:tmpl w:val="179E6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D67994"/>
    <w:multiLevelType w:val="hybridMultilevel"/>
    <w:tmpl w:val="04EC3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1F7874"/>
    <w:multiLevelType w:val="hybridMultilevel"/>
    <w:tmpl w:val="76C04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5A3E3B58"/>
    <w:multiLevelType w:val="hybridMultilevel"/>
    <w:tmpl w:val="AF02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F13405"/>
    <w:multiLevelType w:val="hybridMultilevel"/>
    <w:tmpl w:val="C4C6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C41D54"/>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14F14"/>
    <w:multiLevelType w:val="hybridMultilevel"/>
    <w:tmpl w:val="9B58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E73D25"/>
    <w:multiLevelType w:val="hybridMultilevel"/>
    <w:tmpl w:val="C0C84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941CBF"/>
    <w:multiLevelType w:val="hybridMultilevel"/>
    <w:tmpl w:val="0EBED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3"/>
  </w:num>
  <w:num w:numId="4">
    <w:abstractNumId w:val="23"/>
  </w:num>
  <w:num w:numId="5">
    <w:abstractNumId w:val="4"/>
  </w:num>
  <w:num w:numId="6">
    <w:abstractNumId w:val="28"/>
  </w:num>
  <w:num w:numId="7">
    <w:abstractNumId w:val="10"/>
  </w:num>
  <w:num w:numId="8">
    <w:abstractNumId w:val="26"/>
  </w:num>
  <w:num w:numId="9">
    <w:abstractNumId w:val="13"/>
  </w:num>
  <w:num w:numId="10">
    <w:abstractNumId w:val="16"/>
  </w:num>
  <w:num w:numId="11">
    <w:abstractNumId w:val="8"/>
  </w:num>
  <w:num w:numId="12">
    <w:abstractNumId w:val="11"/>
  </w:num>
  <w:num w:numId="13">
    <w:abstractNumId w:val="25"/>
  </w:num>
  <w:num w:numId="14">
    <w:abstractNumId w:val="17"/>
  </w:num>
  <w:num w:numId="15">
    <w:abstractNumId w:val="5"/>
  </w:num>
  <w:num w:numId="16">
    <w:abstractNumId w:val="27"/>
  </w:num>
  <w:num w:numId="17">
    <w:abstractNumId w:val="7"/>
  </w:num>
  <w:num w:numId="18">
    <w:abstractNumId w:val="6"/>
  </w:num>
  <w:num w:numId="19">
    <w:abstractNumId w:val="18"/>
  </w:num>
  <w:num w:numId="20">
    <w:abstractNumId w:val="12"/>
  </w:num>
  <w:num w:numId="21">
    <w:abstractNumId w:val="9"/>
  </w:num>
  <w:num w:numId="22">
    <w:abstractNumId w:val="1"/>
  </w:num>
  <w:num w:numId="23">
    <w:abstractNumId w:val="0"/>
  </w:num>
  <w:num w:numId="24">
    <w:abstractNumId w:val="22"/>
  </w:num>
  <w:num w:numId="25">
    <w:abstractNumId w:val="24"/>
  </w:num>
  <w:num w:numId="26">
    <w:abstractNumId w:val="15"/>
  </w:num>
  <w:num w:numId="27">
    <w:abstractNumId w:val="21"/>
  </w:num>
  <w:num w:numId="28">
    <w:abstractNumId w:val="14"/>
  </w:num>
  <w:num w:numId="29">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yMjYxMjY3MjEzsDBT0lEKTi0uzszPAykwqgUA8wHlciwAAAA="/>
  </w:docVars>
  <w:rsids>
    <w:rsidRoot w:val="00AA46AD"/>
    <w:rsid w:val="000039D9"/>
    <w:rsid w:val="00005E5E"/>
    <w:rsid w:val="000651B8"/>
    <w:rsid w:val="0007147C"/>
    <w:rsid w:val="00081642"/>
    <w:rsid w:val="000A3AA8"/>
    <w:rsid w:val="000B1955"/>
    <w:rsid w:val="0010563C"/>
    <w:rsid w:val="00114AAF"/>
    <w:rsid w:val="001203AE"/>
    <w:rsid w:val="001360A8"/>
    <w:rsid w:val="00151605"/>
    <w:rsid w:val="00166CD0"/>
    <w:rsid w:val="00174292"/>
    <w:rsid w:val="00175153"/>
    <w:rsid w:val="001759B6"/>
    <w:rsid w:val="00195B96"/>
    <w:rsid w:val="001A00FC"/>
    <w:rsid w:val="001B317D"/>
    <w:rsid w:val="001C1450"/>
    <w:rsid w:val="001D420E"/>
    <w:rsid w:val="001E0324"/>
    <w:rsid w:val="00215822"/>
    <w:rsid w:val="00223920"/>
    <w:rsid w:val="00251005"/>
    <w:rsid w:val="00252A11"/>
    <w:rsid w:val="002831BF"/>
    <w:rsid w:val="0029357D"/>
    <w:rsid w:val="0029386B"/>
    <w:rsid w:val="002A2856"/>
    <w:rsid w:val="002B598F"/>
    <w:rsid w:val="003020A2"/>
    <w:rsid w:val="003038D3"/>
    <w:rsid w:val="003225CD"/>
    <w:rsid w:val="00323DC7"/>
    <w:rsid w:val="00344346"/>
    <w:rsid w:val="00371BC8"/>
    <w:rsid w:val="0038385D"/>
    <w:rsid w:val="003C0800"/>
    <w:rsid w:val="003C4E9E"/>
    <w:rsid w:val="003D03A8"/>
    <w:rsid w:val="003E0D33"/>
    <w:rsid w:val="003F70CA"/>
    <w:rsid w:val="00410E1E"/>
    <w:rsid w:val="00440AAC"/>
    <w:rsid w:val="0045799D"/>
    <w:rsid w:val="0048132A"/>
    <w:rsid w:val="00481D53"/>
    <w:rsid w:val="004A25F0"/>
    <w:rsid w:val="004A4B35"/>
    <w:rsid w:val="004A4C93"/>
    <w:rsid w:val="004C4442"/>
    <w:rsid w:val="005151D8"/>
    <w:rsid w:val="00515546"/>
    <w:rsid w:val="0052773E"/>
    <w:rsid w:val="0054617B"/>
    <w:rsid w:val="00562742"/>
    <w:rsid w:val="005638D0"/>
    <w:rsid w:val="00590CCE"/>
    <w:rsid w:val="00594FBC"/>
    <w:rsid w:val="005D1877"/>
    <w:rsid w:val="005E5332"/>
    <w:rsid w:val="0062101F"/>
    <w:rsid w:val="00621B48"/>
    <w:rsid w:val="00633320"/>
    <w:rsid w:val="00657154"/>
    <w:rsid w:val="00660A37"/>
    <w:rsid w:val="00675D75"/>
    <w:rsid w:val="00677F2F"/>
    <w:rsid w:val="00701522"/>
    <w:rsid w:val="007067BE"/>
    <w:rsid w:val="00722ACF"/>
    <w:rsid w:val="00725279"/>
    <w:rsid w:val="0078789F"/>
    <w:rsid w:val="007B26B1"/>
    <w:rsid w:val="008217D4"/>
    <w:rsid w:val="00831225"/>
    <w:rsid w:val="008328D4"/>
    <w:rsid w:val="0084489C"/>
    <w:rsid w:val="00852937"/>
    <w:rsid w:val="00857027"/>
    <w:rsid w:val="00864C50"/>
    <w:rsid w:val="00870784"/>
    <w:rsid w:val="008B404F"/>
    <w:rsid w:val="009165E9"/>
    <w:rsid w:val="009325A7"/>
    <w:rsid w:val="00940E94"/>
    <w:rsid w:val="009467FB"/>
    <w:rsid w:val="0095529A"/>
    <w:rsid w:val="00962D40"/>
    <w:rsid w:val="00975A60"/>
    <w:rsid w:val="009956F9"/>
    <w:rsid w:val="009A42D3"/>
    <w:rsid w:val="009B44BE"/>
    <w:rsid w:val="009F1E75"/>
    <w:rsid w:val="009F5B1B"/>
    <w:rsid w:val="00A312D8"/>
    <w:rsid w:val="00A41080"/>
    <w:rsid w:val="00A65E98"/>
    <w:rsid w:val="00A87061"/>
    <w:rsid w:val="00A93F33"/>
    <w:rsid w:val="00AA46AD"/>
    <w:rsid w:val="00AF3C4B"/>
    <w:rsid w:val="00B31AC4"/>
    <w:rsid w:val="00B40AFF"/>
    <w:rsid w:val="00B56E27"/>
    <w:rsid w:val="00B7504A"/>
    <w:rsid w:val="00B759FB"/>
    <w:rsid w:val="00B844E8"/>
    <w:rsid w:val="00B87E5A"/>
    <w:rsid w:val="00BD08AB"/>
    <w:rsid w:val="00BE4766"/>
    <w:rsid w:val="00BF3226"/>
    <w:rsid w:val="00C150E9"/>
    <w:rsid w:val="00C67021"/>
    <w:rsid w:val="00CA5B26"/>
    <w:rsid w:val="00CB3905"/>
    <w:rsid w:val="00CC3CF5"/>
    <w:rsid w:val="00CC4368"/>
    <w:rsid w:val="00CD4A1D"/>
    <w:rsid w:val="00CF5F23"/>
    <w:rsid w:val="00D03AB2"/>
    <w:rsid w:val="00D13825"/>
    <w:rsid w:val="00D205CB"/>
    <w:rsid w:val="00D30938"/>
    <w:rsid w:val="00D37D8D"/>
    <w:rsid w:val="00D841B4"/>
    <w:rsid w:val="00DA20ED"/>
    <w:rsid w:val="00DB19F3"/>
    <w:rsid w:val="00DC1CC5"/>
    <w:rsid w:val="00DC590C"/>
    <w:rsid w:val="00DD3022"/>
    <w:rsid w:val="00DE3D6D"/>
    <w:rsid w:val="00DF02B6"/>
    <w:rsid w:val="00DF345F"/>
    <w:rsid w:val="00E162DA"/>
    <w:rsid w:val="00E400B7"/>
    <w:rsid w:val="00E6030A"/>
    <w:rsid w:val="00E77561"/>
    <w:rsid w:val="00EA1890"/>
    <w:rsid w:val="00F03F25"/>
    <w:rsid w:val="00F06346"/>
    <w:rsid w:val="00F37720"/>
    <w:rsid w:val="00F53968"/>
    <w:rsid w:val="00F71F11"/>
    <w:rsid w:val="00FA4941"/>
    <w:rsid w:val="00FC26E4"/>
    <w:rsid w:val="00FE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20080"/>
  <w15:docId w15:val="{82A09A44-3673-4D32-A3AE-978B6190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45799D"/>
    <w:pPr>
      <w:spacing w:before="120" w:after="180"/>
      <w:outlineLvl w:val="2"/>
    </w:pPr>
    <w:rPr>
      <w:rFonts w:ascii="Helvetica" w:hAnsi="Helvetica" w:cs="Helvetica"/>
      <w:b/>
      <w:color w:val="000000" w:themeColor="text1"/>
      <w:szCs w:val="22"/>
      <w:u w:val="single"/>
      <w:lang w:val="en-GB" w:bidi="th-TH"/>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45799D"/>
    <w:rPr>
      <w:rFonts w:ascii="Helvetica" w:hAnsi="Helvetica" w:cs="Helvetica"/>
      <w:b/>
      <w:color w:val="000000" w:themeColor="text1"/>
      <w:sz w:val="22"/>
      <w:szCs w:val="22"/>
      <w:u w:val="single"/>
      <w:lang w:bidi="th-TH"/>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NoSpacing">
    <w:name w:val="No Spacing"/>
    <w:rsid w:val="000A3AA8"/>
    <w:pPr>
      <w:outlineLvl w:val="0"/>
    </w:pPr>
    <w:rPr>
      <w:rFonts w:ascii="Arial" w:hAnsi="Arial"/>
      <w:sz w:val="22"/>
      <w:szCs w:val="24"/>
      <w:lang w:val="en-US"/>
    </w:rPr>
  </w:style>
  <w:style w:type="character" w:customStyle="1" w:styleId="glyph8">
    <w:name w:val="glyph8"/>
    <w:basedOn w:val="DefaultParagraphFont"/>
    <w:rsid w:val="00852937"/>
    <w:rPr>
      <w:rFonts w:ascii="Times New Roman" w:hAnsi="Times New Roman" w:cs="Times New Roman" w:hint="default"/>
    </w:rPr>
  </w:style>
  <w:style w:type="paragraph" w:customStyle="1" w:styleId="bulletindent12">
    <w:name w:val="bulletindent12"/>
    <w:basedOn w:val="Normal"/>
    <w:rsid w:val="00852937"/>
    <w:pPr>
      <w:spacing w:before="216" w:after="216" w:line="336" w:lineRule="auto"/>
      <w:ind w:left="480"/>
      <w:outlineLvl w:val="9"/>
    </w:pPr>
    <w:rPr>
      <w:rFonts w:ascii="Times New Roman" w:eastAsia="Times New Roman" w:hAnsi="Times New Roman" w:cs="Times New Roman"/>
      <w:sz w:val="24"/>
      <w:lang w:val="en-GB" w:eastAsia="en-GB"/>
    </w:rPr>
  </w:style>
  <w:style w:type="character" w:customStyle="1" w:styleId="nowrap1">
    <w:name w:val="nowrap1"/>
    <w:basedOn w:val="DefaultParagraphFont"/>
    <w:rsid w:val="00852937"/>
  </w:style>
  <w:style w:type="character" w:styleId="Emphasis">
    <w:name w:val="Emphasis"/>
    <w:basedOn w:val="DefaultParagraphFont"/>
    <w:uiPriority w:val="20"/>
    <w:qFormat/>
    <w:rsid w:val="0054617B"/>
    <w:rPr>
      <w:i/>
      <w:iCs/>
    </w:rPr>
  </w:style>
  <w:style w:type="character" w:customStyle="1" w:styleId="h33">
    <w:name w:val="h33"/>
    <w:basedOn w:val="DefaultParagraphFont"/>
    <w:rsid w:val="0054617B"/>
    <w:rPr>
      <w:b/>
      <w:bCs/>
    </w:rPr>
  </w:style>
  <w:style w:type="character" w:customStyle="1" w:styleId="headingendmark">
    <w:name w:val="headingendmark"/>
    <w:basedOn w:val="DefaultParagraphFont"/>
    <w:rsid w:val="0054617B"/>
  </w:style>
  <w:style w:type="character" w:styleId="Strong">
    <w:name w:val="Strong"/>
    <w:basedOn w:val="DefaultParagraphFont"/>
    <w:uiPriority w:val="22"/>
    <w:qFormat/>
    <w:rsid w:val="00D205CB"/>
    <w:rPr>
      <w:b/>
      <w:bCs/>
    </w:rPr>
  </w:style>
  <w:style w:type="character" w:customStyle="1" w:styleId="h23">
    <w:name w:val="h23"/>
    <w:basedOn w:val="DefaultParagraphFont"/>
    <w:rsid w:val="00D205CB"/>
    <w:rPr>
      <w:b/>
      <w:bCs/>
    </w:rPr>
  </w:style>
  <w:style w:type="paragraph" w:styleId="Revision">
    <w:name w:val="Revision"/>
    <w:hidden/>
    <w:semiHidden/>
    <w:rsid w:val="00174292"/>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47846">
      <w:bodyDiv w:val="1"/>
      <w:marLeft w:val="0"/>
      <w:marRight w:val="0"/>
      <w:marTop w:val="0"/>
      <w:marBottom w:val="0"/>
      <w:divBdr>
        <w:top w:val="none" w:sz="0" w:space="0" w:color="auto"/>
        <w:left w:val="none" w:sz="0" w:space="0" w:color="auto"/>
        <w:bottom w:val="none" w:sz="0" w:space="0" w:color="auto"/>
        <w:right w:val="none" w:sz="0" w:space="0" w:color="auto"/>
      </w:divBdr>
    </w:div>
    <w:div w:id="499734632">
      <w:bodyDiv w:val="1"/>
      <w:marLeft w:val="0"/>
      <w:marRight w:val="0"/>
      <w:marTop w:val="0"/>
      <w:marBottom w:val="0"/>
      <w:divBdr>
        <w:top w:val="none" w:sz="0" w:space="0" w:color="auto"/>
        <w:left w:val="none" w:sz="0" w:space="0" w:color="auto"/>
        <w:bottom w:val="none" w:sz="0" w:space="0" w:color="auto"/>
        <w:right w:val="none" w:sz="0" w:space="0" w:color="auto"/>
      </w:divBdr>
    </w:div>
    <w:div w:id="757825230">
      <w:bodyDiv w:val="1"/>
      <w:marLeft w:val="0"/>
      <w:marRight w:val="0"/>
      <w:marTop w:val="0"/>
      <w:marBottom w:val="0"/>
      <w:divBdr>
        <w:top w:val="none" w:sz="0" w:space="0" w:color="auto"/>
        <w:left w:val="none" w:sz="0" w:space="0" w:color="auto"/>
        <w:bottom w:val="none" w:sz="0" w:space="0" w:color="auto"/>
        <w:right w:val="none" w:sz="0" w:space="0" w:color="auto"/>
      </w:divBdr>
      <w:divsChild>
        <w:div w:id="1672098784">
          <w:marLeft w:val="0"/>
          <w:marRight w:val="0"/>
          <w:marTop w:val="0"/>
          <w:marBottom w:val="0"/>
          <w:divBdr>
            <w:top w:val="none" w:sz="0" w:space="0" w:color="auto"/>
            <w:left w:val="none" w:sz="0" w:space="0" w:color="auto"/>
            <w:bottom w:val="none" w:sz="0" w:space="0" w:color="auto"/>
            <w:right w:val="none" w:sz="0" w:space="0" w:color="auto"/>
          </w:divBdr>
          <w:divsChild>
            <w:div w:id="1706754457">
              <w:marLeft w:val="0"/>
              <w:marRight w:val="0"/>
              <w:marTop w:val="0"/>
              <w:marBottom w:val="0"/>
              <w:divBdr>
                <w:top w:val="none" w:sz="0" w:space="0" w:color="auto"/>
                <w:left w:val="none" w:sz="0" w:space="0" w:color="auto"/>
                <w:bottom w:val="none" w:sz="0" w:space="0" w:color="auto"/>
                <w:right w:val="none" w:sz="0" w:space="0" w:color="auto"/>
              </w:divBdr>
              <w:divsChild>
                <w:div w:id="1099134847">
                  <w:marLeft w:val="0"/>
                  <w:marRight w:val="0"/>
                  <w:marTop w:val="0"/>
                  <w:marBottom w:val="0"/>
                  <w:divBdr>
                    <w:top w:val="none" w:sz="0" w:space="0" w:color="auto"/>
                    <w:left w:val="none" w:sz="0" w:space="0" w:color="auto"/>
                    <w:bottom w:val="none" w:sz="0" w:space="0" w:color="auto"/>
                    <w:right w:val="none" w:sz="0" w:space="0" w:color="auto"/>
                  </w:divBdr>
                  <w:divsChild>
                    <w:div w:id="652685514">
                      <w:marLeft w:val="240"/>
                      <w:marRight w:val="240"/>
                      <w:marTop w:val="264"/>
                      <w:marBottom w:val="528"/>
                      <w:divBdr>
                        <w:top w:val="none" w:sz="0" w:space="0" w:color="auto"/>
                        <w:left w:val="none" w:sz="0" w:space="0" w:color="auto"/>
                        <w:bottom w:val="none" w:sz="0" w:space="0" w:color="auto"/>
                        <w:right w:val="none" w:sz="0" w:space="0" w:color="auto"/>
                      </w:divBdr>
                      <w:divsChild>
                        <w:div w:id="10084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746723">
      <w:bodyDiv w:val="1"/>
      <w:marLeft w:val="0"/>
      <w:marRight w:val="0"/>
      <w:marTop w:val="0"/>
      <w:marBottom w:val="0"/>
      <w:divBdr>
        <w:top w:val="none" w:sz="0" w:space="0" w:color="auto"/>
        <w:left w:val="none" w:sz="0" w:space="0" w:color="auto"/>
        <w:bottom w:val="none" w:sz="0" w:space="0" w:color="auto"/>
        <w:right w:val="none" w:sz="0" w:space="0" w:color="auto"/>
      </w:divBdr>
      <w:divsChild>
        <w:div w:id="863052567">
          <w:marLeft w:val="0"/>
          <w:marRight w:val="0"/>
          <w:marTop w:val="0"/>
          <w:marBottom w:val="0"/>
          <w:divBdr>
            <w:top w:val="none" w:sz="0" w:space="0" w:color="auto"/>
            <w:left w:val="none" w:sz="0" w:space="0" w:color="auto"/>
            <w:bottom w:val="none" w:sz="0" w:space="0" w:color="auto"/>
            <w:right w:val="none" w:sz="0" w:space="0" w:color="auto"/>
          </w:divBdr>
        </w:div>
      </w:divsChild>
    </w:div>
    <w:div w:id="2061250003">
      <w:bodyDiv w:val="1"/>
      <w:marLeft w:val="0"/>
      <w:marRight w:val="0"/>
      <w:marTop w:val="0"/>
      <w:marBottom w:val="0"/>
      <w:divBdr>
        <w:top w:val="none" w:sz="0" w:space="0" w:color="auto"/>
        <w:left w:val="none" w:sz="0" w:space="0" w:color="auto"/>
        <w:bottom w:val="none" w:sz="0" w:space="0" w:color="auto"/>
        <w:right w:val="none" w:sz="0" w:space="0" w:color="auto"/>
      </w:divBdr>
      <w:divsChild>
        <w:div w:id="1983465971">
          <w:marLeft w:val="0"/>
          <w:marRight w:val="0"/>
          <w:marTop w:val="0"/>
          <w:marBottom w:val="0"/>
          <w:divBdr>
            <w:top w:val="none" w:sz="0" w:space="0" w:color="auto"/>
            <w:left w:val="none" w:sz="0" w:space="0" w:color="auto"/>
            <w:bottom w:val="none" w:sz="0" w:space="0" w:color="auto"/>
            <w:right w:val="none" w:sz="0" w:space="0" w:color="auto"/>
          </w:divBdr>
          <w:divsChild>
            <w:div w:id="1867214862">
              <w:marLeft w:val="0"/>
              <w:marRight w:val="0"/>
              <w:marTop w:val="0"/>
              <w:marBottom w:val="0"/>
              <w:divBdr>
                <w:top w:val="none" w:sz="0" w:space="0" w:color="auto"/>
                <w:left w:val="none" w:sz="0" w:space="0" w:color="auto"/>
                <w:bottom w:val="none" w:sz="0" w:space="0" w:color="auto"/>
                <w:right w:val="none" w:sz="0" w:space="0" w:color="auto"/>
              </w:divBdr>
              <w:divsChild>
                <w:div w:id="204761238">
                  <w:marLeft w:val="0"/>
                  <w:marRight w:val="0"/>
                  <w:marTop w:val="0"/>
                  <w:marBottom w:val="0"/>
                  <w:divBdr>
                    <w:top w:val="none" w:sz="0" w:space="0" w:color="auto"/>
                    <w:left w:val="none" w:sz="0" w:space="0" w:color="auto"/>
                    <w:bottom w:val="none" w:sz="0" w:space="0" w:color="auto"/>
                    <w:right w:val="none" w:sz="0" w:space="0" w:color="auto"/>
                  </w:divBdr>
                  <w:divsChild>
                    <w:div w:id="1581254870">
                      <w:marLeft w:val="240"/>
                      <w:marRight w:val="240"/>
                      <w:marTop w:val="264"/>
                      <w:marBottom w:val="528"/>
                      <w:divBdr>
                        <w:top w:val="none" w:sz="0" w:space="0" w:color="auto"/>
                        <w:left w:val="none" w:sz="0" w:space="0" w:color="auto"/>
                        <w:bottom w:val="none" w:sz="0" w:space="0" w:color="auto"/>
                        <w:right w:val="none" w:sz="0" w:space="0" w:color="auto"/>
                      </w:divBdr>
                      <w:divsChild>
                        <w:div w:id="11692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pkinsguides.com/hopkins/view/Johns_Hopkins_ABX_Guide/540378/all/Necrotizing_Fasciitis" TargetMode="External"/><Relationship Id="rId13" Type="http://schemas.openxmlformats.org/officeDocument/2006/relationships/hyperlink" Target="https://emedicine.medscape.com/article/214222-overview"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opkinsguides.com/hopkins/view/Johns_Hopkins_ABX_Guide/540402/all/Orbital_Cellulitis" TargetMode="External"/><Relationship Id="rId12" Type="http://schemas.openxmlformats.org/officeDocument/2006/relationships/hyperlink" Target="https://www.uptodate.com/contents/cellulitis-and-skin-abscess-in-adults-treatment/abstract/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ptodate.com/contents/cellulitis-and-skin-abscess-in-adults-treatment/abstract/3"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uptodate.com/contents/cellulitis-and-skin-abscess-in-adults-treatment/abstract/2"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uptodate.com/contents/cellulitis-and-skin-abscess-in-adults-treatment/abstract/1"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27</TotalTime>
  <Pages>5</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23</cp:revision>
  <cp:lastPrinted>2019-05-13T13:07:00Z</cp:lastPrinted>
  <dcterms:created xsi:type="dcterms:W3CDTF">2019-01-30T15:17:00Z</dcterms:created>
  <dcterms:modified xsi:type="dcterms:W3CDTF">2019-05-13T13:07:00Z</dcterms:modified>
</cp:coreProperties>
</file>