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AC12F" w14:textId="4B8E2EF2" w:rsidR="001203AE" w:rsidRPr="003C0800" w:rsidRDefault="00D11DE9" w:rsidP="001203AE">
      <w:pPr>
        <w:pStyle w:val="Heading1"/>
        <w:rPr>
          <w:rFonts w:cs="Arial"/>
          <w:szCs w:val="22"/>
        </w:rPr>
      </w:pPr>
      <w:r>
        <w:rPr>
          <w:rFonts w:cs="Arial"/>
          <w:szCs w:val="22"/>
        </w:rPr>
        <w:t>Chronic kidney disease</w:t>
      </w:r>
    </w:p>
    <w:p w14:paraId="29C20E0E" w14:textId="77777777" w:rsidR="00584E1E" w:rsidRPr="003D0A6E" w:rsidRDefault="00584E1E" w:rsidP="003D0A6E">
      <w:pPr>
        <w:pStyle w:val="Heading2"/>
        <w:rPr>
          <w:i/>
        </w:rPr>
      </w:pPr>
      <w:r w:rsidRPr="003D0A6E">
        <w:rPr>
          <w:i/>
        </w:rPr>
        <w:t>Executive summary</w:t>
      </w:r>
    </w:p>
    <w:p w14:paraId="14A1EABB" w14:textId="77777777" w:rsidR="00584E1E" w:rsidRDefault="00584E1E" w:rsidP="00584E1E">
      <w:pPr>
        <w:pStyle w:val="Heading2"/>
        <w:rPr>
          <w:rFonts w:cs="Arial"/>
          <w:szCs w:val="22"/>
        </w:rPr>
      </w:pPr>
      <w:r w:rsidRPr="00DC590C">
        <w:rPr>
          <w:rFonts w:cs="Arial"/>
          <w:szCs w:val="22"/>
        </w:rPr>
        <w:t>Introduction</w:t>
      </w:r>
    </w:p>
    <w:p w14:paraId="3FE07939" w14:textId="185D453B" w:rsidR="00724E63" w:rsidRPr="00410095" w:rsidRDefault="00724E63" w:rsidP="00724E63">
      <w:pPr>
        <w:spacing w:after="0"/>
        <w:rPr>
          <w:color w:val="000000" w:themeColor="text1"/>
        </w:rPr>
      </w:pPr>
      <w:r w:rsidRPr="00410095">
        <w:rPr>
          <w:color w:val="000000" w:themeColor="text1"/>
        </w:rPr>
        <w:t>Chronic kidney disease (CKD) is a process that may progress over years</w:t>
      </w:r>
      <w:r>
        <w:rPr>
          <w:color w:val="000000" w:themeColor="text1"/>
        </w:rPr>
        <w:t xml:space="preserve"> </w:t>
      </w:r>
      <w:r w:rsidRPr="00410095">
        <w:rPr>
          <w:color w:val="000000" w:themeColor="text1"/>
        </w:rPr>
        <w:t>and the end point of this process is renal failure. Early detection and management of CKD improves mortality, and morbidity</w:t>
      </w:r>
      <w:r>
        <w:rPr>
          <w:color w:val="000000" w:themeColor="text1"/>
        </w:rPr>
        <w:t xml:space="preserve"> and </w:t>
      </w:r>
      <w:r w:rsidRPr="00410095">
        <w:rPr>
          <w:color w:val="000000" w:themeColor="text1"/>
        </w:rPr>
        <w:t>delay</w:t>
      </w:r>
      <w:r>
        <w:rPr>
          <w:color w:val="000000" w:themeColor="text1"/>
        </w:rPr>
        <w:t>s</w:t>
      </w:r>
      <w:r w:rsidRPr="00410095">
        <w:rPr>
          <w:color w:val="000000" w:themeColor="text1"/>
        </w:rPr>
        <w:t xml:space="preserve"> the point where dialysis is necessary</w:t>
      </w:r>
      <w:r>
        <w:rPr>
          <w:color w:val="000000" w:themeColor="text1"/>
        </w:rPr>
        <w:t xml:space="preserve"> </w:t>
      </w:r>
      <w:r w:rsidRPr="00410095">
        <w:rPr>
          <w:color w:val="000000" w:themeColor="text1"/>
        </w:rPr>
        <w:t>which incur significant cost to the</w:t>
      </w:r>
      <w:r w:rsidRPr="0087649F">
        <w:rPr>
          <w:color w:val="000000" w:themeColor="text1"/>
        </w:rPr>
        <w:t xml:space="preserve"> </w:t>
      </w:r>
      <w:r w:rsidRPr="00410095">
        <w:rPr>
          <w:color w:val="000000" w:themeColor="text1"/>
        </w:rPr>
        <w:t xml:space="preserve">patient in terms of life expectancy, quality of life and </w:t>
      </w:r>
      <w:r>
        <w:rPr>
          <w:color w:val="000000" w:themeColor="text1"/>
        </w:rPr>
        <w:t>finances</w:t>
      </w:r>
      <w:r w:rsidRPr="00410095">
        <w:rPr>
          <w:color w:val="000000" w:themeColor="text1"/>
        </w:rPr>
        <w:t>.</w:t>
      </w:r>
      <w:r w:rsidRPr="0087649F">
        <w:rPr>
          <w:color w:val="000000" w:themeColor="text1"/>
        </w:rPr>
        <w:t xml:space="preserve"> </w:t>
      </w:r>
      <w:r w:rsidRPr="00410095">
        <w:rPr>
          <w:color w:val="000000" w:themeColor="text1"/>
        </w:rPr>
        <w:t>Most patients with CKD have a stable glomerular filtration rate (GFR), but an important minority deteriorate to end stage kidney failure. The early stage of CKD is usually asymptomatic, therefore must be detected by opportunistic testing of at-risk groups or acting on incidental findings. Preventive measures may be taken to slow the progression and minimise nephrotoxicity.</w:t>
      </w:r>
    </w:p>
    <w:p w14:paraId="5A9ED604" w14:textId="77777777" w:rsidR="00584E1E" w:rsidRDefault="00584E1E" w:rsidP="003D0A6E">
      <w:pPr>
        <w:pStyle w:val="Heading2"/>
        <w:rPr>
          <w:bCs/>
        </w:rPr>
      </w:pPr>
      <w:r w:rsidRPr="00612AEE">
        <w:t xml:space="preserve">Target </w:t>
      </w:r>
      <w:r>
        <w:t>u</w:t>
      </w:r>
      <w:r w:rsidRPr="00612AEE">
        <w:t>ser</w:t>
      </w:r>
      <w:r>
        <w:t>s</w:t>
      </w:r>
    </w:p>
    <w:p w14:paraId="1A854E84" w14:textId="0576F725" w:rsidR="00584E1E" w:rsidRDefault="00724E63" w:rsidP="00584E1E">
      <w:pPr>
        <w:pStyle w:val="ListParagraph"/>
        <w:numPr>
          <w:ilvl w:val="0"/>
          <w:numId w:val="29"/>
        </w:numPr>
      </w:pPr>
      <w:r>
        <w:t>Doctors</w:t>
      </w:r>
    </w:p>
    <w:p w14:paraId="0721E97C" w14:textId="4AF56BEF" w:rsidR="00584E1E" w:rsidRPr="00584E1E" w:rsidRDefault="00724E63" w:rsidP="00584E1E">
      <w:pPr>
        <w:pStyle w:val="ListParagraph"/>
        <w:numPr>
          <w:ilvl w:val="0"/>
          <w:numId w:val="29"/>
        </w:numPr>
      </w:pPr>
      <w:r>
        <w:t>Nurses</w:t>
      </w:r>
    </w:p>
    <w:p w14:paraId="3B06F11F" w14:textId="77777777" w:rsidR="00584E1E" w:rsidRDefault="00584E1E" w:rsidP="003D0A6E">
      <w:pPr>
        <w:pStyle w:val="Heading2"/>
        <w:rPr>
          <w:bCs/>
        </w:rPr>
      </w:pPr>
      <w:r w:rsidRPr="00612AEE">
        <w:t xml:space="preserve">Target area of use </w:t>
      </w:r>
    </w:p>
    <w:p w14:paraId="145CF926" w14:textId="3F834C21" w:rsidR="00584E1E" w:rsidRDefault="00724E63" w:rsidP="00584E1E">
      <w:pPr>
        <w:pStyle w:val="ListParagraph"/>
        <w:numPr>
          <w:ilvl w:val="0"/>
          <w:numId w:val="29"/>
        </w:numPr>
      </w:pPr>
      <w:r>
        <w:t>Outpatients</w:t>
      </w:r>
    </w:p>
    <w:p w14:paraId="4DCED3D6" w14:textId="7635B30A" w:rsidR="00584E1E" w:rsidRPr="00584E1E" w:rsidRDefault="00724E63" w:rsidP="00584E1E">
      <w:pPr>
        <w:pStyle w:val="ListParagraph"/>
        <w:numPr>
          <w:ilvl w:val="0"/>
          <w:numId w:val="29"/>
        </w:numPr>
      </w:pPr>
      <w:r>
        <w:t>Ward</w:t>
      </w:r>
    </w:p>
    <w:p w14:paraId="12A198F4" w14:textId="77777777" w:rsidR="00584E1E" w:rsidRDefault="00584E1E" w:rsidP="003D0A6E">
      <w:pPr>
        <w:pStyle w:val="Heading2"/>
        <w:rPr>
          <w:bCs/>
        </w:rPr>
      </w:pPr>
      <w:r>
        <w:t xml:space="preserve">Key areas of focus / </w:t>
      </w:r>
      <w:r w:rsidRPr="00612AEE">
        <w:t xml:space="preserve">New additions / </w:t>
      </w:r>
      <w:r>
        <w:t>C</w:t>
      </w:r>
      <w:r w:rsidRPr="00612AEE">
        <w:t xml:space="preserve">hanges </w:t>
      </w:r>
    </w:p>
    <w:p w14:paraId="549AB2D8" w14:textId="57A50B1C" w:rsidR="00724E63" w:rsidRDefault="00724E63" w:rsidP="00724E63">
      <w:pPr>
        <w:spacing w:before="240" w:after="0"/>
        <w:rPr>
          <w:color w:val="000000" w:themeColor="text1"/>
        </w:rPr>
      </w:pPr>
      <w:r w:rsidRPr="00410095">
        <w:rPr>
          <w:color w:val="000000" w:themeColor="text1"/>
        </w:rPr>
        <w:t xml:space="preserve">This guideline aims to address both management of the patient in chronic kidney failure, and the early detection of CKD and minimising modifiable risks for progression. </w:t>
      </w:r>
    </w:p>
    <w:p w14:paraId="71A80C6F" w14:textId="5DB95507" w:rsidR="00724E63" w:rsidRDefault="00724E63" w:rsidP="00724E63">
      <w:pPr>
        <w:spacing w:before="240" w:after="0"/>
        <w:rPr>
          <w:color w:val="000000" w:themeColor="text1"/>
        </w:rPr>
      </w:pPr>
      <w:r w:rsidRPr="00410095">
        <w:rPr>
          <w:color w:val="000000" w:themeColor="text1"/>
        </w:rPr>
        <w:t>Conservative management can be provided in accordance with the patient and with consulting the palliative care guidelines for additional advice.</w:t>
      </w:r>
    </w:p>
    <w:p w14:paraId="69781443" w14:textId="77777777" w:rsidR="00724E63" w:rsidRPr="00410095" w:rsidRDefault="00724E63" w:rsidP="00724E63">
      <w:pPr>
        <w:pStyle w:val="Heading3"/>
        <w:rPr>
          <w:rFonts w:eastAsia="MS Mincho"/>
        </w:rPr>
      </w:pPr>
      <w:r w:rsidRPr="00410095">
        <w:rPr>
          <w:rFonts w:eastAsia="MS Mincho"/>
        </w:rPr>
        <w:t>Aims for CSD</w:t>
      </w:r>
    </w:p>
    <w:p w14:paraId="3EAE49F9" w14:textId="77777777" w:rsidR="00724E63" w:rsidRPr="00410095" w:rsidRDefault="00724E63" w:rsidP="00724E63">
      <w:pPr>
        <w:pStyle w:val="ListParagraph"/>
        <w:numPr>
          <w:ilvl w:val="0"/>
          <w:numId w:val="30"/>
        </w:numPr>
        <w:spacing w:after="0"/>
        <w:outlineLvl w:val="9"/>
        <w:rPr>
          <w:color w:val="000000" w:themeColor="text1"/>
        </w:rPr>
      </w:pPr>
      <w:r w:rsidRPr="00410095">
        <w:rPr>
          <w:color w:val="000000" w:themeColor="text1"/>
        </w:rPr>
        <w:t>Identification of patients at risk of CKD.</w:t>
      </w:r>
    </w:p>
    <w:p w14:paraId="3F58A40F" w14:textId="77777777" w:rsidR="00724E63" w:rsidRPr="00410095" w:rsidRDefault="00724E63" w:rsidP="00724E63">
      <w:pPr>
        <w:pStyle w:val="ListParagraph"/>
        <w:numPr>
          <w:ilvl w:val="0"/>
          <w:numId w:val="30"/>
        </w:numPr>
        <w:spacing w:after="0"/>
        <w:outlineLvl w:val="9"/>
        <w:rPr>
          <w:color w:val="000000" w:themeColor="text1"/>
        </w:rPr>
      </w:pPr>
      <w:r w:rsidRPr="00410095">
        <w:rPr>
          <w:color w:val="000000" w:themeColor="text1"/>
        </w:rPr>
        <w:t>Classification of</w:t>
      </w:r>
      <w:r w:rsidRPr="0087649F">
        <w:rPr>
          <w:color w:val="000000" w:themeColor="text1"/>
        </w:rPr>
        <w:t xml:space="preserve"> </w:t>
      </w:r>
      <w:r w:rsidRPr="00410095">
        <w:rPr>
          <w:color w:val="000000" w:themeColor="text1"/>
        </w:rPr>
        <w:t xml:space="preserve">patients according to </w:t>
      </w:r>
      <w:r>
        <w:rPr>
          <w:color w:val="000000" w:themeColor="text1"/>
        </w:rPr>
        <w:t xml:space="preserve">estimated </w:t>
      </w:r>
      <w:r w:rsidRPr="00410095">
        <w:rPr>
          <w:color w:val="000000" w:themeColor="text1"/>
        </w:rPr>
        <w:t>GFR</w:t>
      </w:r>
      <w:r>
        <w:rPr>
          <w:color w:val="000000" w:themeColor="text1"/>
        </w:rPr>
        <w:t xml:space="preserve"> (or eGFR)</w:t>
      </w:r>
      <w:r w:rsidRPr="00410095">
        <w:rPr>
          <w:color w:val="000000" w:themeColor="text1"/>
        </w:rPr>
        <w:t xml:space="preserve"> with serum creatinine.</w:t>
      </w:r>
    </w:p>
    <w:p w14:paraId="469A9BAE" w14:textId="77777777" w:rsidR="00724E63" w:rsidRPr="00410095" w:rsidRDefault="00724E63" w:rsidP="00724E63">
      <w:pPr>
        <w:pStyle w:val="ListParagraph"/>
        <w:numPr>
          <w:ilvl w:val="0"/>
          <w:numId w:val="30"/>
        </w:numPr>
        <w:spacing w:after="0"/>
        <w:outlineLvl w:val="9"/>
        <w:rPr>
          <w:color w:val="000000" w:themeColor="text1"/>
        </w:rPr>
      </w:pPr>
      <w:r w:rsidRPr="00410095">
        <w:rPr>
          <w:color w:val="000000" w:themeColor="text1"/>
        </w:rPr>
        <w:t>Urine reagent strip (dipstick) analysis for broad quantification of kidney damage.</w:t>
      </w:r>
    </w:p>
    <w:p w14:paraId="34533FF3" w14:textId="77777777" w:rsidR="00724E63" w:rsidRPr="00410095" w:rsidRDefault="00724E63" w:rsidP="00724E63">
      <w:pPr>
        <w:pStyle w:val="ListParagraph"/>
        <w:numPr>
          <w:ilvl w:val="0"/>
          <w:numId w:val="30"/>
        </w:numPr>
        <w:spacing w:after="0"/>
        <w:outlineLvl w:val="9"/>
        <w:rPr>
          <w:color w:val="000000" w:themeColor="text1"/>
        </w:rPr>
      </w:pPr>
      <w:r w:rsidRPr="00410095">
        <w:rPr>
          <w:color w:val="000000" w:themeColor="text1"/>
        </w:rPr>
        <w:t>Monitoring progression of CKD.</w:t>
      </w:r>
    </w:p>
    <w:p w14:paraId="78C909AB" w14:textId="77777777" w:rsidR="00724E63" w:rsidRPr="00410095" w:rsidRDefault="00724E63" w:rsidP="00724E63">
      <w:pPr>
        <w:pStyle w:val="ListParagraph"/>
        <w:numPr>
          <w:ilvl w:val="0"/>
          <w:numId w:val="30"/>
        </w:numPr>
        <w:spacing w:after="0"/>
        <w:outlineLvl w:val="9"/>
        <w:rPr>
          <w:color w:val="000000" w:themeColor="text1"/>
        </w:rPr>
      </w:pPr>
      <w:r w:rsidRPr="00410095">
        <w:rPr>
          <w:color w:val="000000" w:themeColor="text1"/>
        </w:rPr>
        <w:t>Optimisation of pharmacotherapy and hypertension management.</w:t>
      </w:r>
    </w:p>
    <w:p w14:paraId="5384CE65" w14:textId="2054B947" w:rsidR="00724E63" w:rsidRPr="00410095" w:rsidRDefault="00724E63" w:rsidP="00724E63">
      <w:pPr>
        <w:pStyle w:val="ListParagraph"/>
        <w:numPr>
          <w:ilvl w:val="0"/>
          <w:numId w:val="30"/>
        </w:numPr>
        <w:spacing w:after="0"/>
        <w:outlineLvl w:val="9"/>
        <w:rPr>
          <w:color w:val="000000" w:themeColor="text1"/>
        </w:rPr>
      </w:pPr>
      <w:r w:rsidRPr="00410095">
        <w:rPr>
          <w:color w:val="000000" w:themeColor="text1"/>
        </w:rPr>
        <w:t>Early referral to nephrologists</w:t>
      </w:r>
      <w:r w:rsidRPr="0087649F">
        <w:rPr>
          <w:color w:val="000000" w:themeColor="text1"/>
        </w:rPr>
        <w:t xml:space="preserve"> </w:t>
      </w:r>
      <w:r w:rsidRPr="00410095">
        <w:rPr>
          <w:color w:val="000000" w:themeColor="text1"/>
        </w:rPr>
        <w:t xml:space="preserve">(at stage </w:t>
      </w:r>
      <w:r w:rsidR="00FC3049">
        <w:rPr>
          <w:color w:val="000000" w:themeColor="text1"/>
        </w:rPr>
        <w:t>G</w:t>
      </w:r>
      <w:r w:rsidRPr="00410095">
        <w:rPr>
          <w:color w:val="000000" w:themeColor="text1"/>
        </w:rPr>
        <w:t xml:space="preserve">4 or </w:t>
      </w:r>
      <w:r w:rsidR="00FC3049">
        <w:rPr>
          <w:color w:val="000000" w:themeColor="text1"/>
        </w:rPr>
        <w:t>G</w:t>
      </w:r>
      <w:r w:rsidRPr="00410095">
        <w:rPr>
          <w:color w:val="000000" w:themeColor="text1"/>
        </w:rPr>
        <w:t>3a with 3+ of protein on urine dipstick analysis)</w:t>
      </w:r>
    </w:p>
    <w:p w14:paraId="2374CD92" w14:textId="77777777" w:rsidR="00584E1E" w:rsidRPr="003D0A6E" w:rsidRDefault="00584E1E" w:rsidP="003D0A6E">
      <w:pPr>
        <w:pStyle w:val="Heading2"/>
      </w:pPr>
      <w:r w:rsidRPr="003D0A6E">
        <w:t>Limitations</w:t>
      </w:r>
    </w:p>
    <w:p w14:paraId="44D04BFE" w14:textId="235F4A2B" w:rsidR="00584E1E" w:rsidRDefault="00724E63">
      <w:pPr>
        <w:spacing w:after="0"/>
        <w:outlineLvl w:val="9"/>
        <w:rPr>
          <w:b/>
          <w:sz w:val="24"/>
          <w:szCs w:val="22"/>
        </w:rPr>
      </w:pPr>
      <w:r>
        <w:rPr>
          <w:color w:val="000000" w:themeColor="text1"/>
        </w:rPr>
        <w:t>W</w:t>
      </w:r>
      <w:r w:rsidRPr="00410095">
        <w:rPr>
          <w:color w:val="000000" w:themeColor="text1"/>
        </w:rPr>
        <w:t xml:space="preserve">e cannot offer Renal Replacement Therapy (RRT) and patients must be referred to the EFSTH hospital early, in anticipation of deteriorating renal function, and at end stage renal failure. </w:t>
      </w:r>
      <w:r w:rsidR="00584E1E">
        <w:rPr>
          <w:szCs w:val="22"/>
        </w:rPr>
        <w:br w:type="page"/>
      </w:r>
    </w:p>
    <w:p w14:paraId="10FAF8F3" w14:textId="77777777" w:rsidR="00975A60" w:rsidRPr="00DC590C" w:rsidRDefault="00975A60" w:rsidP="00975A60">
      <w:pPr>
        <w:pStyle w:val="Heading2"/>
        <w:rPr>
          <w:rFonts w:cs="Arial"/>
          <w:szCs w:val="22"/>
        </w:rPr>
      </w:pPr>
      <w:r w:rsidRPr="00DC590C">
        <w:rPr>
          <w:rFonts w:cs="Arial"/>
          <w:szCs w:val="22"/>
        </w:rPr>
        <w:lastRenderedPageBreak/>
        <w:t>Presenting symptoms and signs</w:t>
      </w:r>
    </w:p>
    <w:p w14:paraId="6EC0A3F4" w14:textId="77777777" w:rsidR="00724E63" w:rsidRPr="00410095" w:rsidRDefault="00724E63" w:rsidP="00724E63">
      <w:pPr>
        <w:rPr>
          <w:lang w:eastAsia="en-GB"/>
        </w:rPr>
      </w:pPr>
      <w:r w:rsidRPr="00410095">
        <w:rPr>
          <w:lang w:eastAsia="en-GB"/>
        </w:rPr>
        <w:t>Chronic kidney disease is asymptomatic in most patients until end-stage renal failure occurs.</w:t>
      </w:r>
    </w:p>
    <w:p w14:paraId="34B801DB" w14:textId="77777777" w:rsidR="00975A60" w:rsidRPr="00DC590C" w:rsidRDefault="00975A60" w:rsidP="00975A60">
      <w:pPr>
        <w:pStyle w:val="Heading2"/>
        <w:rPr>
          <w:rFonts w:cs="Arial"/>
          <w:szCs w:val="22"/>
        </w:rPr>
      </w:pPr>
      <w:r w:rsidRPr="00DC590C">
        <w:rPr>
          <w:rFonts w:cs="Arial"/>
          <w:szCs w:val="22"/>
        </w:rPr>
        <w:t>Examination findings</w:t>
      </w:r>
    </w:p>
    <w:p w14:paraId="144C4CC5" w14:textId="77777777" w:rsidR="00724E63" w:rsidRPr="00410095" w:rsidRDefault="00724E63" w:rsidP="00724E63">
      <w:pPr>
        <w:pStyle w:val="BodyText"/>
        <w:spacing w:line="240" w:lineRule="auto"/>
        <w:rPr>
          <w:rFonts w:ascii="Arial" w:hAnsi="Arial" w:cs="Arial"/>
          <w:color w:val="000000" w:themeColor="text1"/>
        </w:rPr>
      </w:pPr>
      <w:r w:rsidRPr="00410095">
        <w:rPr>
          <w:rFonts w:ascii="Arial" w:hAnsi="Arial" w:cs="Arial"/>
          <w:color w:val="000000" w:themeColor="text1"/>
        </w:rPr>
        <w:t xml:space="preserve">Signs </w:t>
      </w:r>
      <w:r>
        <w:rPr>
          <w:rFonts w:ascii="Arial" w:hAnsi="Arial" w:cs="Arial"/>
          <w:color w:val="000000" w:themeColor="text1"/>
        </w:rPr>
        <w:t xml:space="preserve">and symptoms </w:t>
      </w:r>
      <w:r w:rsidRPr="00410095">
        <w:rPr>
          <w:rFonts w:ascii="Arial" w:hAnsi="Arial" w:cs="Arial"/>
          <w:color w:val="000000" w:themeColor="text1"/>
        </w:rPr>
        <w:t>of (end stage) kidney failure:</w:t>
      </w:r>
    </w:p>
    <w:p w14:paraId="4E29CCF3" w14:textId="77777777" w:rsidR="00724E63" w:rsidRPr="00410095" w:rsidRDefault="00724E63" w:rsidP="00724E63">
      <w:pPr>
        <w:pStyle w:val="BodyText"/>
        <w:numPr>
          <w:ilvl w:val="0"/>
          <w:numId w:val="31"/>
        </w:numPr>
        <w:spacing w:after="0" w:line="240" w:lineRule="auto"/>
        <w:rPr>
          <w:rFonts w:ascii="Arial" w:hAnsi="Arial" w:cs="Arial"/>
          <w:color w:val="000000" w:themeColor="text1"/>
        </w:rPr>
      </w:pPr>
      <w:r w:rsidRPr="00410095">
        <w:rPr>
          <w:rFonts w:ascii="Arial" w:hAnsi="Arial" w:cs="Arial"/>
          <w:color w:val="000000" w:themeColor="text1"/>
        </w:rPr>
        <w:t>Acid-base or electrolyte abnormalities</w:t>
      </w:r>
    </w:p>
    <w:p w14:paraId="34A866A3" w14:textId="77777777" w:rsidR="00724E63" w:rsidRPr="00410095" w:rsidRDefault="00724E63" w:rsidP="00724E63">
      <w:pPr>
        <w:pStyle w:val="BodyText"/>
        <w:numPr>
          <w:ilvl w:val="0"/>
          <w:numId w:val="31"/>
        </w:numPr>
        <w:spacing w:after="0" w:line="240" w:lineRule="auto"/>
        <w:rPr>
          <w:rFonts w:ascii="Arial" w:hAnsi="Arial" w:cs="Arial"/>
          <w:color w:val="000000" w:themeColor="text1"/>
        </w:rPr>
      </w:pPr>
      <w:r w:rsidRPr="00410095">
        <w:rPr>
          <w:rFonts w:ascii="Arial" w:hAnsi="Arial" w:cs="Arial"/>
          <w:color w:val="000000" w:themeColor="text1"/>
        </w:rPr>
        <w:t>Pruritis</w:t>
      </w:r>
    </w:p>
    <w:p w14:paraId="3B764552" w14:textId="77777777" w:rsidR="00724E63" w:rsidRPr="00410095" w:rsidRDefault="00724E63" w:rsidP="00724E63">
      <w:pPr>
        <w:pStyle w:val="BodyText"/>
        <w:numPr>
          <w:ilvl w:val="0"/>
          <w:numId w:val="31"/>
        </w:numPr>
        <w:spacing w:after="0" w:line="240" w:lineRule="auto"/>
        <w:rPr>
          <w:rFonts w:ascii="Arial" w:hAnsi="Arial" w:cs="Arial"/>
          <w:color w:val="000000" w:themeColor="text1"/>
        </w:rPr>
      </w:pPr>
      <w:r w:rsidRPr="00410095">
        <w:rPr>
          <w:rFonts w:ascii="Arial" w:hAnsi="Arial" w:cs="Arial"/>
          <w:color w:val="000000" w:themeColor="text1"/>
        </w:rPr>
        <w:t>Serositis (pericarditis, pleuritis)</w:t>
      </w:r>
    </w:p>
    <w:p w14:paraId="434E26EB" w14:textId="77777777" w:rsidR="00724E63" w:rsidRPr="00410095" w:rsidRDefault="00724E63" w:rsidP="00724E63">
      <w:pPr>
        <w:pStyle w:val="BodyText"/>
        <w:numPr>
          <w:ilvl w:val="0"/>
          <w:numId w:val="31"/>
        </w:numPr>
        <w:spacing w:after="0" w:line="240" w:lineRule="auto"/>
        <w:rPr>
          <w:rFonts w:ascii="Arial" w:hAnsi="Arial" w:cs="Arial"/>
          <w:color w:val="000000" w:themeColor="text1"/>
        </w:rPr>
      </w:pPr>
      <w:r w:rsidRPr="00410095">
        <w:rPr>
          <w:rFonts w:ascii="Arial" w:hAnsi="Arial" w:cs="Arial"/>
          <w:color w:val="000000" w:themeColor="text1"/>
        </w:rPr>
        <w:t>Inability to control volume status or blood pressure (severe hypertension, pulmonary oedema)</w:t>
      </w:r>
    </w:p>
    <w:p w14:paraId="2837CDD4" w14:textId="77777777" w:rsidR="00724E63" w:rsidRPr="00410095" w:rsidRDefault="00724E63" w:rsidP="00724E63">
      <w:pPr>
        <w:pStyle w:val="BodyText"/>
        <w:numPr>
          <w:ilvl w:val="0"/>
          <w:numId w:val="31"/>
        </w:numPr>
        <w:spacing w:after="0" w:line="240" w:lineRule="auto"/>
        <w:rPr>
          <w:rFonts w:ascii="Arial" w:hAnsi="Arial" w:cs="Arial"/>
          <w:color w:val="000000" w:themeColor="text1"/>
        </w:rPr>
      </w:pPr>
      <w:r w:rsidRPr="00410095">
        <w:rPr>
          <w:rFonts w:ascii="Arial" w:hAnsi="Arial" w:cs="Arial"/>
          <w:color w:val="000000" w:themeColor="text1"/>
        </w:rPr>
        <w:t>Progressive deterioration in nutritional status refractory to dietary intervention</w:t>
      </w:r>
    </w:p>
    <w:p w14:paraId="7FE00A4A" w14:textId="77777777" w:rsidR="00724E63" w:rsidRPr="00410095" w:rsidRDefault="00724E63" w:rsidP="00724E63">
      <w:pPr>
        <w:pStyle w:val="BodyText"/>
        <w:numPr>
          <w:ilvl w:val="0"/>
          <w:numId w:val="31"/>
        </w:numPr>
        <w:spacing w:after="0" w:line="240" w:lineRule="auto"/>
        <w:rPr>
          <w:rFonts w:ascii="Arial" w:hAnsi="Arial" w:cs="Arial"/>
          <w:color w:val="000000" w:themeColor="text1"/>
        </w:rPr>
      </w:pPr>
      <w:r w:rsidRPr="00410095">
        <w:rPr>
          <w:rFonts w:ascii="Arial" w:hAnsi="Arial" w:cs="Arial"/>
          <w:color w:val="000000" w:themeColor="text1"/>
        </w:rPr>
        <w:t>Cognitive impairment</w:t>
      </w:r>
    </w:p>
    <w:p w14:paraId="50F7B5A3" w14:textId="77777777" w:rsidR="00724E63" w:rsidRPr="00410095" w:rsidRDefault="00724E63" w:rsidP="00724E63">
      <w:pPr>
        <w:pStyle w:val="BodyText"/>
        <w:numPr>
          <w:ilvl w:val="0"/>
          <w:numId w:val="31"/>
        </w:numPr>
        <w:spacing w:after="0" w:line="240" w:lineRule="auto"/>
        <w:rPr>
          <w:rFonts w:ascii="Arial" w:hAnsi="Arial" w:cs="Arial"/>
          <w:color w:val="000000" w:themeColor="text1"/>
        </w:rPr>
      </w:pPr>
      <w:r w:rsidRPr="00410095">
        <w:rPr>
          <w:rFonts w:ascii="Arial" w:hAnsi="Arial" w:cs="Arial"/>
          <w:color w:val="000000" w:themeColor="text1"/>
        </w:rPr>
        <w:t>Anaemia</w:t>
      </w:r>
    </w:p>
    <w:p w14:paraId="4A0018B0" w14:textId="77777777" w:rsidR="00724E63" w:rsidRPr="00410095" w:rsidRDefault="00724E63" w:rsidP="00724E63">
      <w:pPr>
        <w:pStyle w:val="BodyText"/>
        <w:numPr>
          <w:ilvl w:val="0"/>
          <w:numId w:val="31"/>
        </w:numPr>
        <w:spacing w:after="0" w:line="240" w:lineRule="auto"/>
        <w:rPr>
          <w:rFonts w:ascii="Arial" w:eastAsia="Times New Roman" w:hAnsi="Arial" w:cs="Arial"/>
          <w:color w:val="000000" w:themeColor="text1"/>
          <w:lang w:eastAsia="en-GB"/>
        </w:rPr>
      </w:pPr>
      <w:r>
        <w:rPr>
          <w:rFonts w:ascii="Arial" w:hAnsi="Arial" w:cs="Arial"/>
          <w:color w:val="000000" w:themeColor="text1"/>
        </w:rPr>
        <w:t>Bone pains</w:t>
      </w:r>
    </w:p>
    <w:p w14:paraId="00BFF60D" w14:textId="77777777" w:rsidR="00724E63" w:rsidRPr="00410095" w:rsidRDefault="00724E63" w:rsidP="00724E63">
      <w:pPr>
        <w:pStyle w:val="BodyText"/>
        <w:numPr>
          <w:ilvl w:val="0"/>
          <w:numId w:val="31"/>
        </w:numPr>
        <w:spacing w:after="0" w:line="240" w:lineRule="auto"/>
        <w:rPr>
          <w:rFonts w:ascii="Arial" w:eastAsia="Times New Roman" w:hAnsi="Arial" w:cs="Arial"/>
          <w:color w:val="000000" w:themeColor="text1"/>
          <w:lang w:eastAsia="en-GB"/>
        </w:rPr>
      </w:pPr>
      <w:r w:rsidRPr="00410095">
        <w:rPr>
          <w:rFonts w:ascii="Arial" w:hAnsi="Arial" w:cs="Arial"/>
          <w:color w:val="000000" w:themeColor="text1"/>
        </w:rPr>
        <w:t>Gastritis</w:t>
      </w:r>
    </w:p>
    <w:p w14:paraId="3B9EE182" w14:textId="77777777" w:rsidR="00F03F25" w:rsidRPr="002A2856" w:rsidRDefault="001203AE" w:rsidP="002A2856">
      <w:pPr>
        <w:pStyle w:val="Heading2"/>
        <w:rPr>
          <w:rFonts w:cs="Arial"/>
          <w:szCs w:val="22"/>
        </w:rPr>
      </w:pPr>
      <w:r w:rsidRPr="003C0800">
        <w:rPr>
          <w:rFonts w:cs="Arial"/>
          <w:szCs w:val="22"/>
        </w:rPr>
        <w:t>Management</w:t>
      </w:r>
      <w:r>
        <w:rPr>
          <w:rFonts w:cs="Arial"/>
          <w:szCs w:val="22"/>
        </w:rPr>
        <w:t xml:space="preserve"> </w:t>
      </w:r>
    </w:p>
    <w:p w14:paraId="3CC62BC7" w14:textId="77777777" w:rsidR="00724E63" w:rsidRDefault="00724E63" w:rsidP="00724E63">
      <w:pPr>
        <w:pStyle w:val="Heading3"/>
        <w:rPr>
          <w:rFonts w:eastAsia="MS Mincho"/>
          <w:smallCaps/>
        </w:rPr>
      </w:pPr>
      <w:r w:rsidRPr="0087649F">
        <w:rPr>
          <w:rFonts w:eastAsia="MS Mincho"/>
        </w:rPr>
        <w:t>D</w:t>
      </w:r>
      <w:r w:rsidRPr="00410095">
        <w:rPr>
          <w:rFonts w:eastAsia="MS Mincho"/>
        </w:rPr>
        <w:t>efin</w:t>
      </w:r>
      <w:r w:rsidRPr="0087649F">
        <w:rPr>
          <w:rFonts w:eastAsia="MS Mincho"/>
        </w:rPr>
        <w:t>e</w:t>
      </w:r>
      <w:r w:rsidRPr="00410095">
        <w:rPr>
          <w:rFonts w:eastAsia="MS Mincho"/>
        </w:rPr>
        <w:t xml:space="preserve"> ‘at risk’ patient groups:</w:t>
      </w:r>
    </w:p>
    <w:p w14:paraId="198A5626" w14:textId="77777777" w:rsidR="00724E63" w:rsidRDefault="00724E63" w:rsidP="00724E63">
      <w:r w:rsidRPr="006F6D6E">
        <w:t>Patients with th</w:t>
      </w:r>
      <w:r>
        <w:t>e following</w:t>
      </w:r>
      <w:r w:rsidRPr="006F6D6E">
        <w:t xml:space="preserve"> conditions should be screened for chronic kidney disease with serum creatinine and urine dipstick</w:t>
      </w:r>
      <w:r>
        <w:t>:</w:t>
      </w:r>
    </w:p>
    <w:p w14:paraId="6B17B603" w14:textId="732A6168" w:rsidR="00724E63" w:rsidRPr="00724E63" w:rsidRDefault="00724E63" w:rsidP="00724E63">
      <w:pPr>
        <w:pStyle w:val="ListParagraph"/>
        <w:numPr>
          <w:ilvl w:val="0"/>
          <w:numId w:val="41"/>
        </w:numPr>
      </w:pPr>
      <w:r w:rsidRPr="00724E63">
        <w:t xml:space="preserve">Hypertension </w:t>
      </w:r>
    </w:p>
    <w:p w14:paraId="07AE7280" w14:textId="3BE7C5DF" w:rsidR="00724E63" w:rsidRPr="00724E63" w:rsidRDefault="00724E63" w:rsidP="00724E63">
      <w:pPr>
        <w:pStyle w:val="ListParagraph"/>
        <w:numPr>
          <w:ilvl w:val="0"/>
          <w:numId w:val="41"/>
        </w:numPr>
      </w:pPr>
      <w:r w:rsidRPr="00724E63">
        <w:t xml:space="preserve">Diabetes mellitus </w:t>
      </w:r>
    </w:p>
    <w:p w14:paraId="4A6B5112" w14:textId="77777777" w:rsidR="00724E63" w:rsidRPr="00724E63" w:rsidRDefault="00724E63" w:rsidP="00724E63">
      <w:pPr>
        <w:pStyle w:val="ListParagraph"/>
        <w:numPr>
          <w:ilvl w:val="0"/>
          <w:numId w:val="41"/>
        </w:numPr>
      </w:pPr>
      <w:r w:rsidRPr="00724E63">
        <w:t xml:space="preserve">Cardiovascular disease </w:t>
      </w:r>
    </w:p>
    <w:p w14:paraId="1211FEB3" w14:textId="5BA55AD0" w:rsidR="00724E63" w:rsidRPr="00724E63" w:rsidRDefault="00724E63" w:rsidP="00724E63">
      <w:pPr>
        <w:pStyle w:val="ListParagraph"/>
        <w:numPr>
          <w:ilvl w:val="0"/>
          <w:numId w:val="41"/>
        </w:numPr>
      </w:pPr>
      <w:r w:rsidRPr="00724E63">
        <w:t xml:space="preserve">Heart failure </w:t>
      </w:r>
    </w:p>
    <w:p w14:paraId="5764E6BA" w14:textId="7199B587" w:rsidR="00724E63" w:rsidRPr="00724E63" w:rsidRDefault="00724E63" w:rsidP="00724E63">
      <w:pPr>
        <w:pStyle w:val="ListParagraph"/>
        <w:numPr>
          <w:ilvl w:val="0"/>
          <w:numId w:val="41"/>
        </w:numPr>
      </w:pPr>
      <w:r w:rsidRPr="00724E63">
        <w:t xml:space="preserve">Peripheral vascular disease </w:t>
      </w:r>
    </w:p>
    <w:p w14:paraId="54F45545" w14:textId="17E5408E" w:rsidR="00724E63" w:rsidRPr="00724E63" w:rsidRDefault="00724E63" w:rsidP="00724E63">
      <w:pPr>
        <w:pStyle w:val="ListParagraph"/>
        <w:numPr>
          <w:ilvl w:val="0"/>
          <w:numId w:val="41"/>
        </w:numPr>
      </w:pPr>
      <w:r w:rsidRPr="00724E63">
        <w:t>Ischaemic heart disease</w:t>
      </w:r>
    </w:p>
    <w:p w14:paraId="3C7820E4" w14:textId="50EA536A" w:rsidR="00724E63" w:rsidRPr="00724E63" w:rsidRDefault="00724E63" w:rsidP="00724E63">
      <w:pPr>
        <w:pStyle w:val="ListParagraph"/>
        <w:numPr>
          <w:ilvl w:val="0"/>
          <w:numId w:val="41"/>
        </w:numPr>
      </w:pPr>
      <w:r w:rsidRPr="00724E63">
        <w:t>Cerebral vascular disease</w:t>
      </w:r>
    </w:p>
    <w:p w14:paraId="6792A916" w14:textId="488EDC74" w:rsidR="00724E63" w:rsidRPr="00724E63" w:rsidRDefault="00724E63" w:rsidP="00724E63">
      <w:pPr>
        <w:pStyle w:val="ListParagraph"/>
        <w:numPr>
          <w:ilvl w:val="0"/>
          <w:numId w:val="41"/>
        </w:numPr>
      </w:pPr>
      <w:r w:rsidRPr="00724E63">
        <w:t>Acute kidney injury</w:t>
      </w:r>
    </w:p>
    <w:p w14:paraId="006D9E2B" w14:textId="06F6B4D1" w:rsidR="00724E63" w:rsidRPr="00724E63" w:rsidRDefault="00724E63" w:rsidP="00724E63">
      <w:pPr>
        <w:pStyle w:val="ListParagraph"/>
        <w:numPr>
          <w:ilvl w:val="0"/>
          <w:numId w:val="41"/>
        </w:numPr>
      </w:pPr>
      <w:r w:rsidRPr="00724E63">
        <w:t>Family history of kidney disease</w:t>
      </w:r>
    </w:p>
    <w:p w14:paraId="08597DB0" w14:textId="68475369" w:rsidR="00724E63" w:rsidRPr="00724E63" w:rsidRDefault="00724E63" w:rsidP="00724E63">
      <w:pPr>
        <w:pStyle w:val="ListParagraph"/>
        <w:numPr>
          <w:ilvl w:val="0"/>
          <w:numId w:val="41"/>
        </w:numPr>
      </w:pPr>
      <w:r w:rsidRPr="00724E63">
        <w:t>Incidental findings of haematuria</w:t>
      </w:r>
    </w:p>
    <w:p w14:paraId="6C3786E7" w14:textId="77777777" w:rsidR="00724E63" w:rsidRPr="00724E63" w:rsidRDefault="00724E63" w:rsidP="00724E63">
      <w:pPr>
        <w:pStyle w:val="ListParagraph"/>
        <w:numPr>
          <w:ilvl w:val="0"/>
          <w:numId w:val="41"/>
        </w:numPr>
      </w:pPr>
      <w:r w:rsidRPr="00724E63">
        <w:t xml:space="preserve">Multisystem disease that involves the kidney (e.g. SLE). </w:t>
      </w:r>
    </w:p>
    <w:p w14:paraId="293F3994" w14:textId="77777777" w:rsidR="00724E63" w:rsidRPr="00410095" w:rsidRDefault="00724E63" w:rsidP="00724E63">
      <w:pPr>
        <w:rPr>
          <w:lang w:eastAsia="en-GB"/>
        </w:rPr>
      </w:pPr>
      <w:r w:rsidRPr="006F6D6E">
        <w:rPr>
          <w:lang w:eastAsia="en-GB"/>
        </w:rPr>
        <w:t>Current evidence does not support the screening of unselected populations.</w:t>
      </w:r>
    </w:p>
    <w:p w14:paraId="7990A2FA" w14:textId="77777777" w:rsidR="00724E63" w:rsidRPr="00514AAC" w:rsidRDefault="00724E63" w:rsidP="00724E63">
      <w:pPr>
        <w:pStyle w:val="Heading2"/>
        <w:spacing w:before="0" w:line="377" w:lineRule="atLeast"/>
        <w:rPr>
          <w:rFonts w:cs="Arial"/>
          <w:bCs/>
        </w:rPr>
      </w:pPr>
      <w:r w:rsidRPr="0087649F">
        <w:rPr>
          <w:rFonts w:cs="Arial"/>
          <w:szCs w:val="22"/>
        </w:rPr>
        <w:t>Investigations</w:t>
      </w:r>
    </w:p>
    <w:p w14:paraId="3CC94436" w14:textId="77777777" w:rsidR="00724E63" w:rsidRPr="00573D4C" w:rsidRDefault="00724E63" w:rsidP="00724E63">
      <w:pPr>
        <w:pStyle w:val="Heading3"/>
      </w:pPr>
      <w:r w:rsidRPr="00573D4C">
        <w:t>Serum Urea, Electrolytes and Creatinine:</w:t>
      </w:r>
    </w:p>
    <w:p w14:paraId="1927DD49" w14:textId="250CC550" w:rsidR="00724E63" w:rsidRPr="0087649F" w:rsidRDefault="00724E63" w:rsidP="00724E63">
      <w:r w:rsidRPr="0087649F">
        <w:t>Serum creatinine levels are useful for estimating glomerular filtration rate. The CKD-EPI calculation gives better estimations in the early stages of CKD</w:t>
      </w:r>
      <w:r>
        <w:t xml:space="preserve">. </w:t>
      </w:r>
      <w:r w:rsidRPr="0087649F">
        <w:t xml:space="preserve">There are reliable online calculators available e.g. </w:t>
      </w:r>
      <w:hyperlink r:id="rId7" w:history="1">
        <w:r w:rsidRPr="00F0319F">
          <w:rPr>
            <w:rStyle w:val="Hyperlink"/>
            <w:color w:val="000000" w:themeColor="text1"/>
          </w:rPr>
          <w:t>https://www.mdcalc.com/ckd-epi-equations-glomerular-filtration-rate-gfr</w:t>
        </w:r>
      </w:hyperlink>
    </w:p>
    <w:p w14:paraId="2960EE0C" w14:textId="77777777" w:rsidR="00724E63" w:rsidRPr="0087649F" w:rsidRDefault="00724E63" w:rsidP="00724E63">
      <w:r w:rsidRPr="0087649F">
        <w:t xml:space="preserve">CKD is classified into 5 stages. Stages 1 and 2 are defined by good GFR, but with markers of kidney </w:t>
      </w:r>
      <w:r>
        <w:t>damage e.g.</w:t>
      </w:r>
      <w:r w:rsidRPr="0087649F">
        <w:t xml:space="preserve"> albuminuria, abnormalities in urine sediment, histological </w:t>
      </w:r>
      <w:r w:rsidRPr="0087649F">
        <w:lastRenderedPageBreak/>
        <w:t>abnormalities, structural abnormalities detected by imaging, history of kidney transplant, and electrolyte disorders that are due to tubular disorders.</w:t>
      </w:r>
    </w:p>
    <w:p w14:paraId="06990280" w14:textId="2C8DDE63" w:rsidR="00724E63" w:rsidRPr="0087649F" w:rsidRDefault="00724E63" w:rsidP="00724E63">
      <w:r w:rsidRPr="0087649F">
        <w:t>Stages 3a, 3b, 4 and 5 are defined by GFR of less than 60</w:t>
      </w:r>
      <w:r w:rsidR="00FC3049">
        <w:t xml:space="preserve"> </w:t>
      </w:r>
      <w:r w:rsidRPr="0087649F">
        <w:t>ml/min/1.73m</w:t>
      </w:r>
      <w:r w:rsidRPr="00FC3049">
        <w:rPr>
          <w:vertAlign w:val="superscript"/>
        </w:rPr>
        <w:t>2</w:t>
      </w:r>
      <w:r w:rsidRPr="0087649F">
        <w:t xml:space="preserve"> with or without the evidence of kidney damage. </w:t>
      </w:r>
    </w:p>
    <w:p w14:paraId="3701AE8F" w14:textId="77777777" w:rsidR="00724E63" w:rsidRPr="00F0319F" w:rsidRDefault="00724E63" w:rsidP="00724E63">
      <w:r w:rsidRPr="0087649F">
        <w:t>T</w:t>
      </w:r>
      <w:r>
        <w:t xml:space="preserve">his </w:t>
      </w:r>
      <w:r w:rsidRPr="0087649F">
        <w:t>diagnos</w:t>
      </w:r>
      <w:r>
        <w:t>i</w:t>
      </w:r>
      <w:r w:rsidRPr="0087649F">
        <w:t>s must be made from at least 3 instances of investigations with at least 90 days between the first and last tests.</w:t>
      </w:r>
    </w:p>
    <w:tbl>
      <w:tblPr>
        <w:tblW w:w="901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8" w:type="dxa"/>
          <w:left w:w="-22" w:type="dxa"/>
          <w:bottom w:w="48" w:type="dxa"/>
          <w:right w:w="480" w:type="dxa"/>
        </w:tblCellMar>
        <w:tblLook w:val="0000" w:firstRow="0" w:lastRow="0" w:firstColumn="0" w:lastColumn="0" w:noHBand="0" w:noVBand="0"/>
      </w:tblPr>
      <w:tblGrid>
        <w:gridCol w:w="1985"/>
        <w:gridCol w:w="2977"/>
        <w:gridCol w:w="4048"/>
      </w:tblGrid>
      <w:tr w:rsidR="00724E63" w:rsidRPr="0087649F" w14:paraId="4BFC2B0C" w14:textId="77777777" w:rsidTr="0077499D">
        <w:tc>
          <w:tcPr>
            <w:tcW w:w="9010" w:type="dxa"/>
            <w:gridSpan w:val="3"/>
            <w:tcBorders>
              <w:top w:val="nil"/>
              <w:left w:val="nil"/>
              <w:bottom w:val="outset" w:sz="6" w:space="0" w:color="000000"/>
              <w:right w:val="nil"/>
            </w:tcBorders>
            <w:shd w:val="clear" w:color="auto" w:fill="auto"/>
          </w:tcPr>
          <w:p w14:paraId="5692776B" w14:textId="77777777" w:rsidR="00724E63" w:rsidRPr="00F0319F" w:rsidRDefault="00724E63" w:rsidP="00724E63">
            <w:pPr>
              <w:pStyle w:val="Heading3"/>
              <w:rPr>
                <w:lang w:eastAsia="en-GB"/>
              </w:rPr>
            </w:pPr>
            <w:r w:rsidRPr="00F0319F">
              <w:rPr>
                <w:lang w:eastAsia="en-GB"/>
              </w:rPr>
              <w:br w:type="page"/>
              <w:t>GFR categories</w:t>
            </w:r>
          </w:p>
        </w:tc>
      </w:tr>
      <w:tr w:rsidR="00724E63" w:rsidRPr="00724E63" w14:paraId="56B289F7" w14:textId="77777777" w:rsidTr="00724E63">
        <w:tc>
          <w:tcPr>
            <w:tcW w:w="1985" w:type="dxa"/>
            <w:tcBorders>
              <w:left w:val="outset" w:sz="6" w:space="0" w:color="000000"/>
              <w:bottom w:val="outset" w:sz="6" w:space="0" w:color="000000"/>
              <w:right w:val="outset" w:sz="6" w:space="0" w:color="000000"/>
            </w:tcBorders>
            <w:shd w:val="clear" w:color="auto" w:fill="auto"/>
          </w:tcPr>
          <w:p w14:paraId="240C49C5" w14:textId="77777777" w:rsidR="00724E63" w:rsidRPr="00724E63" w:rsidRDefault="00724E63" w:rsidP="00724E63">
            <w:pPr>
              <w:jc w:val="center"/>
              <w:rPr>
                <w:b/>
                <w:lang w:eastAsia="en-GB"/>
              </w:rPr>
            </w:pPr>
            <w:r w:rsidRPr="00724E63">
              <w:rPr>
                <w:b/>
                <w:lang w:eastAsia="en-GB"/>
              </w:rPr>
              <w:t>GFR category</w:t>
            </w:r>
          </w:p>
        </w:tc>
        <w:tc>
          <w:tcPr>
            <w:tcW w:w="2977" w:type="dxa"/>
            <w:tcBorders>
              <w:left w:val="outset" w:sz="6" w:space="0" w:color="000000"/>
              <w:bottom w:val="outset" w:sz="6" w:space="0" w:color="000000"/>
              <w:right w:val="outset" w:sz="6" w:space="0" w:color="000000"/>
            </w:tcBorders>
            <w:shd w:val="clear" w:color="auto" w:fill="auto"/>
          </w:tcPr>
          <w:p w14:paraId="0676DF50" w14:textId="77777777" w:rsidR="00724E63" w:rsidRPr="00724E63" w:rsidRDefault="00724E63" w:rsidP="00724E63">
            <w:pPr>
              <w:jc w:val="center"/>
              <w:rPr>
                <w:b/>
              </w:rPr>
            </w:pPr>
            <w:r w:rsidRPr="00724E63">
              <w:rPr>
                <w:b/>
                <w:lang w:eastAsia="en-GB"/>
              </w:rPr>
              <w:t>GFR (ml/min/1.73 m</w:t>
            </w:r>
            <w:r w:rsidRPr="00724E63">
              <w:rPr>
                <w:b/>
                <w:vertAlign w:val="superscript"/>
                <w:lang w:eastAsia="en-GB"/>
              </w:rPr>
              <w:t>2</w:t>
            </w:r>
            <w:r w:rsidRPr="00724E63">
              <w:rPr>
                <w:b/>
                <w:lang w:eastAsia="en-GB"/>
              </w:rPr>
              <w:t>)</w:t>
            </w:r>
          </w:p>
        </w:tc>
        <w:tc>
          <w:tcPr>
            <w:tcW w:w="4048" w:type="dxa"/>
            <w:tcBorders>
              <w:left w:val="outset" w:sz="6" w:space="0" w:color="000000"/>
              <w:bottom w:val="outset" w:sz="6" w:space="0" w:color="000000"/>
              <w:right w:val="outset" w:sz="6" w:space="0" w:color="000000"/>
            </w:tcBorders>
            <w:shd w:val="clear" w:color="auto" w:fill="auto"/>
          </w:tcPr>
          <w:p w14:paraId="1961C440" w14:textId="77777777" w:rsidR="00724E63" w:rsidRPr="00724E63" w:rsidRDefault="00724E63" w:rsidP="00724E63">
            <w:pPr>
              <w:jc w:val="center"/>
              <w:rPr>
                <w:b/>
                <w:lang w:eastAsia="en-GB"/>
              </w:rPr>
            </w:pPr>
            <w:r w:rsidRPr="00724E63">
              <w:rPr>
                <w:b/>
                <w:lang w:eastAsia="en-GB"/>
              </w:rPr>
              <w:t>Terms</w:t>
            </w:r>
          </w:p>
        </w:tc>
      </w:tr>
      <w:tr w:rsidR="00724E63" w:rsidRPr="0087649F" w14:paraId="3F88CC0D" w14:textId="77777777" w:rsidTr="00724E63">
        <w:tc>
          <w:tcPr>
            <w:tcW w:w="1985" w:type="dxa"/>
            <w:tcBorders>
              <w:top w:val="outset" w:sz="6" w:space="0" w:color="000000"/>
              <w:left w:val="outset" w:sz="6" w:space="0" w:color="000000"/>
              <w:bottom w:val="outset" w:sz="6" w:space="0" w:color="000000"/>
              <w:right w:val="outset" w:sz="6" w:space="0" w:color="000000"/>
            </w:tcBorders>
            <w:shd w:val="clear" w:color="auto" w:fill="auto"/>
          </w:tcPr>
          <w:p w14:paraId="1A63A3D9" w14:textId="77777777" w:rsidR="00724E63" w:rsidRPr="00F0319F" w:rsidRDefault="00724E63" w:rsidP="00724E63">
            <w:pPr>
              <w:spacing w:after="0"/>
              <w:jc w:val="center"/>
            </w:pPr>
            <w:r w:rsidRPr="00F0319F">
              <w:t>G1</w:t>
            </w:r>
          </w:p>
        </w:tc>
        <w:tc>
          <w:tcPr>
            <w:tcW w:w="2977" w:type="dxa"/>
            <w:tcBorders>
              <w:top w:val="outset" w:sz="6" w:space="0" w:color="000000"/>
              <w:left w:val="outset" w:sz="6" w:space="0" w:color="000000"/>
              <w:bottom w:val="outset" w:sz="6" w:space="0" w:color="000000"/>
              <w:right w:val="outset" w:sz="6" w:space="0" w:color="000000"/>
            </w:tcBorders>
            <w:shd w:val="clear" w:color="auto" w:fill="auto"/>
          </w:tcPr>
          <w:p w14:paraId="7B916A82" w14:textId="77777777" w:rsidR="00724E63" w:rsidRPr="00F0319F" w:rsidRDefault="00724E63" w:rsidP="00724E63">
            <w:pPr>
              <w:spacing w:after="0"/>
              <w:jc w:val="center"/>
            </w:pPr>
            <w:r w:rsidRPr="00F0319F">
              <w:t>&gt;90</w:t>
            </w:r>
          </w:p>
        </w:tc>
        <w:tc>
          <w:tcPr>
            <w:tcW w:w="4048" w:type="dxa"/>
            <w:tcBorders>
              <w:top w:val="outset" w:sz="6" w:space="0" w:color="000000"/>
              <w:left w:val="outset" w:sz="6" w:space="0" w:color="000000"/>
              <w:bottom w:val="outset" w:sz="6" w:space="0" w:color="000000"/>
              <w:right w:val="outset" w:sz="6" w:space="0" w:color="000000"/>
            </w:tcBorders>
            <w:shd w:val="clear" w:color="auto" w:fill="auto"/>
          </w:tcPr>
          <w:p w14:paraId="14B003A7" w14:textId="77777777" w:rsidR="00724E63" w:rsidRPr="00F0319F" w:rsidRDefault="00724E63" w:rsidP="00724E63">
            <w:pPr>
              <w:spacing w:after="0"/>
              <w:jc w:val="center"/>
            </w:pPr>
            <w:r w:rsidRPr="00F0319F">
              <w:t>Normal or high</w:t>
            </w:r>
          </w:p>
        </w:tc>
      </w:tr>
      <w:tr w:rsidR="00724E63" w:rsidRPr="0087649F" w14:paraId="77969BAE" w14:textId="77777777" w:rsidTr="00724E63">
        <w:tc>
          <w:tcPr>
            <w:tcW w:w="1985" w:type="dxa"/>
            <w:tcBorders>
              <w:top w:val="outset" w:sz="6" w:space="0" w:color="000000"/>
              <w:left w:val="outset" w:sz="6" w:space="0" w:color="000000"/>
              <w:bottom w:val="outset" w:sz="6" w:space="0" w:color="000000"/>
              <w:right w:val="outset" w:sz="6" w:space="0" w:color="000000"/>
            </w:tcBorders>
            <w:shd w:val="clear" w:color="auto" w:fill="auto"/>
          </w:tcPr>
          <w:p w14:paraId="7E08D2E7" w14:textId="77777777" w:rsidR="00724E63" w:rsidRPr="00F0319F" w:rsidRDefault="00724E63" w:rsidP="00724E63">
            <w:pPr>
              <w:spacing w:after="0"/>
              <w:jc w:val="center"/>
            </w:pPr>
            <w:r w:rsidRPr="00F0319F">
              <w:t>G2</w:t>
            </w:r>
          </w:p>
        </w:tc>
        <w:tc>
          <w:tcPr>
            <w:tcW w:w="2977" w:type="dxa"/>
            <w:tcBorders>
              <w:top w:val="outset" w:sz="6" w:space="0" w:color="000000"/>
              <w:left w:val="outset" w:sz="6" w:space="0" w:color="000000"/>
              <w:bottom w:val="outset" w:sz="6" w:space="0" w:color="000000"/>
              <w:right w:val="outset" w:sz="6" w:space="0" w:color="000000"/>
            </w:tcBorders>
            <w:shd w:val="clear" w:color="auto" w:fill="auto"/>
          </w:tcPr>
          <w:p w14:paraId="338FF35C" w14:textId="77777777" w:rsidR="00724E63" w:rsidRPr="00F0319F" w:rsidRDefault="00724E63" w:rsidP="00724E63">
            <w:pPr>
              <w:spacing w:after="0"/>
              <w:jc w:val="center"/>
            </w:pPr>
            <w:r w:rsidRPr="00F0319F">
              <w:t>60–89</w:t>
            </w:r>
          </w:p>
        </w:tc>
        <w:tc>
          <w:tcPr>
            <w:tcW w:w="4048" w:type="dxa"/>
            <w:tcBorders>
              <w:top w:val="outset" w:sz="6" w:space="0" w:color="000000"/>
              <w:left w:val="outset" w:sz="6" w:space="0" w:color="000000"/>
              <w:bottom w:val="outset" w:sz="6" w:space="0" w:color="000000"/>
              <w:right w:val="outset" w:sz="6" w:space="0" w:color="000000"/>
            </w:tcBorders>
            <w:shd w:val="clear" w:color="auto" w:fill="auto"/>
          </w:tcPr>
          <w:p w14:paraId="3477EB9C" w14:textId="77777777" w:rsidR="00724E63" w:rsidRPr="00F0319F" w:rsidRDefault="00724E63" w:rsidP="00724E63">
            <w:pPr>
              <w:spacing w:after="0"/>
              <w:jc w:val="center"/>
            </w:pPr>
            <w:r w:rsidRPr="00F0319F">
              <w:t>Mildly decreased</w:t>
            </w:r>
          </w:p>
        </w:tc>
      </w:tr>
      <w:tr w:rsidR="00724E63" w:rsidRPr="0087649F" w14:paraId="426A273D" w14:textId="77777777" w:rsidTr="00724E63">
        <w:tc>
          <w:tcPr>
            <w:tcW w:w="1985" w:type="dxa"/>
            <w:tcBorders>
              <w:top w:val="outset" w:sz="6" w:space="0" w:color="000000"/>
              <w:left w:val="outset" w:sz="6" w:space="0" w:color="000000"/>
              <w:bottom w:val="outset" w:sz="6" w:space="0" w:color="000000"/>
              <w:right w:val="outset" w:sz="6" w:space="0" w:color="000000"/>
            </w:tcBorders>
            <w:shd w:val="clear" w:color="auto" w:fill="auto"/>
          </w:tcPr>
          <w:p w14:paraId="67DF6482" w14:textId="77777777" w:rsidR="00724E63" w:rsidRPr="00F0319F" w:rsidRDefault="00724E63" w:rsidP="00724E63">
            <w:pPr>
              <w:spacing w:after="0"/>
              <w:jc w:val="center"/>
            </w:pPr>
            <w:r w:rsidRPr="00F0319F">
              <w:t>G3a</w:t>
            </w:r>
          </w:p>
        </w:tc>
        <w:tc>
          <w:tcPr>
            <w:tcW w:w="2977" w:type="dxa"/>
            <w:tcBorders>
              <w:top w:val="outset" w:sz="6" w:space="0" w:color="000000"/>
              <w:left w:val="outset" w:sz="6" w:space="0" w:color="000000"/>
              <w:bottom w:val="outset" w:sz="6" w:space="0" w:color="000000"/>
              <w:right w:val="outset" w:sz="6" w:space="0" w:color="000000"/>
            </w:tcBorders>
            <w:shd w:val="clear" w:color="auto" w:fill="auto"/>
          </w:tcPr>
          <w:p w14:paraId="001FCAA3" w14:textId="77777777" w:rsidR="00724E63" w:rsidRPr="00F0319F" w:rsidRDefault="00724E63" w:rsidP="00724E63">
            <w:pPr>
              <w:spacing w:after="0"/>
              <w:jc w:val="center"/>
            </w:pPr>
            <w:r w:rsidRPr="00F0319F">
              <w:t>45–59</w:t>
            </w:r>
          </w:p>
        </w:tc>
        <w:tc>
          <w:tcPr>
            <w:tcW w:w="4048" w:type="dxa"/>
            <w:tcBorders>
              <w:top w:val="outset" w:sz="6" w:space="0" w:color="000000"/>
              <w:left w:val="outset" w:sz="6" w:space="0" w:color="000000"/>
              <w:bottom w:val="outset" w:sz="6" w:space="0" w:color="000000"/>
              <w:right w:val="outset" w:sz="6" w:space="0" w:color="000000"/>
            </w:tcBorders>
            <w:shd w:val="clear" w:color="auto" w:fill="auto"/>
          </w:tcPr>
          <w:p w14:paraId="5EAD88E8" w14:textId="77777777" w:rsidR="00724E63" w:rsidRPr="00F0319F" w:rsidRDefault="00724E63" w:rsidP="00724E63">
            <w:pPr>
              <w:spacing w:after="0"/>
              <w:jc w:val="center"/>
            </w:pPr>
            <w:r w:rsidRPr="00F0319F">
              <w:t>Mildly to moderately decreased</w:t>
            </w:r>
          </w:p>
        </w:tc>
      </w:tr>
      <w:tr w:rsidR="00724E63" w:rsidRPr="0087649F" w14:paraId="27ACA6E8" w14:textId="77777777" w:rsidTr="00724E63">
        <w:tc>
          <w:tcPr>
            <w:tcW w:w="1985" w:type="dxa"/>
            <w:tcBorders>
              <w:top w:val="outset" w:sz="6" w:space="0" w:color="000000"/>
              <w:left w:val="outset" w:sz="6" w:space="0" w:color="000000"/>
              <w:bottom w:val="outset" w:sz="6" w:space="0" w:color="000000"/>
              <w:right w:val="outset" w:sz="6" w:space="0" w:color="000000"/>
            </w:tcBorders>
            <w:shd w:val="clear" w:color="auto" w:fill="auto"/>
          </w:tcPr>
          <w:p w14:paraId="7D703A28" w14:textId="77777777" w:rsidR="00724E63" w:rsidRPr="00F0319F" w:rsidRDefault="00724E63" w:rsidP="00724E63">
            <w:pPr>
              <w:spacing w:after="0"/>
              <w:jc w:val="center"/>
            </w:pPr>
            <w:r w:rsidRPr="00F0319F">
              <w:t>G3b</w:t>
            </w:r>
          </w:p>
        </w:tc>
        <w:tc>
          <w:tcPr>
            <w:tcW w:w="2977" w:type="dxa"/>
            <w:tcBorders>
              <w:top w:val="outset" w:sz="6" w:space="0" w:color="000000"/>
              <w:left w:val="outset" w:sz="6" w:space="0" w:color="000000"/>
              <w:bottom w:val="outset" w:sz="6" w:space="0" w:color="000000"/>
              <w:right w:val="outset" w:sz="6" w:space="0" w:color="000000"/>
            </w:tcBorders>
            <w:shd w:val="clear" w:color="auto" w:fill="auto"/>
          </w:tcPr>
          <w:p w14:paraId="5573F90E" w14:textId="77777777" w:rsidR="00724E63" w:rsidRPr="00F0319F" w:rsidRDefault="00724E63" w:rsidP="00724E63">
            <w:pPr>
              <w:spacing w:after="0"/>
              <w:jc w:val="center"/>
            </w:pPr>
            <w:r w:rsidRPr="00F0319F">
              <w:t>30–44</w:t>
            </w:r>
          </w:p>
        </w:tc>
        <w:tc>
          <w:tcPr>
            <w:tcW w:w="4048" w:type="dxa"/>
            <w:tcBorders>
              <w:top w:val="outset" w:sz="6" w:space="0" w:color="000000"/>
              <w:left w:val="outset" w:sz="6" w:space="0" w:color="000000"/>
              <w:bottom w:val="outset" w:sz="6" w:space="0" w:color="000000"/>
              <w:right w:val="outset" w:sz="6" w:space="0" w:color="000000"/>
            </w:tcBorders>
            <w:shd w:val="clear" w:color="auto" w:fill="auto"/>
          </w:tcPr>
          <w:p w14:paraId="5D2676E9" w14:textId="77777777" w:rsidR="00724E63" w:rsidRPr="00F0319F" w:rsidRDefault="00724E63" w:rsidP="00724E63">
            <w:pPr>
              <w:spacing w:after="0"/>
              <w:jc w:val="center"/>
            </w:pPr>
            <w:r w:rsidRPr="00F0319F">
              <w:t>Moderately to severely decreased</w:t>
            </w:r>
          </w:p>
        </w:tc>
      </w:tr>
      <w:tr w:rsidR="00724E63" w:rsidRPr="0087649F" w14:paraId="2E367CB5" w14:textId="77777777" w:rsidTr="00724E63">
        <w:tc>
          <w:tcPr>
            <w:tcW w:w="1985" w:type="dxa"/>
            <w:tcBorders>
              <w:top w:val="outset" w:sz="6" w:space="0" w:color="000000"/>
              <w:left w:val="outset" w:sz="6" w:space="0" w:color="000000"/>
              <w:bottom w:val="outset" w:sz="6" w:space="0" w:color="000000"/>
              <w:right w:val="outset" w:sz="6" w:space="0" w:color="000000"/>
            </w:tcBorders>
            <w:shd w:val="clear" w:color="auto" w:fill="auto"/>
          </w:tcPr>
          <w:p w14:paraId="258BD917" w14:textId="77777777" w:rsidR="00724E63" w:rsidRPr="00F0319F" w:rsidRDefault="00724E63" w:rsidP="00724E63">
            <w:pPr>
              <w:spacing w:after="0"/>
              <w:jc w:val="center"/>
            </w:pPr>
            <w:r w:rsidRPr="00F0319F">
              <w:t>G4</w:t>
            </w:r>
          </w:p>
        </w:tc>
        <w:tc>
          <w:tcPr>
            <w:tcW w:w="2977" w:type="dxa"/>
            <w:tcBorders>
              <w:top w:val="outset" w:sz="6" w:space="0" w:color="000000"/>
              <w:left w:val="outset" w:sz="6" w:space="0" w:color="000000"/>
              <w:bottom w:val="outset" w:sz="6" w:space="0" w:color="000000"/>
              <w:right w:val="outset" w:sz="6" w:space="0" w:color="000000"/>
            </w:tcBorders>
            <w:shd w:val="clear" w:color="auto" w:fill="auto"/>
          </w:tcPr>
          <w:p w14:paraId="011413C9" w14:textId="77777777" w:rsidR="00724E63" w:rsidRPr="00F0319F" w:rsidRDefault="00724E63" w:rsidP="00724E63">
            <w:pPr>
              <w:spacing w:after="0"/>
              <w:jc w:val="center"/>
            </w:pPr>
            <w:r w:rsidRPr="00F0319F">
              <w:t>15–29</w:t>
            </w:r>
          </w:p>
        </w:tc>
        <w:tc>
          <w:tcPr>
            <w:tcW w:w="4048" w:type="dxa"/>
            <w:tcBorders>
              <w:top w:val="outset" w:sz="6" w:space="0" w:color="000000"/>
              <w:left w:val="outset" w:sz="6" w:space="0" w:color="000000"/>
              <w:bottom w:val="outset" w:sz="6" w:space="0" w:color="000000"/>
              <w:right w:val="outset" w:sz="6" w:space="0" w:color="000000"/>
            </w:tcBorders>
            <w:shd w:val="clear" w:color="auto" w:fill="auto"/>
          </w:tcPr>
          <w:p w14:paraId="7A47C3FB" w14:textId="77777777" w:rsidR="00724E63" w:rsidRPr="00F0319F" w:rsidRDefault="00724E63" w:rsidP="00724E63">
            <w:pPr>
              <w:spacing w:after="0"/>
              <w:jc w:val="center"/>
            </w:pPr>
            <w:r w:rsidRPr="00F0319F">
              <w:t>Severely decreased</w:t>
            </w:r>
            <w:r>
              <w:t xml:space="preserve"> (</w:t>
            </w:r>
            <w:r w:rsidRPr="00724E63">
              <w:rPr>
                <w:b/>
              </w:rPr>
              <w:t>R</w:t>
            </w:r>
            <w:r>
              <w:t>)</w:t>
            </w:r>
          </w:p>
        </w:tc>
      </w:tr>
      <w:tr w:rsidR="00724E63" w:rsidRPr="0087649F" w14:paraId="25288973" w14:textId="77777777" w:rsidTr="00724E63">
        <w:tc>
          <w:tcPr>
            <w:tcW w:w="1985" w:type="dxa"/>
            <w:tcBorders>
              <w:top w:val="outset" w:sz="6" w:space="0" w:color="000000"/>
              <w:left w:val="outset" w:sz="6" w:space="0" w:color="000000"/>
              <w:bottom w:val="outset" w:sz="6" w:space="0" w:color="000000"/>
              <w:right w:val="outset" w:sz="6" w:space="0" w:color="000000"/>
            </w:tcBorders>
            <w:shd w:val="clear" w:color="auto" w:fill="auto"/>
          </w:tcPr>
          <w:p w14:paraId="7B5AE8D1" w14:textId="77777777" w:rsidR="00724E63" w:rsidRPr="00F0319F" w:rsidRDefault="00724E63" w:rsidP="00724E63">
            <w:pPr>
              <w:spacing w:after="0"/>
              <w:jc w:val="center"/>
            </w:pPr>
            <w:r w:rsidRPr="00F0319F">
              <w:t>G5</w:t>
            </w:r>
          </w:p>
        </w:tc>
        <w:tc>
          <w:tcPr>
            <w:tcW w:w="2977" w:type="dxa"/>
            <w:tcBorders>
              <w:top w:val="outset" w:sz="6" w:space="0" w:color="000000"/>
              <w:left w:val="outset" w:sz="6" w:space="0" w:color="000000"/>
              <w:bottom w:val="outset" w:sz="6" w:space="0" w:color="000000"/>
              <w:right w:val="outset" w:sz="6" w:space="0" w:color="000000"/>
            </w:tcBorders>
            <w:shd w:val="clear" w:color="auto" w:fill="auto"/>
          </w:tcPr>
          <w:p w14:paraId="69A29B8D" w14:textId="77777777" w:rsidR="00724E63" w:rsidRPr="00F0319F" w:rsidRDefault="00724E63" w:rsidP="00724E63">
            <w:pPr>
              <w:spacing w:after="0"/>
              <w:jc w:val="center"/>
            </w:pPr>
            <w:r w:rsidRPr="00F0319F">
              <w:t>&lt;15</w:t>
            </w:r>
          </w:p>
        </w:tc>
        <w:tc>
          <w:tcPr>
            <w:tcW w:w="4048" w:type="dxa"/>
            <w:tcBorders>
              <w:top w:val="outset" w:sz="6" w:space="0" w:color="000000"/>
              <w:left w:val="outset" w:sz="6" w:space="0" w:color="000000"/>
              <w:bottom w:val="outset" w:sz="6" w:space="0" w:color="000000"/>
              <w:right w:val="outset" w:sz="6" w:space="0" w:color="000000"/>
            </w:tcBorders>
            <w:shd w:val="clear" w:color="auto" w:fill="auto"/>
          </w:tcPr>
          <w:p w14:paraId="1E36535B" w14:textId="77777777" w:rsidR="00724E63" w:rsidRPr="00F0319F" w:rsidRDefault="00724E63" w:rsidP="00724E63">
            <w:pPr>
              <w:spacing w:after="0"/>
              <w:jc w:val="center"/>
            </w:pPr>
            <w:r w:rsidRPr="00F0319F">
              <w:t>Kidney failure</w:t>
            </w:r>
            <w:r>
              <w:t xml:space="preserve"> </w:t>
            </w:r>
            <w:r w:rsidRPr="001933BD">
              <w:t>(</w:t>
            </w:r>
            <w:r w:rsidRPr="00724E63">
              <w:rPr>
                <w:b/>
              </w:rPr>
              <w:t>R</w:t>
            </w:r>
            <w:r w:rsidRPr="001933BD">
              <w:t>)</w:t>
            </w:r>
          </w:p>
        </w:tc>
      </w:tr>
      <w:tr w:rsidR="00724E63" w:rsidRPr="0087649F" w14:paraId="3B40070E" w14:textId="77777777" w:rsidTr="0077499D">
        <w:tc>
          <w:tcPr>
            <w:tcW w:w="9010" w:type="dxa"/>
            <w:gridSpan w:val="3"/>
            <w:tcBorders>
              <w:top w:val="outset" w:sz="6" w:space="0" w:color="000000"/>
              <w:left w:val="nil"/>
              <w:bottom w:val="nil"/>
              <w:right w:val="nil"/>
            </w:tcBorders>
            <w:shd w:val="clear" w:color="auto" w:fill="auto"/>
          </w:tcPr>
          <w:p w14:paraId="1F2DCDE2" w14:textId="77777777" w:rsidR="00724E63" w:rsidRPr="00F0319F" w:rsidRDefault="00724E63" w:rsidP="00724E63">
            <w:r w:rsidRPr="00F0319F">
              <w:t>Abbreviations: CKD, chronic kidney disease; GFR, glomerular filtration rat</w:t>
            </w:r>
            <w:r>
              <w:t xml:space="preserve">e, </w:t>
            </w:r>
            <w:r w:rsidRPr="001933BD">
              <w:rPr>
                <w:b/>
              </w:rPr>
              <w:t>R</w:t>
            </w:r>
            <w:r>
              <w:t>- refer to EFSTH</w:t>
            </w:r>
          </w:p>
        </w:tc>
      </w:tr>
    </w:tbl>
    <w:p w14:paraId="225B8785" w14:textId="77777777" w:rsidR="00724E63" w:rsidRPr="00F0319F" w:rsidRDefault="00724E63" w:rsidP="00724E63">
      <w:r w:rsidRPr="00F0319F">
        <w:t xml:space="preserve">Progression of CKD is the sustained decrease in GFR of 25% or more </w:t>
      </w:r>
      <w:r w:rsidRPr="0087649F">
        <w:t xml:space="preserve">with </w:t>
      </w:r>
      <w:r w:rsidRPr="00F0319F">
        <w:t>a change in GFR category within 12 months</w:t>
      </w:r>
      <w:r w:rsidRPr="0087649F">
        <w:t xml:space="preserve">, </w:t>
      </w:r>
      <w:r w:rsidRPr="00F0319F">
        <w:rPr>
          <w:b/>
        </w:rPr>
        <w:t>or</w:t>
      </w:r>
      <w:r w:rsidRPr="0087649F">
        <w:rPr>
          <w:b/>
        </w:rPr>
        <w:t xml:space="preserve"> </w:t>
      </w:r>
      <w:r w:rsidRPr="00F0319F">
        <w:t>a sustained decrease in GFR of 15 ml/min/1.73 m</w:t>
      </w:r>
      <w:r w:rsidRPr="00F0319F">
        <w:rPr>
          <w:vertAlign w:val="superscript"/>
        </w:rPr>
        <w:t>2</w:t>
      </w:r>
      <w:r w:rsidRPr="00F0319F">
        <w:t xml:space="preserve"> per year.</w:t>
      </w:r>
    </w:p>
    <w:p w14:paraId="2C6AAE38" w14:textId="5FDBF9BA" w:rsidR="00724E63" w:rsidRPr="00573D4C" w:rsidRDefault="00724E63" w:rsidP="00724E63">
      <w:pPr>
        <w:pStyle w:val="Heading3"/>
      </w:pPr>
      <w:r w:rsidRPr="00573D4C">
        <w:t>Dipstick Urinalysis</w:t>
      </w:r>
    </w:p>
    <w:p w14:paraId="13AA56F7" w14:textId="4641D210" w:rsidR="00724E63" w:rsidRPr="00724E63" w:rsidRDefault="00724E63" w:rsidP="00724E63">
      <w:pPr>
        <w:pStyle w:val="ListParagraph"/>
        <w:numPr>
          <w:ilvl w:val="0"/>
          <w:numId w:val="42"/>
        </w:numPr>
      </w:pPr>
      <w:r w:rsidRPr="00724E63">
        <w:rPr>
          <w:b/>
        </w:rPr>
        <w:t>Proteinuria</w:t>
      </w:r>
      <w:r w:rsidRPr="00724E63">
        <w:t xml:space="preserve">: Test for proteinuria in patients in the at-risk groups, and patients with abnormal serum creatinine. Urine dipstick testing should occur at each appointment in patients in groups </w:t>
      </w:r>
      <w:r w:rsidR="00FC3049">
        <w:t>G</w:t>
      </w:r>
      <w:r w:rsidRPr="00724E63">
        <w:t>3a –</w:t>
      </w:r>
      <w:r w:rsidR="00FC3049">
        <w:t>G</w:t>
      </w:r>
      <w:r w:rsidRPr="00724E63">
        <w:t>5 (eGFR &lt;</w:t>
      </w:r>
      <w:r>
        <w:t xml:space="preserve"> </w:t>
      </w:r>
      <w:r w:rsidRPr="00724E63">
        <w:t>60</w:t>
      </w:r>
      <w:r>
        <w:t xml:space="preserve"> </w:t>
      </w:r>
      <w:r w:rsidRPr="00724E63">
        <w:t>ml/min). Although urine albumin-creatinine ratio is the ideal test for proteinuria, dipstick testing of random urine samples is most practical for the OPD.</w:t>
      </w:r>
    </w:p>
    <w:p w14:paraId="08D6F330" w14:textId="77777777" w:rsidR="00724E63" w:rsidRPr="00724E63" w:rsidRDefault="00724E63" w:rsidP="00724E63">
      <w:pPr>
        <w:pStyle w:val="ListParagraph"/>
        <w:numPr>
          <w:ilvl w:val="0"/>
          <w:numId w:val="42"/>
        </w:numPr>
      </w:pPr>
      <w:r w:rsidRPr="00724E63">
        <w:rPr>
          <w:b/>
        </w:rPr>
        <w:t>Haematuria</w:t>
      </w:r>
      <w:r w:rsidRPr="00724E63">
        <w:t>: The presence of 1+ or more of blood in urine is considered significant and should be investigated further. Urine microscopy is not required to test or confirm diagnosis. Invisible haematuria is confirmed with 2 out of 3 positive urine analysis dipstick tests in separate clinic appointments. Investigate patients with persistent invisible haematuria for urinary tract malignancy in the appropriate age groups. Patients with invisible haematuria with proteinuria should be followed up with annual repeat testing for as long as the haematuria continues</w:t>
      </w:r>
    </w:p>
    <w:p w14:paraId="08A97E6C" w14:textId="77777777" w:rsidR="00724E63" w:rsidRDefault="00724E63" w:rsidP="00724E63">
      <w:pPr>
        <w:pStyle w:val="Heading3"/>
      </w:pPr>
      <w:r w:rsidRPr="00573D4C">
        <w:rPr>
          <w:rFonts w:eastAsia="MS Mincho"/>
        </w:rPr>
        <w:t>Haemoglobin</w:t>
      </w:r>
    </w:p>
    <w:p w14:paraId="393C276B" w14:textId="419EEAFB" w:rsidR="00724E63" w:rsidRDefault="00724E63" w:rsidP="00724E63">
      <w:pPr>
        <w:rPr>
          <w:color w:val="000000" w:themeColor="text1"/>
        </w:rPr>
      </w:pPr>
      <w:r w:rsidRPr="00573D4C">
        <w:rPr>
          <w:color w:val="000000" w:themeColor="text1"/>
        </w:rPr>
        <w:t>Check the haemoglobin level in people with a GFR of less than 45 ml/min/1.73 m</w:t>
      </w:r>
      <w:r w:rsidRPr="003B57C7">
        <w:rPr>
          <w:color w:val="000000" w:themeColor="text1"/>
          <w:vertAlign w:val="superscript"/>
        </w:rPr>
        <w:t>2</w:t>
      </w:r>
      <w:r w:rsidRPr="00573D4C">
        <w:rPr>
          <w:color w:val="000000" w:themeColor="text1"/>
        </w:rPr>
        <w:t xml:space="preserve"> to identify anaemia (haemoglobin less than 11 g/dl).</w:t>
      </w:r>
    </w:p>
    <w:p w14:paraId="735E1929" w14:textId="77777777" w:rsidR="00724E63" w:rsidRDefault="00724E63" w:rsidP="00724E63">
      <w:pPr>
        <w:pStyle w:val="Heading3"/>
      </w:pPr>
      <w:r w:rsidRPr="00F96B08">
        <w:rPr>
          <w:rFonts w:eastAsia="MS Mincho"/>
        </w:rPr>
        <w:t>Serum calcium and phosphate</w:t>
      </w:r>
    </w:p>
    <w:p w14:paraId="53C10970" w14:textId="5D71D751" w:rsidR="00724E63" w:rsidRPr="00573D4C" w:rsidRDefault="00724E63" w:rsidP="00724E63">
      <w:pPr>
        <w:rPr>
          <w:color w:val="000000" w:themeColor="text1"/>
        </w:rPr>
      </w:pPr>
      <w:r>
        <w:rPr>
          <w:color w:val="000000" w:themeColor="text1"/>
        </w:rPr>
        <w:t>Low calcium and high phosphate levels may be seen in patients in end stage renal disease.</w:t>
      </w:r>
    </w:p>
    <w:p w14:paraId="719E572D" w14:textId="77777777" w:rsidR="00724E63" w:rsidRDefault="00724E63">
      <w:pPr>
        <w:spacing w:after="0"/>
        <w:outlineLvl w:val="9"/>
        <w:rPr>
          <w:rFonts w:cs="Times New Roman"/>
          <w:b/>
          <w:bCs/>
          <w:szCs w:val="26"/>
          <w:u w:val="single"/>
        </w:rPr>
      </w:pPr>
      <w:r>
        <w:br w:type="page"/>
      </w:r>
    </w:p>
    <w:p w14:paraId="2F93F829" w14:textId="7CA8C519" w:rsidR="00724E63" w:rsidRDefault="00724E63" w:rsidP="00724E63">
      <w:pPr>
        <w:pStyle w:val="Heading3"/>
        <w:rPr>
          <w:rFonts w:eastAsia="MS Mincho"/>
        </w:rPr>
      </w:pPr>
      <w:r w:rsidRPr="00573D4C">
        <w:rPr>
          <w:rFonts w:eastAsia="MS Mincho"/>
        </w:rPr>
        <w:lastRenderedPageBreak/>
        <w:t>Renal ultrasound</w:t>
      </w:r>
    </w:p>
    <w:p w14:paraId="5AA41B01" w14:textId="6283465E" w:rsidR="00724E63" w:rsidRPr="00CC2A2F" w:rsidRDefault="00724E63" w:rsidP="00724E63">
      <w:pPr>
        <w:spacing w:after="0"/>
        <w:rPr>
          <w:color w:val="000000" w:themeColor="text1"/>
        </w:rPr>
      </w:pPr>
      <w:r w:rsidRPr="00CC2A2F">
        <w:rPr>
          <w:color w:val="000000" w:themeColor="text1"/>
        </w:rPr>
        <w:t>Perform renal ultrasound if there is:</w:t>
      </w:r>
    </w:p>
    <w:p w14:paraId="64ACD498" w14:textId="2ED0D67F" w:rsidR="00724E63" w:rsidRPr="00CC2A2F" w:rsidRDefault="00724E63" w:rsidP="00724E63">
      <w:pPr>
        <w:numPr>
          <w:ilvl w:val="0"/>
          <w:numId w:val="32"/>
        </w:numPr>
        <w:spacing w:after="0"/>
        <w:outlineLvl w:val="9"/>
        <w:rPr>
          <w:color w:val="000000" w:themeColor="text1"/>
        </w:rPr>
      </w:pPr>
      <w:r w:rsidRPr="00CC2A2F">
        <w:rPr>
          <w:color w:val="000000" w:themeColor="text1"/>
        </w:rPr>
        <w:t>accelerated progression of CKD</w:t>
      </w:r>
    </w:p>
    <w:p w14:paraId="5564C640" w14:textId="77777777" w:rsidR="00724E63" w:rsidRPr="00CC2A2F" w:rsidRDefault="00724E63" w:rsidP="00724E63">
      <w:pPr>
        <w:numPr>
          <w:ilvl w:val="0"/>
          <w:numId w:val="32"/>
        </w:numPr>
        <w:spacing w:after="0"/>
        <w:outlineLvl w:val="9"/>
        <w:rPr>
          <w:color w:val="000000" w:themeColor="text1"/>
        </w:rPr>
      </w:pPr>
      <w:r w:rsidRPr="00CC2A2F">
        <w:rPr>
          <w:color w:val="000000" w:themeColor="text1"/>
        </w:rPr>
        <w:t>Haematuria or persisting invisible haematuria</w:t>
      </w:r>
    </w:p>
    <w:p w14:paraId="161668D5" w14:textId="77777777" w:rsidR="00724E63" w:rsidRPr="00CC2A2F" w:rsidRDefault="00724E63" w:rsidP="00724E63">
      <w:pPr>
        <w:numPr>
          <w:ilvl w:val="0"/>
          <w:numId w:val="32"/>
        </w:numPr>
        <w:spacing w:after="0"/>
        <w:outlineLvl w:val="9"/>
        <w:rPr>
          <w:color w:val="000000" w:themeColor="text1"/>
        </w:rPr>
      </w:pPr>
      <w:r w:rsidRPr="00CC2A2F">
        <w:rPr>
          <w:color w:val="000000" w:themeColor="text1"/>
        </w:rPr>
        <w:t>Urinary tract obstruction</w:t>
      </w:r>
    </w:p>
    <w:p w14:paraId="74C07636" w14:textId="77777777" w:rsidR="00724E63" w:rsidRPr="0087649F" w:rsidRDefault="00724E63" w:rsidP="00724E63">
      <w:pPr>
        <w:numPr>
          <w:ilvl w:val="0"/>
          <w:numId w:val="32"/>
        </w:numPr>
        <w:spacing w:after="0"/>
        <w:outlineLvl w:val="9"/>
        <w:rPr>
          <w:color w:val="000000" w:themeColor="text1"/>
        </w:rPr>
      </w:pPr>
      <w:r w:rsidRPr="00CC2A2F">
        <w:rPr>
          <w:color w:val="000000" w:themeColor="text1"/>
        </w:rPr>
        <w:t>Family history of polycystic kidney disease</w:t>
      </w:r>
      <w:r w:rsidRPr="0087649F">
        <w:rPr>
          <w:color w:val="000000" w:themeColor="text1"/>
        </w:rPr>
        <w:t xml:space="preserve"> </w:t>
      </w:r>
    </w:p>
    <w:p w14:paraId="1683F6B9" w14:textId="77777777" w:rsidR="00724E63" w:rsidRPr="0087649F" w:rsidRDefault="00724E63" w:rsidP="00724E63">
      <w:pPr>
        <w:numPr>
          <w:ilvl w:val="0"/>
          <w:numId w:val="32"/>
        </w:numPr>
        <w:spacing w:after="0"/>
        <w:outlineLvl w:val="9"/>
        <w:rPr>
          <w:color w:val="000000" w:themeColor="text1"/>
        </w:rPr>
      </w:pPr>
      <w:r w:rsidRPr="0087649F">
        <w:rPr>
          <w:color w:val="000000" w:themeColor="text1"/>
        </w:rPr>
        <w:t>GFR of &lt;30 ml/min/1.73m</w:t>
      </w:r>
      <w:r w:rsidRPr="0087649F">
        <w:rPr>
          <w:color w:val="000000" w:themeColor="text1"/>
          <w:vertAlign w:val="superscript"/>
        </w:rPr>
        <w:t>2</w:t>
      </w:r>
      <w:r w:rsidRPr="0087649F">
        <w:rPr>
          <w:color w:val="000000" w:themeColor="text1"/>
        </w:rPr>
        <w:t xml:space="preserve"> (G4 or G5)</w:t>
      </w:r>
    </w:p>
    <w:p w14:paraId="5F9CC97B" w14:textId="77777777" w:rsidR="00724E63" w:rsidRPr="00CC2A2F" w:rsidRDefault="00724E63" w:rsidP="00724E63">
      <w:pPr>
        <w:pStyle w:val="Heading2"/>
        <w:spacing w:before="0" w:line="377" w:lineRule="atLeast"/>
        <w:rPr>
          <w:rFonts w:cs="Arial"/>
          <w:b w:val="0"/>
        </w:rPr>
      </w:pPr>
      <w:r w:rsidRPr="00CC2A2F">
        <w:rPr>
          <w:rFonts w:cs="Arial"/>
          <w:szCs w:val="22"/>
        </w:rPr>
        <w:t>Treatment</w:t>
      </w:r>
    </w:p>
    <w:p w14:paraId="1CEA6F51" w14:textId="77777777" w:rsidR="00724E63" w:rsidRDefault="00724E63" w:rsidP="00D11DE9">
      <w:r w:rsidRPr="0087649F">
        <w:t>At all stages, it is important to involve the patient in shared decision making, discussing the implications of diagnosis and prognosis, as well as preference for invasive treatment or conservative management</w:t>
      </w:r>
    </w:p>
    <w:p w14:paraId="68BD4506" w14:textId="77777777" w:rsidR="00724E63" w:rsidRPr="00573D4C" w:rsidRDefault="00724E63" w:rsidP="00D11DE9">
      <w:pPr>
        <w:pStyle w:val="Heading3"/>
      </w:pPr>
      <w:r w:rsidRPr="00573D4C">
        <w:t>Hypertension</w:t>
      </w:r>
    </w:p>
    <w:p w14:paraId="400DE5C6" w14:textId="77777777" w:rsidR="00724E63" w:rsidRPr="0087649F" w:rsidRDefault="00724E63" w:rsidP="00D11DE9">
      <w:r w:rsidRPr="0087649F">
        <w:t>Control systolic blood pressure in the target range of 120 - 139 mmHg and keep diastolic blood pressure below 90 mmHg. In those with diabetes, aim for tighter blood pressure control with target systolic BP of 120 – 130 mmHg and diastolic BP of &lt; 80 mmHg. Refer to the CSD hypertension guideline for more information on controlling blood pressure.</w:t>
      </w:r>
    </w:p>
    <w:p w14:paraId="7034BAAA" w14:textId="77777777" w:rsidR="00724E63" w:rsidRPr="00CC2A2F" w:rsidRDefault="00724E63" w:rsidP="00D11DE9">
      <w:pPr>
        <w:pStyle w:val="ListParagraph"/>
        <w:numPr>
          <w:ilvl w:val="0"/>
          <w:numId w:val="43"/>
        </w:numPr>
      </w:pPr>
      <w:r w:rsidRPr="00CC2A2F">
        <w:t>Single renin - angiotensin system antagonists may be used (do not combine renin - angiotensin system antagonists): these include ACE inhibitors and spironolactone.</w:t>
      </w:r>
    </w:p>
    <w:p w14:paraId="31E9EE84" w14:textId="77777777" w:rsidR="00724E63" w:rsidRPr="00514AAC" w:rsidRDefault="00724E63" w:rsidP="00D11DE9">
      <w:pPr>
        <w:pStyle w:val="ListParagraph"/>
        <w:numPr>
          <w:ilvl w:val="0"/>
          <w:numId w:val="43"/>
        </w:numPr>
      </w:pPr>
      <w:r>
        <w:t>Monitor potassium levels and wi</w:t>
      </w:r>
      <w:r w:rsidRPr="00CC2A2F">
        <w:t>thhold treatment if Potassium &gt;6 mmol/l</w:t>
      </w:r>
      <w:r w:rsidRPr="0087649F">
        <w:t xml:space="preserve">. </w:t>
      </w:r>
    </w:p>
    <w:p w14:paraId="76700103" w14:textId="77777777" w:rsidR="00724E63" w:rsidRPr="00573D4C" w:rsidRDefault="00724E63" w:rsidP="00D11DE9">
      <w:pPr>
        <w:pStyle w:val="ListParagraph"/>
        <w:numPr>
          <w:ilvl w:val="0"/>
          <w:numId w:val="43"/>
        </w:numPr>
      </w:pPr>
      <w:r w:rsidRPr="00573D4C">
        <w:t>Check GFR when starting or increasing dose of renin - angiotensin system antagonist. A deterioration of less than 25% is acceptable. If the eGFR change is 25% or more, or the change in serum creatinine is 30% or more, investigate other causes of deterioration in renal function, such as volume depletion or concurrent medication (for example, NSAIDs).If no other cause for the deterioration in renal function is found, stop the renin–angiotensin system antagonist or reduce the dose to a previously tolerated lower dose, and add an alternative antihypertensive medication if required.</w:t>
      </w:r>
    </w:p>
    <w:p w14:paraId="41E3BFBC" w14:textId="77777777" w:rsidR="00724E63" w:rsidRPr="00573D4C" w:rsidRDefault="00724E63" w:rsidP="00D11DE9">
      <w:pPr>
        <w:pStyle w:val="Heading3"/>
        <w:rPr>
          <w:rFonts w:eastAsia="MS Mincho"/>
        </w:rPr>
      </w:pPr>
      <w:r w:rsidRPr="00573D4C">
        <w:rPr>
          <w:rFonts w:eastAsia="MS Mincho"/>
        </w:rPr>
        <w:t>Reduce nephrotoxic medication burden</w:t>
      </w:r>
      <w:r>
        <w:rPr>
          <w:rFonts w:eastAsia="MS Mincho"/>
        </w:rPr>
        <w:t>:</w:t>
      </w:r>
    </w:p>
    <w:p w14:paraId="593F5BA6" w14:textId="5C4D22B3" w:rsidR="00724E63" w:rsidRPr="00301227" w:rsidRDefault="00724E63" w:rsidP="00D11DE9">
      <w:r w:rsidRPr="00301227">
        <w:t>A</w:t>
      </w:r>
      <w:r>
        <w:t>void</w:t>
      </w:r>
      <w:r w:rsidRPr="00301227">
        <w:t xml:space="preserve"> giving the following drugs</w:t>
      </w:r>
      <w:r>
        <w:t xml:space="preserve"> if possible</w:t>
      </w:r>
      <w:r w:rsidR="00D11DE9">
        <w:t>:</w:t>
      </w:r>
    </w:p>
    <w:p w14:paraId="6EABCCAA" w14:textId="77777777" w:rsidR="00724E63" w:rsidRPr="00301227" w:rsidRDefault="00724E63" w:rsidP="00724E63">
      <w:pPr>
        <w:pStyle w:val="ListParagraph"/>
        <w:numPr>
          <w:ilvl w:val="0"/>
          <w:numId w:val="34"/>
        </w:numPr>
        <w:spacing w:after="0"/>
        <w:outlineLvl w:val="9"/>
        <w:rPr>
          <w:color w:val="000000" w:themeColor="text1"/>
        </w:rPr>
      </w:pPr>
      <w:r w:rsidRPr="00301227">
        <w:rPr>
          <w:color w:val="000000" w:themeColor="text1"/>
        </w:rPr>
        <w:t>Antimicrobials: Vancomycin, Quinolones, Aminoglycosides</w:t>
      </w:r>
    </w:p>
    <w:p w14:paraId="4FD77C09" w14:textId="77777777" w:rsidR="00724E63" w:rsidRPr="00301227" w:rsidRDefault="00724E63" w:rsidP="00724E63">
      <w:pPr>
        <w:pStyle w:val="ListParagraph"/>
        <w:numPr>
          <w:ilvl w:val="0"/>
          <w:numId w:val="34"/>
        </w:numPr>
        <w:spacing w:after="0"/>
        <w:outlineLvl w:val="9"/>
        <w:rPr>
          <w:color w:val="000000" w:themeColor="text1"/>
        </w:rPr>
      </w:pPr>
      <w:r w:rsidRPr="00301227">
        <w:rPr>
          <w:color w:val="000000" w:themeColor="text1"/>
        </w:rPr>
        <w:t>NSAIDS, Methotrexate</w:t>
      </w:r>
    </w:p>
    <w:p w14:paraId="18BE3CDD" w14:textId="77777777" w:rsidR="00724E63" w:rsidRPr="00301227" w:rsidRDefault="00724E63" w:rsidP="00724E63">
      <w:pPr>
        <w:pStyle w:val="ListParagraph"/>
        <w:numPr>
          <w:ilvl w:val="0"/>
          <w:numId w:val="34"/>
        </w:numPr>
        <w:spacing w:after="0"/>
        <w:outlineLvl w:val="9"/>
        <w:rPr>
          <w:color w:val="000000" w:themeColor="text1"/>
        </w:rPr>
      </w:pPr>
      <w:r w:rsidRPr="00301227">
        <w:rPr>
          <w:color w:val="000000" w:themeColor="text1"/>
        </w:rPr>
        <w:t>ACE-</w:t>
      </w:r>
      <w:r w:rsidRPr="0087649F">
        <w:rPr>
          <w:color w:val="000000" w:themeColor="text1"/>
        </w:rPr>
        <w:t xml:space="preserve"> </w:t>
      </w:r>
      <w:r w:rsidRPr="00301227">
        <w:rPr>
          <w:color w:val="000000" w:themeColor="text1"/>
        </w:rPr>
        <w:t>I</w:t>
      </w:r>
      <w:r w:rsidRPr="0087649F">
        <w:rPr>
          <w:color w:val="000000" w:themeColor="text1"/>
        </w:rPr>
        <w:t>nhibitors</w:t>
      </w:r>
      <w:r w:rsidRPr="00301227">
        <w:rPr>
          <w:color w:val="000000" w:themeColor="text1"/>
        </w:rPr>
        <w:t>, Angiotensin Receptor Blocker, Renin Inhibitor</w:t>
      </w:r>
    </w:p>
    <w:p w14:paraId="5531AAB9" w14:textId="294FB034" w:rsidR="00724E63" w:rsidRPr="00301227" w:rsidRDefault="00724E63" w:rsidP="00724E63">
      <w:pPr>
        <w:pStyle w:val="ListParagraph"/>
        <w:numPr>
          <w:ilvl w:val="0"/>
          <w:numId w:val="34"/>
        </w:numPr>
        <w:spacing w:after="0"/>
        <w:outlineLvl w:val="9"/>
        <w:rPr>
          <w:color w:val="000000" w:themeColor="text1"/>
        </w:rPr>
      </w:pPr>
      <w:r w:rsidRPr="00301227">
        <w:rPr>
          <w:color w:val="000000" w:themeColor="text1"/>
        </w:rPr>
        <w:t xml:space="preserve">Statins - Offer atorvastatin 20 mg for the primary or secondary prevention of CVD to people with CKD. Increase the dose if </w:t>
      </w:r>
      <w:r w:rsidRPr="0087649F">
        <w:rPr>
          <w:color w:val="000000" w:themeColor="text1"/>
        </w:rPr>
        <w:t xml:space="preserve">less </w:t>
      </w:r>
      <w:r w:rsidRPr="00301227">
        <w:rPr>
          <w:color w:val="000000" w:themeColor="text1"/>
        </w:rPr>
        <w:t>than 40% reduction in non</w:t>
      </w:r>
      <w:r w:rsidRPr="00301227">
        <w:rPr>
          <w:color w:val="000000" w:themeColor="text1"/>
        </w:rPr>
        <w:noBreakHyphen/>
        <w:t>HDL cholesterol is achieved and eGFR is 30 ml/min/1.73 m</w:t>
      </w:r>
      <w:r w:rsidRPr="00301227">
        <w:rPr>
          <w:color w:val="000000" w:themeColor="text1"/>
          <w:vertAlign w:val="superscript"/>
        </w:rPr>
        <w:t>2</w:t>
      </w:r>
      <w:r w:rsidRPr="00301227">
        <w:rPr>
          <w:color w:val="000000" w:themeColor="text1"/>
        </w:rPr>
        <w:t xml:space="preserve"> or more. Do not give in patients with eGFR &lt; 30 ml/min/1.73 m</w:t>
      </w:r>
      <w:r w:rsidRPr="00301227">
        <w:rPr>
          <w:color w:val="000000" w:themeColor="text1"/>
          <w:vertAlign w:val="superscript"/>
        </w:rPr>
        <w:t>2</w:t>
      </w:r>
      <w:r w:rsidR="00D11DE9">
        <w:rPr>
          <w:color w:val="000000" w:themeColor="text1"/>
        </w:rPr>
        <w:t>.</w:t>
      </w:r>
    </w:p>
    <w:p w14:paraId="6D6F5D23" w14:textId="77777777" w:rsidR="00724E63" w:rsidRPr="0087649F" w:rsidRDefault="00724E63" w:rsidP="00D11DE9">
      <w:pPr>
        <w:pStyle w:val="Heading3"/>
      </w:pPr>
      <w:r w:rsidRPr="00CC2A2F">
        <w:t xml:space="preserve">Lifestyle </w:t>
      </w:r>
      <w:r w:rsidRPr="00D11DE9">
        <w:t>advice</w:t>
      </w:r>
      <w:r w:rsidRPr="0087649F">
        <w:t>:</w:t>
      </w:r>
    </w:p>
    <w:p w14:paraId="6454F110" w14:textId="77777777" w:rsidR="00724E63" w:rsidRPr="00301227" w:rsidRDefault="00724E63" w:rsidP="00724E63">
      <w:pPr>
        <w:pStyle w:val="ListParagraph"/>
        <w:numPr>
          <w:ilvl w:val="0"/>
          <w:numId w:val="37"/>
        </w:numPr>
        <w:spacing w:after="0"/>
        <w:outlineLvl w:val="9"/>
        <w:rPr>
          <w:color w:val="000000" w:themeColor="text1"/>
        </w:rPr>
      </w:pPr>
      <w:r w:rsidRPr="00301227">
        <w:rPr>
          <w:color w:val="000000" w:themeColor="text1"/>
        </w:rPr>
        <w:t>Encourage exercise, aim for healthy weight, stop smoking.</w:t>
      </w:r>
    </w:p>
    <w:p w14:paraId="29B0DBA4" w14:textId="77777777" w:rsidR="00724E63" w:rsidRPr="00301227" w:rsidRDefault="00724E63" w:rsidP="00724E63">
      <w:pPr>
        <w:pStyle w:val="ListParagraph"/>
        <w:numPr>
          <w:ilvl w:val="0"/>
          <w:numId w:val="37"/>
        </w:numPr>
        <w:spacing w:after="0"/>
        <w:outlineLvl w:val="9"/>
        <w:rPr>
          <w:color w:val="000000" w:themeColor="text1"/>
        </w:rPr>
      </w:pPr>
      <w:r w:rsidRPr="00301227">
        <w:rPr>
          <w:color w:val="000000" w:themeColor="text1"/>
        </w:rPr>
        <w:t>Dietary advice regarding calorie, salt, potassium and phosphate levels appropriate to the severity of CKD.</w:t>
      </w:r>
    </w:p>
    <w:p w14:paraId="00E6DA7B" w14:textId="77777777" w:rsidR="00724E63" w:rsidRPr="00301227" w:rsidRDefault="00724E63" w:rsidP="00724E63">
      <w:pPr>
        <w:pStyle w:val="ListParagraph"/>
        <w:numPr>
          <w:ilvl w:val="0"/>
          <w:numId w:val="37"/>
        </w:numPr>
        <w:spacing w:after="0"/>
        <w:outlineLvl w:val="9"/>
        <w:rPr>
          <w:color w:val="000000" w:themeColor="text1"/>
        </w:rPr>
      </w:pPr>
      <w:r w:rsidRPr="00301227">
        <w:rPr>
          <w:color w:val="000000" w:themeColor="text1"/>
        </w:rPr>
        <w:t xml:space="preserve">Low protein diet should </w:t>
      </w:r>
      <w:r w:rsidRPr="00301227">
        <w:rPr>
          <w:b/>
          <w:color w:val="000000" w:themeColor="text1"/>
        </w:rPr>
        <w:t>not</w:t>
      </w:r>
      <w:r w:rsidRPr="00301227">
        <w:rPr>
          <w:color w:val="000000" w:themeColor="text1"/>
        </w:rPr>
        <w:t xml:space="preserve"> be recommended.</w:t>
      </w:r>
    </w:p>
    <w:p w14:paraId="33584121" w14:textId="77777777" w:rsidR="00724E63" w:rsidRPr="00301227" w:rsidRDefault="00724E63" w:rsidP="00724E63">
      <w:pPr>
        <w:spacing w:after="0"/>
        <w:rPr>
          <w:rFonts w:eastAsia="Times New Roman"/>
          <w:color w:val="000000" w:themeColor="text1"/>
          <w:lang w:eastAsia="en-GB"/>
        </w:rPr>
      </w:pPr>
    </w:p>
    <w:p w14:paraId="5BC75B6A" w14:textId="77777777" w:rsidR="00724E63" w:rsidRPr="00F96B08" w:rsidRDefault="00724E63" w:rsidP="00D11DE9">
      <w:pPr>
        <w:pStyle w:val="Heading3"/>
      </w:pPr>
      <w:r w:rsidRPr="00F96B08">
        <w:lastRenderedPageBreak/>
        <w:t>Acute Kidney Injury (AKI</w:t>
      </w:r>
      <w:r>
        <w:t>):</w:t>
      </w:r>
    </w:p>
    <w:p w14:paraId="0A0AE158" w14:textId="77777777" w:rsidR="00724E63" w:rsidRPr="00301227" w:rsidRDefault="00724E63" w:rsidP="00D11DE9">
      <w:r w:rsidRPr="00301227">
        <w:t>Patients with CKD are more likely to develop AKI than the normal population. AKI may also lead to progression of CKD</w:t>
      </w:r>
    </w:p>
    <w:p w14:paraId="5E739115" w14:textId="77777777" w:rsidR="00724E63" w:rsidRPr="00301227" w:rsidRDefault="00724E63" w:rsidP="00D11DE9">
      <w:r w:rsidRPr="00301227">
        <w:t xml:space="preserve">AKI </w:t>
      </w:r>
      <w:r>
        <w:t xml:space="preserve">in the background of CKD should not be managed with diuretics </w:t>
      </w:r>
    </w:p>
    <w:p w14:paraId="1291C19A" w14:textId="77777777" w:rsidR="00724E63" w:rsidRPr="00CC2A2F" w:rsidRDefault="00724E63" w:rsidP="00D11DE9">
      <w:r w:rsidRPr="00301227">
        <w:t>The prognosis is poor for patients with AKI in end stage kidney disease. This is an emergency and should lead to</w:t>
      </w:r>
      <w:r>
        <w:t xml:space="preserve"> an</w:t>
      </w:r>
      <w:r w:rsidRPr="00301227">
        <w:rPr>
          <w:i/>
          <w:iCs/>
        </w:rPr>
        <w:t xml:space="preserve"> </w:t>
      </w:r>
      <w:r w:rsidRPr="00301227">
        <w:t>urgent referral of the patient to EFSTH following stabilisation, or conservative management.</w:t>
      </w:r>
    </w:p>
    <w:p w14:paraId="7CBCE4CB" w14:textId="7127891D" w:rsidR="00724E63" w:rsidRPr="00F96B08" w:rsidRDefault="00724E63" w:rsidP="00D11DE9">
      <w:pPr>
        <w:pStyle w:val="Heading3"/>
      </w:pPr>
      <w:r w:rsidRPr="00F96B08">
        <w:t>Anaemia</w:t>
      </w:r>
    </w:p>
    <w:p w14:paraId="75A23442" w14:textId="77777777" w:rsidR="00724E63" w:rsidRPr="006A2B33" w:rsidRDefault="00724E63" w:rsidP="00D11DE9">
      <w:r w:rsidRPr="00CC2A2F">
        <w:t xml:space="preserve">Iron replacement therapy is often effective in anaemia of CKD. Erythropoietin may be needed in </w:t>
      </w:r>
      <w:r>
        <w:t xml:space="preserve">later </w:t>
      </w:r>
      <w:r w:rsidRPr="00CC2A2F">
        <w:t>stages.</w:t>
      </w:r>
    </w:p>
    <w:p w14:paraId="6ABBB332" w14:textId="409945B8" w:rsidR="00724E63" w:rsidRPr="00F96B08" w:rsidRDefault="00724E63" w:rsidP="00D11DE9">
      <w:pPr>
        <w:pStyle w:val="Heading3"/>
      </w:pPr>
      <w:r w:rsidRPr="00F96B08">
        <w:t>Hypocalcaemia</w:t>
      </w:r>
    </w:p>
    <w:p w14:paraId="3DD682AB" w14:textId="26242E73" w:rsidR="00724E63" w:rsidRPr="00F0319F" w:rsidRDefault="00724E63" w:rsidP="00D11DE9">
      <w:r>
        <w:t xml:space="preserve">Hypocalcaemia in </w:t>
      </w:r>
      <w:r w:rsidRPr="00F0319F">
        <w:t>patients with GFR &lt;</w:t>
      </w:r>
      <w:r w:rsidR="00DA017C">
        <w:t xml:space="preserve"> </w:t>
      </w:r>
      <w:r w:rsidRPr="00F0319F">
        <w:t>30 ml/min/1.73m</w:t>
      </w:r>
      <w:r w:rsidRPr="00F0319F">
        <w:rPr>
          <w:vertAlign w:val="superscript"/>
        </w:rPr>
        <w:t>2</w:t>
      </w:r>
      <w:r w:rsidRPr="00F0319F">
        <w:t xml:space="preserve"> (stage G4 or G5) should be </w:t>
      </w:r>
      <w:r>
        <w:t xml:space="preserve">treated with </w:t>
      </w:r>
      <w:r w:rsidRPr="00F0319F">
        <w:t>cholecalciferol</w:t>
      </w:r>
      <w:r>
        <w:t xml:space="preserve"> as  hypocalcaemia results from Vitamin D deficiency.</w:t>
      </w:r>
    </w:p>
    <w:p w14:paraId="695FBD79" w14:textId="77777777" w:rsidR="00724E63" w:rsidRPr="00514AAC" w:rsidRDefault="00724E63" w:rsidP="00D11DE9">
      <w:pPr>
        <w:pStyle w:val="Heading2"/>
      </w:pPr>
      <w:r w:rsidRPr="00F0319F">
        <w:rPr>
          <w:lang w:eastAsia="en-GB"/>
        </w:rPr>
        <w:t>Referral to EFSTH</w:t>
      </w:r>
    </w:p>
    <w:p w14:paraId="18F4C59E" w14:textId="77777777" w:rsidR="00724E63" w:rsidRPr="00F0319F" w:rsidRDefault="00724E63" w:rsidP="00D11DE9">
      <w:pPr>
        <w:rPr>
          <w:lang w:eastAsia="en-GB"/>
        </w:rPr>
      </w:pPr>
      <w:r w:rsidRPr="00F0319F">
        <w:rPr>
          <w:lang w:eastAsia="en-GB"/>
        </w:rPr>
        <w:t>Referral criteria include:</w:t>
      </w:r>
    </w:p>
    <w:p w14:paraId="014DFF24" w14:textId="5516B19E" w:rsidR="00724E63" w:rsidRPr="00D11DE9" w:rsidRDefault="00724E63" w:rsidP="00D11DE9">
      <w:pPr>
        <w:pStyle w:val="ListParagraph"/>
        <w:numPr>
          <w:ilvl w:val="0"/>
          <w:numId w:val="46"/>
        </w:numPr>
      </w:pPr>
      <w:r w:rsidRPr="00D11DE9">
        <w:t>GFR &lt;</w:t>
      </w:r>
      <w:r w:rsidR="00DA017C">
        <w:t xml:space="preserve"> </w:t>
      </w:r>
      <w:r w:rsidRPr="00D11DE9">
        <w:t>60 ml/min/1.73m</w:t>
      </w:r>
      <w:r w:rsidRPr="00CC4CB9">
        <w:rPr>
          <w:vertAlign w:val="superscript"/>
        </w:rPr>
        <w:t>2</w:t>
      </w:r>
      <w:r w:rsidRPr="00D11DE9">
        <w:t xml:space="preserve"> AND visible/persistent invisible haematuria </w:t>
      </w:r>
    </w:p>
    <w:p w14:paraId="2841B928" w14:textId="62A8D672" w:rsidR="00724E63" w:rsidRPr="00D11DE9" w:rsidRDefault="00724E63" w:rsidP="00D11DE9">
      <w:pPr>
        <w:pStyle w:val="ListParagraph"/>
        <w:numPr>
          <w:ilvl w:val="0"/>
          <w:numId w:val="46"/>
        </w:numPr>
      </w:pPr>
      <w:r w:rsidRPr="00D11DE9">
        <w:t>GFR &lt;</w:t>
      </w:r>
      <w:r w:rsidR="00DA017C">
        <w:t xml:space="preserve"> </w:t>
      </w:r>
      <w:r w:rsidRPr="00D11DE9">
        <w:t>45 ml/min/1.73m</w:t>
      </w:r>
      <w:r w:rsidRPr="00CC4CB9">
        <w:rPr>
          <w:vertAlign w:val="superscript"/>
        </w:rPr>
        <w:t>2</w:t>
      </w:r>
      <w:r w:rsidRPr="00D11DE9">
        <w:t xml:space="preserve"> with at least 1+ proteinuria</w:t>
      </w:r>
    </w:p>
    <w:p w14:paraId="7C690C65" w14:textId="0237C60F" w:rsidR="00724E63" w:rsidRPr="00D11DE9" w:rsidRDefault="00724E63" w:rsidP="00D11DE9">
      <w:pPr>
        <w:pStyle w:val="ListParagraph"/>
        <w:numPr>
          <w:ilvl w:val="0"/>
          <w:numId w:val="46"/>
        </w:numPr>
      </w:pPr>
      <w:r w:rsidRPr="00D11DE9">
        <w:t>GFR &lt;</w:t>
      </w:r>
      <w:r w:rsidR="00DA017C">
        <w:t xml:space="preserve"> </w:t>
      </w:r>
      <w:r w:rsidRPr="00D11DE9">
        <w:t>30 ml/min/1.7</w:t>
      </w:r>
      <w:r w:rsidR="00CC4CB9">
        <w:t>3</w:t>
      </w:r>
      <w:r w:rsidRPr="00D11DE9">
        <w:t>m</w:t>
      </w:r>
      <w:r w:rsidRPr="00CC4CB9">
        <w:rPr>
          <w:vertAlign w:val="superscript"/>
        </w:rPr>
        <w:t>2</w:t>
      </w:r>
      <w:r w:rsidRPr="00D11DE9">
        <w:t xml:space="preserve"> (category G4/G5)</w:t>
      </w:r>
    </w:p>
    <w:p w14:paraId="650D745D" w14:textId="77777777" w:rsidR="00724E63" w:rsidRPr="00D11DE9" w:rsidRDefault="00724E63" w:rsidP="00D11DE9">
      <w:pPr>
        <w:pStyle w:val="ListParagraph"/>
        <w:numPr>
          <w:ilvl w:val="0"/>
          <w:numId w:val="46"/>
        </w:numPr>
      </w:pPr>
      <w:r w:rsidRPr="00D11DE9">
        <w:t>Sustained decrease in GFR of &gt; 15 ml/min/1.73m</w:t>
      </w:r>
      <w:r w:rsidRPr="00CC4CB9">
        <w:rPr>
          <w:vertAlign w:val="superscript"/>
        </w:rPr>
        <w:t>2</w:t>
      </w:r>
      <w:r w:rsidRPr="00D11DE9">
        <w:t xml:space="preserve"> over 12 months</w:t>
      </w:r>
    </w:p>
    <w:p w14:paraId="50360B25" w14:textId="77777777" w:rsidR="00724E63" w:rsidRPr="00D11DE9" w:rsidRDefault="00724E63" w:rsidP="00D11DE9">
      <w:pPr>
        <w:pStyle w:val="ListParagraph"/>
        <w:numPr>
          <w:ilvl w:val="0"/>
          <w:numId w:val="46"/>
        </w:numPr>
      </w:pPr>
      <w:r w:rsidRPr="00D11DE9">
        <w:t>Sustained decrease of 25% in GFR and a change in GFR category within 12 months</w:t>
      </w:r>
    </w:p>
    <w:p w14:paraId="445671D8" w14:textId="77777777" w:rsidR="00724E63" w:rsidRPr="00D11DE9" w:rsidRDefault="00724E63" w:rsidP="00D11DE9">
      <w:pPr>
        <w:pStyle w:val="ListParagraph"/>
        <w:numPr>
          <w:ilvl w:val="0"/>
          <w:numId w:val="46"/>
        </w:numPr>
      </w:pPr>
      <w:r w:rsidRPr="00D11DE9">
        <w:t>Suspected genetic or rare causes of CKD</w:t>
      </w:r>
    </w:p>
    <w:p w14:paraId="435A386C" w14:textId="77777777" w:rsidR="00724E63" w:rsidRPr="00D11DE9" w:rsidRDefault="00724E63" w:rsidP="00D11DE9">
      <w:pPr>
        <w:pStyle w:val="ListParagraph"/>
        <w:numPr>
          <w:ilvl w:val="0"/>
          <w:numId w:val="46"/>
        </w:numPr>
      </w:pPr>
      <w:r w:rsidRPr="00D11DE9">
        <w:t>Suspected renal artery stenosis</w:t>
      </w:r>
    </w:p>
    <w:p w14:paraId="77334F9D" w14:textId="77777777" w:rsidR="00724E63" w:rsidRPr="00D11DE9" w:rsidRDefault="00724E63" w:rsidP="00D11DE9">
      <w:pPr>
        <w:pStyle w:val="ListParagraph"/>
        <w:numPr>
          <w:ilvl w:val="0"/>
          <w:numId w:val="46"/>
        </w:numPr>
      </w:pPr>
      <w:r w:rsidRPr="00D11DE9">
        <w:t>AKI with a background of End Stage CKD (emergency)</w:t>
      </w:r>
    </w:p>
    <w:p w14:paraId="068225B6" w14:textId="77777777" w:rsidR="00724E63" w:rsidRPr="00D11DE9" w:rsidRDefault="00724E63" w:rsidP="00D11DE9">
      <w:pPr>
        <w:pStyle w:val="ListParagraph"/>
        <w:numPr>
          <w:ilvl w:val="0"/>
          <w:numId w:val="46"/>
        </w:numPr>
      </w:pPr>
      <w:r w:rsidRPr="00D11DE9">
        <w:t>Uraemic features such as gastritis, pericarditis, pleuritis and encephalopathy</w:t>
      </w:r>
    </w:p>
    <w:p w14:paraId="49ED6B58" w14:textId="77777777" w:rsidR="00724E63" w:rsidRPr="00D11DE9" w:rsidRDefault="00724E63" w:rsidP="00D11DE9">
      <w:pPr>
        <w:pStyle w:val="ListParagraph"/>
        <w:numPr>
          <w:ilvl w:val="0"/>
          <w:numId w:val="46"/>
        </w:numPr>
      </w:pPr>
      <w:r w:rsidRPr="00D11DE9">
        <w:t>CKD and Hypertension refractory to treatment with 4 or more antihypertensive agents</w:t>
      </w:r>
    </w:p>
    <w:p w14:paraId="343BD999" w14:textId="77777777" w:rsidR="00724E63" w:rsidRPr="00D11DE9" w:rsidRDefault="00724E63" w:rsidP="00D11DE9">
      <w:pPr>
        <w:pStyle w:val="ListParagraph"/>
        <w:numPr>
          <w:ilvl w:val="0"/>
          <w:numId w:val="46"/>
        </w:numPr>
      </w:pPr>
      <w:r w:rsidRPr="00D11DE9">
        <w:t>Nephrolithiasis</w:t>
      </w:r>
    </w:p>
    <w:p w14:paraId="7717991F" w14:textId="53148BB2" w:rsidR="00724E63" w:rsidRPr="00D11DE9" w:rsidRDefault="00724E63" w:rsidP="00D11DE9">
      <w:pPr>
        <w:pStyle w:val="ListParagraph"/>
        <w:numPr>
          <w:ilvl w:val="0"/>
          <w:numId w:val="46"/>
        </w:numPr>
      </w:pPr>
      <w:r w:rsidRPr="00D11DE9">
        <w:t>Persistent abnormalities in serum potassium</w:t>
      </w:r>
      <w:r w:rsidR="00D11DE9" w:rsidRPr="00D11DE9">
        <w:t>.</w:t>
      </w:r>
    </w:p>
    <w:p w14:paraId="5F5A3298" w14:textId="77777777" w:rsidR="00724E63" w:rsidRPr="00CC2A2F" w:rsidRDefault="00724E63" w:rsidP="00D11DE9">
      <w:pPr>
        <w:rPr>
          <w:lang w:eastAsia="en-GB"/>
        </w:rPr>
      </w:pPr>
      <w:r w:rsidRPr="00CC2A2F">
        <w:rPr>
          <w:lang w:eastAsia="en-GB"/>
        </w:rPr>
        <w:t>Referral should be made to EFSTH Nephrologist via the Accident and Emergency Department.</w:t>
      </w:r>
    </w:p>
    <w:p w14:paraId="2253E6A2" w14:textId="77777777" w:rsidR="00724E63" w:rsidRPr="00CC2A2F" w:rsidRDefault="00724E63" w:rsidP="00D11DE9">
      <w:pPr>
        <w:pStyle w:val="ListParagraph"/>
        <w:numPr>
          <w:ilvl w:val="0"/>
          <w:numId w:val="45"/>
        </w:numPr>
      </w:pPr>
      <w:r w:rsidRPr="00CC2A2F">
        <w:t>Stabilise medical conditions such as hyperkalaemia, uraemic symptoms, acidosis and fluid overload before ambulance transfer.</w:t>
      </w:r>
    </w:p>
    <w:p w14:paraId="07C3A088" w14:textId="77777777" w:rsidR="00724E63" w:rsidRDefault="00724E63" w:rsidP="00D11DE9">
      <w:pPr>
        <w:pStyle w:val="ListParagraph"/>
        <w:numPr>
          <w:ilvl w:val="0"/>
          <w:numId w:val="45"/>
        </w:numPr>
      </w:pPr>
      <w:r w:rsidRPr="00CC2A2F">
        <w:t xml:space="preserve">If possible, address correspondence to EFSTH renal physicians for referral and long-term management plan. </w:t>
      </w:r>
    </w:p>
    <w:p w14:paraId="42E4A43E" w14:textId="77777777" w:rsidR="00D11DE9" w:rsidRDefault="00D11DE9">
      <w:pPr>
        <w:spacing w:after="0"/>
        <w:outlineLvl w:val="9"/>
        <w:rPr>
          <w:b/>
          <w:sz w:val="24"/>
          <w:szCs w:val="22"/>
        </w:rPr>
      </w:pPr>
      <w:r>
        <w:rPr>
          <w:szCs w:val="22"/>
        </w:rPr>
        <w:br w:type="page"/>
      </w:r>
    </w:p>
    <w:p w14:paraId="38B354E3" w14:textId="08821D36" w:rsidR="00D11DE9" w:rsidRDefault="00403241">
      <w:pPr>
        <w:spacing w:after="0"/>
        <w:outlineLvl w:val="9"/>
        <w:rPr>
          <w:szCs w:val="22"/>
        </w:rPr>
      </w:pPr>
      <w:r>
        <w:rPr>
          <w:noProof/>
          <w:szCs w:val="22"/>
          <w:lang w:val="en-GB" w:eastAsia="en-GB"/>
        </w:rPr>
        <w:lastRenderedPageBreak/>
        <w:drawing>
          <wp:inline distT="0" distB="0" distL="0" distR="0" wp14:anchorId="02A74676" wp14:editId="51ADEDA1">
            <wp:extent cx="5486400" cy="48869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kd_image00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886960"/>
                    </a:xfrm>
                    <a:prstGeom prst="rect">
                      <a:avLst/>
                    </a:prstGeom>
                  </pic:spPr>
                </pic:pic>
              </a:graphicData>
            </a:graphic>
          </wp:inline>
        </w:drawing>
      </w:r>
    </w:p>
    <w:p w14:paraId="02A84142" w14:textId="2085E8F3" w:rsidR="00D11DE9" w:rsidRDefault="00D11DE9">
      <w:pPr>
        <w:spacing w:after="0"/>
        <w:outlineLvl w:val="9"/>
        <w:rPr>
          <w:szCs w:val="22"/>
        </w:rPr>
      </w:pPr>
    </w:p>
    <w:p w14:paraId="1544CEFE" w14:textId="4FC79E6B" w:rsidR="00D11DE9" w:rsidRDefault="00D11DE9">
      <w:pPr>
        <w:spacing w:after="0"/>
        <w:outlineLvl w:val="9"/>
        <w:rPr>
          <w:b/>
          <w:sz w:val="24"/>
          <w:szCs w:val="22"/>
        </w:rPr>
      </w:pPr>
      <w:bookmarkStart w:id="0" w:name="_GoBack"/>
      <w:bookmarkEnd w:id="0"/>
      <w:r w:rsidRPr="006A2B33">
        <w:rPr>
          <w:noProof/>
          <w:color w:val="000000" w:themeColor="text1"/>
          <w:sz w:val="24"/>
          <w:lang w:val="en-GB" w:eastAsia="en-GB"/>
        </w:rPr>
        <mc:AlternateContent>
          <mc:Choice Requires="wps">
            <w:drawing>
              <wp:anchor distT="0" distB="0" distL="114300" distR="114300" simplePos="0" relativeHeight="251665408" behindDoc="0" locked="0" layoutInCell="1" allowOverlap="1" wp14:anchorId="152E1413" wp14:editId="3815554D">
                <wp:simplePos x="0" y="0"/>
                <wp:positionH relativeFrom="margin">
                  <wp:posOffset>1702192</wp:posOffset>
                </wp:positionH>
                <wp:positionV relativeFrom="paragraph">
                  <wp:posOffset>4218836</wp:posOffset>
                </wp:positionV>
                <wp:extent cx="914400" cy="265430"/>
                <wp:effectExtent l="0" t="0" r="0" b="0"/>
                <wp:wrapNone/>
                <wp:docPr id="5" name="Rectangle 5"/>
                <wp:cNvGraphicFramePr/>
                <a:graphic xmlns:a="http://schemas.openxmlformats.org/drawingml/2006/main">
                  <a:graphicData uri="http://schemas.microsoft.com/office/word/2010/wordprocessingShape">
                    <wps:wsp>
                      <wps:cNvSpPr/>
                      <wps:spPr>
                        <a:xfrm rot="5400000">
                          <a:off x="0" y="0"/>
                          <a:ext cx="914400" cy="2654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CB8933" w14:textId="69A581F8" w:rsidR="00D11DE9" w:rsidRDefault="00D11DE9" w:rsidP="00D11DE9">
                            <w:pPr>
                              <w:jc w:val="center"/>
                            </w:pPr>
                            <w:r>
                              <w:t>NO</w:t>
                            </w:r>
                          </w:p>
                          <w:p w14:paraId="2850B42B" w14:textId="3B1CA545" w:rsidR="00D11DE9" w:rsidRDefault="00D11DE9" w:rsidP="00D11DE9">
                            <w:pPr>
                              <w:jc w:val="center"/>
                            </w:pPr>
                          </w:p>
                          <w:p w14:paraId="54FD2520" w14:textId="4C883D54" w:rsidR="00D11DE9" w:rsidRDefault="00D11DE9" w:rsidP="00D11DE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2E1413" id="Rectangle 5" o:spid="_x0000_s1026" style="position:absolute;margin-left:134.05pt;margin-top:332.2pt;width:1in;height:20.9pt;rotation:90;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" filled="f" stroked="f" strokeweight="2pt">
                <v:textbox>
                  <w:txbxContent>
                    <w:p w14:paraId="65CB8933" w14:textId="69A581F8" w:rsidR="00D11DE9" w:rsidRDefault="00D11DE9" w:rsidP="00D11DE9">
                      <w:pPr>
                        <w:jc w:val="center"/>
                      </w:pPr>
                      <w:r>
                        <w:t>NO</w:t>
                      </w:r>
                    </w:p>
                    <w:p w14:paraId="2850B42B" w14:textId="3B1CA545" w:rsidR="00D11DE9" w:rsidRDefault="00D11DE9" w:rsidP="00D11DE9">
                      <w:pPr>
                        <w:jc w:val="center"/>
                      </w:pPr>
                    </w:p>
                    <w:p w14:paraId="54FD2520" w14:textId="4C883D54" w:rsidR="00D11DE9" w:rsidRDefault="00D11DE9" w:rsidP="00D11DE9">
                      <w:pPr>
                        <w:jc w:val="center"/>
                      </w:pPr>
                      <w:r>
                        <w:t>NO</w:t>
                      </w:r>
                    </w:p>
                  </w:txbxContent>
                </v:textbox>
                <w10:wrap anchorx="margin"/>
              </v:rect>
            </w:pict>
          </mc:Fallback>
        </mc:AlternateContent>
      </w:r>
      <w:r w:rsidRPr="006A2B33">
        <w:rPr>
          <w:noProof/>
          <w:color w:val="000000" w:themeColor="text1"/>
          <w:sz w:val="24"/>
          <w:lang w:val="en-GB" w:eastAsia="en-GB"/>
        </w:rPr>
        <mc:AlternateContent>
          <mc:Choice Requires="wps">
            <w:drawing>
              <wp:anchor distT="0" distB="0" distL="114300" distR="114300" simplePos="0" relativeHeight="251663360" behindDoc="0" locked="0" layoutInCell="1" allowOverlap="1" wp14:anchorId="52791BBC" wp14:editId="67EC0D6A">
                <wp:simplePos x="0" y="0"/>
                <wp:positionH relativeFrom="margin">
                  <wp:posOffset>1343025</wp:posOffset>
                </wp:positionH>
                <wp:positionV relativeFrom="paragraph">
                  <wp:posOffset>4201088</wp:posOffset>
                </wp:positionV>
                <wp:extent cx="914400" cy="265430"/>
                <wp:effectExtent l="0" t="0" r="0" b="0"/>
                <wp:wrapNone/>
                <wp:docPr id="34" name="Rectangle 34"/>
                <wp:cNvGraphicFramePr/>
                <a:graphic xmlns:a="http://schemas.openxmlformats.org/drawingml/2006/main">
                  <a:graphicData uri="http://schemas.microsoft.com/office/word/2010/wordprocessingShape">
                    <wps:wsp>
                      <wps:cNvSpPr/>
                      <wps:spPr>
                        <a:xfrm rot="5400000">
                          <a:off x="0" y="0"/>
                          <a:ext cx="914400" cy="2654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36606" w14:textId="77777777" w:rsidR="00D11DE9" w:rsidRDefault="00D11DE9" w:rsidP="00D11DE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791BBC" id="Rectangle 34" o:spid="_x0000_s1052" style="position:absolute;margin-left:105.75pt;margin-top:330.8pt;width:1in;height:20.9pt;rotation:90;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" filled="f" stroked="f" strokeweight="2pt">
                <v:textbox>
                  <w:txbxContent>
                    <w:p w14:paraId="4D836606" w14:textId="77777777" w:rsidR="00D11DE9" w:rsidRDefault="00D11DE9" w:rsidP="00D11DE9">
                      <w:pPr>
                        <w:jc w:val="center"/>
                      </w:pPr>
                      <w:r>
                        <w:t>YES</w:t>
                      </w:r>
                    </w:p>
                  </w:txbxContent>
                </v:textbox>
                <w10:wrap anchorx="margin"/>
              </v:rect>
            </w:pict>
          </mc:Fallback>
        </mc:AlternateContent>
      </w:r>
      <w:r w:rsidRPr="006A2B33">
        <w:rPr>
          <w:noProof/>
          <w:color w:val="000000" w:themeColor="text1"/>
          <w:sz w:val="24"/>
          <w:lang w:val="en-GB" w:eastAsia="en-GB"/>
        </w:rPr>
        <mc:AlternateContent>
          <mc:Choice Requires="wps">
            <w:drawing>
              <wp:anchor distT="0" distB="0" distL="114300" distR="114300" simplePos="0" relativeHeight="251661312" behindDoc="0" locked="0" layoutInCell="1" allowOverlap="1" wp14:anchorId="728570AF" wp14:editId="79B4E124">
                <wp:simplePos x="0" y="0"/>
                <wp:positionH relativeFrom="margin">
                  <wp:posOffset>3823822</wp:posOffset>
                </wp:positionH>
                <wp:positionV relativeFrom="paragraph">
                  <wp:posOffset>2455246</wp:posOffset>
                </wp:positionV>
                <wp:extent cx="1010286" cy="265430"/>
                <wp:effectExtent l="0" t="0" r="0" b="0"/>
                <wp:wrapNone/>
                <wp:docPr id="33" name="Rectangle 33"/>
                <wp:cNvGraphicFramePr/>
                <a:graphic xmlns:a="http://schemas.openxmlformats.org/drawingml/2006/main">
                  <a:graphicData uri="http://schemas.microsoft.com/office/word/2010/wordprocessingShape">
                    <wps:wsp>
                      <wps:cNvSpPr/>
                      <wps:spPr>
                        <a:xfrm rot="5400000">
                          <a:off x="0" y="0"/>
                          <a:ext cx="1010286" cy="2654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19D2E" w14:textId="77777777" w:rsidR="00D11DE9" w:rsidRPr="00116A8A" w:rsidRDefault="00D11DE9" w:rsidP="00D11DE9">
                            <w:pPr>
                              <w:jc w:val="center"/>
                              <w:rPr>
                                <w:sz w:val="20"/>
                              </w:rPr>
                            </w:pPr>
                            <w:r w:rsidRPr="00116A8A">
                              <w:rPr>
                                <w:sz w:val="20"/>
                              </w:rPr>
                              <w:t>ABNORMAL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8570AF" id="Rectangle 33" o:spid="_x0000_s1053" style="position:absolute;margin-left:301.1pt;margin-top:193.35pt;width:79.55pt;height:20.9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" filled="f" stroked="f" strokeweight="2pt">
                <v:textbox>
                  <w:txbxContent>
                    <w:p w14:paraId="56819D2E" w14:textId="77777777" w:rsidR="00D11DE9" w:rsidRPr="00116A8A" w:rsidRDefault="00D11DE9" w:rsidP="00D11DE9">
                      <w:pPr>
                        <w:jc w:val="center"/>
                        <w:rPr>
                          <w:sz w:val="20"/>
                        </w:rPr>
                      </w:pPr>
                      <w:r w:rsidRPr="00116A8A">
                        <w:rPr>
                          <w:sz w:val="20"/>
                        </w:rPr>
                        <w:t>ABNORMAL</w:t>
                      </w:r>
                    </w:p>
                  </w:txbxContent>
                </v:textbox>
                <w10:wrap anchorx="margin"/>
              </v:rect>
            </w:pict>
          </mc:Fallback>
        </mc:AlternateContent>
      </w:r>
      <w:r>
        <w:rPr>
          <w:szCs w:val="22"/>
        </w:rPr>
        <w:br w:type="page"/>
      </w:r>
    </w:p>
    <w:p w14:paraId="4FC1A408" w14:textId="07424B06" w:rsidR="00F03F25" w:rsidRPr="003C0800" w:rsidRDefault="00F03F25" w:rsidP="00F03F25">
      <w:pPr>
        <w:pStyle w:val="Heading2"/>
        <w:rPr>
          <w:rFonts w:cs="Arial"/>
          <w:szCs w:val="22"/>
        </w:rPr>
      </w:pPr>
      <w:r w:rsidRPr="003C0800">
        <w:rPr>
          <w:rFonts w:cs="Arial"/>
          <w:szCs w:val="22"/>
        </w:rPr>
        <w:lastRenderedPageBreak/>
        <w:t>Key Issues for Nursing care</w:t>
      </w:r>
    </w:p>
    <w:p w14:paraId="33ACDE54" w14:textId="04E87F04" w:rsidR="00D11DE9" w:rsidRPr="00CC2A2F" w:rsidRDefault="00D11DE9" w:rsidP="00D11DE9">
      <w:pPr>
        <w:pStyle w:val="ListParagraph"/>
        <w:numPr>
          <w:ilvl w:val="0"/>
          <w:numId w:val="44"/>
        </w:numPr>
      </w:pPr>
      <w:r w:rsidRPr="00CC2A2F">
        <w:t>Monitoring of urine output is essential.</w:t>
      </w:r>
    </w:p>
    <w:p w14:paraId="09D9FED5" w14:textId="77777777" w:rsidR="00D11DE9" w:rsidRPr="00CC2A2F" w:rsidRDefault="00D11DE9" w:rsidP="00D11DE9">
      <w:pPr>
        <w:pStyle w:val="ListParagraph"/>
        <w:numPr>
          <w:ilvl w:val="0"/>
          <w:numId w:val="44"/>
        </w:numPr>
      </w:pPr>
      <w:r w:rsidRPr="00CC2A2F">
        <w:t>Daily review of fluid management.</w:t>
      </w:r>
    </w:p>
    <w:p w14:paraId="0B11DB58" w14:textId="77777777" w:rsidR="00D11DE9" w:rsidRDefault="00D11DE9" w:rsidP="00D11DE9">
      <w:pPr>
        <w:pStyle w:val="ListParagraph"/>
        <w:numPr>
          <w:ilvl w:val="0"/>
          <w:numId w:val="44"/>
        </w:numPr>
      </w:pPr>
      <w:r w:rsidRPr="00CC2A2F">
        <w:t>Oral intake is encouraged.</w:t>
      </w:r>
    </w:p>
    <w:p w14:paraId="471867A8" w14:textId="77777777" w:rsidR="00D11DE9" w:rsidRPr="00CC2A2F" w:rsidRDefault="00D11DE9" w:rsidP="00D11DE9">
      <w:pPr>
        <w:pStyle w:val="ListParagraph"/>
        <w:numPr>
          <w:ilvl w:val="0"/>
          <w:numId w:val="44"/>
        </w:numPr>
      </w:pPr>
      <w:r w:rsidRPr="00CC2A2F">
        <w:t>Good skin care should be practiced in patients with peripheral oedema.</w:t>
      </w:r>
    </w:p>
    <w:p w14:paraId="0E4D63B6" w14:textId="77777777" w:rsidR="00D11DE9" w:rsidRPr="00CC2A2F" w:rsidRDefault="00D11DE9" w:rsidP="00D11DE9">
      <w:pPr>
        <w:pStyle w:val="ListParagraph"/>
        <w:numPr>
          <w:ilvl w:val="0"/>
          <w:numId w:val="44"/>
        </w:numPr>
      </w:pPr>
      <w:r w:rsidRPr="00CC2A2F">
        <w:t>Patient mobility and self-care should be actively encouraged.</w:t>
      </w:r>
    </w:p>
    <w:p w14:paraId="52BEAF48" w14:textId="2C5EEF52" w:rsidR="002A2856" w:rsidRDefault="00D11DE9" w:rsidP="00D11DE9">
      <w:pPr>
        <w:pStyle w:val="ListParagraph"/>
        <w:numPr>
          <w:ilvl w:val="0"/>
          <w:numId w:val="44"/>
        </w:numPr>
        <w:rPr>
          <w:b/>
          <w:szCs w:val="22"/>
        </w:rPr>
      </w:pPr>
      <w:r w:rsidRPr="00CC2A2F">
        <w:t>Patients should continue to eat a balanced diet, and certain foods containing high amounts of potassium, such as bananas should be avoided.</w:t>
      </w:r>
    </w:p>
    <w:p w14:paraId="4574306E" w14:textId="77777777" w:rsidR="00D11DE9" w:rsidRPr="00D11DE9" w:rsidRDefault="00D11DE9" w:rsidP="00D11DE9">
      <w:pPr>
        <w:pStyle w:val="Heading2"/>
      </w:pPr>
      <w:r w:rsidRPr="00D11DE9">
        <w:t>References</w:t>
      </w:r>
    </w:p>
    <w:p w14:paraId="1572BF22" w14:textId="77777777" w:rsidR="00D11DE9" w:rsidRPr="00D11DE9" w:rsidRDefault="00D11DE9" w:rsidP="00D11DE9">
      <w:pPr>
        <w:rPr>
          <w:color w:val="000000" w:themeColor="text1"/>
          <w:sz w:val="20"/>
          <w:szCs w:val="20"/>
          <w:lang w:val="en"/>
        </w:rPr>
      </w:pPr>
      <w:r w:rsidRPr="00D11DE9">
        <w:rPr>
          <w:color w:val="000000" w:themeColor="text1"/>
          <w:sz w:val="20"/>
          <w:szCs w:val="20"/>
          <w:lang w:val="en"/>
        </w:rPr>
        <w:t>Kerr M, Bray B, Medcalf J et al. (2012) Estimating the financial cost of chronic kidney disease to the NHS in England. Nephrology Dialysis Transplantation. 27 (Suppl. 3): iii73–80]</w:t>
      </w:r>
    </w:p>
    <w:p w14:paraId="6E1B46A7" w14:textId="77777777" w:rsidR="00D11DE9" w:rsidRPr="00D11DE9" w:rsidRDefault="00D11DE9" w:rsidP="00D11DE9">
      <w:pPr>
        <w:rPr>
          <w:color w:val="000000" w:themeColor="text1"/>
          <w:sz w:val="20"/>
          <w:szCs w:val="20"/>
        </w:rPr>
      </w:pPr>
      <w:r w:rsidRPr="00D11DE9">
        <w:rPr>
          <w:color w:val="000000" w:themeColor="text1"/>
          <w:sz w:val="20"/>
          <w:szCs w:val="20"/>
          <w:lang w:val="en"/>
        </w:rPr>
        <w:t xml:space="preserve">National Institute for Health and Care Excellence (2015) </w:t>
      </w:r>
      <w:r w:rsidRPr="00D11DE9">
        <w:rPr>
          <w:i/>
          <w:color w:val="000000" w:themeColor="text1"/>
          <w:sz w:val="20"/>
          <w:szCs w:val="20"/>
          <w:lang w:val="en"/>
        </w:rPr>
        <w:t xml:space="preserve">Chronic kidney disease in adults: assessment and management </w:t>
      </w:r>
      <w:r w:rsidRPr="00D11DE9">
        <w:rPr>
          <w:color w:val="000000" w:themeColor="text1"/>
          <w:sz w:val="20"/>
          <w:szCs w:val="20"/>
          <w:lang w:val="en"/>
        </w:rPr>
        <w:t xml:space="preserve">Clinical guideline [CG182] (available at </w:t>
      </w:r>
      <w:hyperlink r:id="rId9">
        <w:r w:rsidRPr="00D11DE9">
          <w:rPr>
            <w:rStyle w:val="InternetLink"/>
            <w:color w:val="000000" w:themeColor="text1"/>
            <w:sz w:val="20"/>
            <w:szCs w:val="20"/>
            <w:lang w:val="en"/>
          </w:rPr>
          <w:t>https://www.nice.org.uk/guidance/cg182 accessed 1/11/18</w:t>
        </w:r>
      </w:hyperlink>
      <w:r w:rsidRPr="00D11DE9">
        <w:rPr>
          <w:color w:val="000000" w:themeColor="text1"/>
          <w:sz w:val="20"/>
          <w:szCs w:val="20"/>
          <w:lang w:val="en"/>
        </w:rPr>
        <w:t>)</w:t>
      </w:r>
    </w:p>
    <w:p w14:paraId="27726390" w14:textId="77777777" w:rsidR="00D11DE9" w:rsidRPr="00D11DE9" w:rsidRDefault="00D11DE9" w:rsidP="00D11DE9">
      <w:pPr>
        <w:rPr>
          <w:color w:val="000000" w:themeColor="text1"/>
          <w:sz w:val="20"/>
          <w:szCs w:val="20"/>
        </w:rPr>
      </w:pPr>
      <w:r w:rsidRPr="00D11DE9">
        <w:rPr>
          <w:color w:val="000000" w:themeColor="text1"/>
          <w:sz w:val="20"/>
          <w:szCs w:val="20"/>
          <w:lang w:val="en"/>
        </w:rPr>
        <w:t xml:space="preserve">Kidney disease improving global outcomes (KDIGO): 2012 Clinical Practice Guideline for the Evaluation and Management of Chronic Kidney Disease. (available at </w:t>
      </w:r>
      <w:hyperlink r:id="rId10">
        <w:r w:rsidRPr="00D11DE9">
          <w:rPr>
            <w:rStyle w:val="InternetLink"/>
            <w:color w:val="000000" w:themeColor="text1"/>
            <w:sz w:val="20"/>
            <w:szCs w:val="20"/>
            <w:lang w:val="en"/>
          </w:rPr>
          <w:t>http://www.kdigo.org/clinical_practice_guidelines/pdf/CKD/KDIGO_2012_CKD_GL.pdf</w:t>
        </w:r>
      </w:hyperlink>
      <w:r w:rsidRPr="00D11DE9">
        <w:rPr>
          <w:color w:val="000000" w:themeColor="text1"/>
          <w:sz w:val="20"/>
          <w:szCs w:val="20"/>
          <w:lang w:val="en"/>
        </w:rPr>
        <w:t xml:space="preserve"> (accessed 1/11/18)</w:t>
      </w:r>
    </w:p>
    <w:p w14:paraId="6A625E8E" w14:textId="77777777" w:rsidR="00D11DE9" w:rsidRPr="00D11DE9" w:rsidRDefault="00D11DE9" w:rsidP="00D11DE9">
      <w:pPr>
        <w:rPr>
          <w:color w:val="000000" w:themeColor="text1"/>
          <w:sz w:val="20"/>
          <w:szCs w:val="20"/>
        </w:rPr>
      </w:pPr>
      <w:r w:rsidRPr="00D11DE9">
        <w:rPr>
          <w:color w:val="000000" w:themeColor="text1"/>
          <w:sz w:val="20"/>
          <w:szCs w:val="20"/>
        </w:rPr>
        <w:t xml:space="preserve">Rule AD, Larson TS, Bergstralh EJ, et al; Using serum creatinine to estimate glomerular filtration rate: accuracy in good health and in chronic kidney disease. Ann Intern Med. 2004 Dec 21;141(12):929-37. </w:t>
      </w:r>
    </w:p>
    <w:p w14:paraId="5AD26638" w14:textId="77777777" w:rsidR="00D11DE9" w:rsidRPr="00D11DE9" w:rsidRDefault="00D11DE9" w:rsidP="00D11DE9">
      <w:pPr>
        <w:rPr>
          <w:color w:val="000000" w:themeColor="text1"/>
          <w:sz w:val="20"/>
          <w:szCs w:val="20"/>
        </w:rPr>
      </w:pPr>
      <w:r w:rsidRPr="00D11DE9">
        <w:rPr>
          <w:color w:val="000000" w:themeColor="text1"/>
          <w:sz w:val="20"/>
          <w:szCs w:val="20"/>
        </w:rPr>
        <w:t>Levey AS et al; A new equation to estimate glomerular filtration rate. Ann Intern Med. 2009 May 5;150(9):604-12.</w:t>
      </w:r>
    </w:p>
    <w:p w14:paraId="54A85D1E" w14:textId="77777777" w:rsidR="00D11DE9" w:rsidRPr="00D11DE9" w:rsidRDefault="00D11DE9" w:rsidP="00D11DE9">
      <w:pPr>
        <w:rPr>
          <w:color w:val="000000" w:themeColor="text1"/>
          <w:sz w:val="20"/>
          <w:szCs w:val="20"/>
        </w:rPr>
      </w:pPr>
      <w:r w:rsidRPr="00D11DE9">
        <w:rPr>
          <w:color w:val="000000" w:themeColor="text1"/>
          <w:sz w:val="20"/>
          <w:szCs w:val="20"/>
        </w:rPr>
        <w:t>Inker LA et al; Estimating glomerular filtration rate from serum creatinine and cystatin C. N Engl J Med. 2012 Jul 5;367(1):20-9. doi: 10.1056/NEJMoa1114248.</w:t>
      </w:r>
    </w:p>
    <w:p w14:paraId="5A091B84" w14:textId="77777777" w:rsidR="00D11DE9" w:rsidRPr="00D11DE9" w:rsidRDefault="00D11DE9" w:rsidP="00D11DE9">
      <w:pPr>
        <w:rPr>
          <w:color w:val="000000" w:themeColor="text1"/>
          <w:sz w:val="20"/>
          <w:szCs w:val="20"/>
        </w:rPr>
      </w:pPr>
      <w:r w:rsidRPr="00D11DE9">
        <w:rPr>
          <w:color w:val="000000" w:themeColor="text1"/>
          <w:sz w:val="20"/>
          <w:szCs w:val="20"/>
        </w:rPr>
        <w:t>Boulware LE, Jaar BG, Tarver-Carr ME et al. Screening for proteinuria in US adults: a cost-effectiveness analysis. JAMA 2003; 290: 3101–3114.</w:t>
      </w:r>
    </w:p>
    <w:p w14:paraId="2A718C11" w14:textId="77777777" w:rsidR="00D11DE9" w:rsidRPr="00D11DE9" w:rsidRDefault="00D11DE9" w:rsidP="00D11DE9">
      <w:pPr>
        <w:rPr>
          <w:color w:val="000000" w:themeColor="text1"/>
          <w:sz w:val="20"/>
          <w:szCs w:val="20"/>
        </w:rPr>
      </w:pPr>
      <w:r w:rsidRPr="00D11DE9">
        <w:rPr>
          <w:color w:val="000000" w:themeColor="text1"/>
          <w:sz w:val="20"/>
          <w:szCs w:val="20"/>
        </w:rPr>
        <w:t>White SL, Yu R, Craig JC et al. Diagnostic accuracy of urine dipsticks for detection of albuminuria in the general community. Am J Kidney Dis 2011; 58: 19–28.</w:t>
      </w:r>
    </w:p>
    <w:p w14:paraId="61173E57" w14:textId="77777777" w:rsidR="00D11DE9" w:rsidRPr="00D11DE9" w:rsidRDefault="00D11DE9" w:rsidP="00D11DE9">
      <w:pPr>
        <w:rPr>
          <w:color w:val="000000" w:themeColor="text1"/>
          <w:sz w:val="20"/>
          <w:szCs w:val="20"/>
        </w:rPr>
      </w:pPr>
      <w:r w:rsidRPr="00D11DE9">
        <w:rPr>
          <w:color w:val="000000" w:themeColor="text1"/>
          <w:sz w:val="20"/>
          <w:szCs w:val="20"/>
        </w:rPr>
        <w:t>Lamb EJ, MacKenzie F, Stevens PE. How should proteinuria be detected and measured? Ann Clin Biochem 2009; 46: 205–217.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D11DE9" w:rsidRPr="0087649F" w14:paraId="1D9796F6" w14:textId="77777777" w:rsidTr="0077499D">
        <w:trPr>
          <w:trHeight w:val="20"/>
        </w:trPr>
        <w:tc>
          <w:tcPr>
            <w:tcW w:w="2139" w:type="dxa"/>
            <w:tcBorders>
              <w:top w:val="single" w:sz="4" w:space="0" w:color="auto"/>
              <w:left w:val="single" w:sz="4" w:space="0" w:color="auto"/>
              <w:bottom w:val="single" w:sz="4" w:space="0" w:color="auto"/>
              <w:right w:val="single" w:sz="4" w:space="0" w:color="auto"/>
            </w:tcBorders>
            <w:vAlign w:val="bottom"/>
            <w:hideMark/>
          </w:tcPr>
          <w:p w14:paraId="53BF8B76" w14:textId="77777777" w:rsidR="00D11DE9" w:rsidRPr="006A2B33" w:rsidRDefault="00D11DE9" w:rsidP="0077499D">
            <w:pPr>
              <w:spacing w:after="0"/>
              <w:rPr>
                <w:b/>
                <w:color w:val="000000" w:themeColor="text1"/>
              </w:rPr>
            </w:pPr>
            <w:r w:rsidRPr="006A2B33">
              <w:rPr>
                <w:b/>
                <w:color w:val="000000" w:themeColor="text1"/>
              </w:rPr>
              <w:t>Written by:</w:t>
            </w:r>
          </w:p>
        </w:tc>
        <w:tc>
          <w:tcPr>
            <w:tcW w:w="3622" w:type="dxa"/>
            <w:tcBorders>
              <w:top w:val="single" w:sz="4" w:space="0" w:color="auto"/>
              <w:left w:val="single" w:sz="4" w:space="0" w:color="auto"/>
              <w:bottom w:val="single" w:sz="4" w:space="0" w:color="auto"/>
              <w:right w:val="single" w:sz="4" w:space="0" w:color="auto"/>
            </w:tcBorders>
            <w:vAlign w:val="bottom"/>
            <w:hideMark/>
          </w:tcPr>
          <w:p w14:paraId="7656115E" w14:textId="77777777" w:rsidR="00D11DE9" w:rsidRPr="006A2B33" w:rsidRDefault="00D11DE9" w:rsidP="0077499D">
            <w:pPr>
              <w:spacing w:after="0"/>
              <w:rPr>
                <w:color w:val="000000" w:themeColor="text1"/>
              </w:rPr>
            </w:pPr>
            <w:r w:rsidRPr="006A2B33">
              <w:rPr>
                <w:color w:val="000000" w:themeColor="text1"/>
              </w:rPr>
              <w:t>Name: Thomas Sammut</w:t>
            </w:r>
          </w:p>
        </w:tc>
        <w:tc>
          <w:tcPr>
            <w:tcW w:w="2869" w:type="dxa"/>
            <w:tcBorders>
              <w:top w:val="single" w:sz="4" w:space="0" w:color="auto"/>
              <w:left w:val="single" w:sz="4" w:space="0" w:color="auto"/>
              <w:bottom w:val="single" w:sz="4" w:space="0" w:color="auto"/>
              <w:right w:val="single" w:sz="4" w:space="0" w:color="auto"/>
            </w:tcBorders>
            <w:vAlign w:val="bottom"/>
            <w:hideMark/>
          </w:tcPr>
          <w:p w14:paraId="5EE54BBE" w14:textId="77777777" w:rsidR="00D11DE9" w:rsidRPr="006A2B33" w:rsidRDefault="00D11DE9" w:rsidP="0077499D">
            <w:pPr>
              <w:spacing w:after="0"/>
              <w:jc w:val="both"/>
              <w:rPr>
                <w:color w:val="000000" w:themeColor="text1"/>
              </w:rPr>
            </w:pPr>
            <w:r w:rsidRPr="006A2B33">
              <w:rPr>
                <w:color w:val="000000" w:themeColor="text1"/>
              </w:rPr>
              <w:t xml:space="preserve">Date: 29 November 2018 </w:t>
            </w:r>
          </w:p>
        </w:tc>
      </w:tr>
      <w:tr w:rsidR="00D11DE9" w:rsidRPr="0087649F" w14:paraId="699B8437" w14:textId="77777777" w:rsidTr="0077499D">
        <w:trPr>
          <w:trHeight w:val="20"/>
        </w:trPr>
        <w:tc>
          <w:tcPr>
            <w:tcW w:w="2139" w:type="dxa"/>
            <w:tcBorders>
              <w:top w:val="single" w:sz="4" w:space="0" w:color="auto"/>
              <w:left w:val="single" w:sz="4" w:space="0" w:color="auto"/>
              <w:bottom w:val="single" w:sz="4" w:space="0" w:color="auto"/>
              <w:right w:val="single" w:sz="4" w:space="0" w:color="auto"/>
            </w:tcBorders>
            <w:vAlign w:val="bottom"/>
            <w:hideMark/>
          </w:tcPr>
          <w:p w14:paraId="5B871429" w14:textId="77777777" w:rsidR="00D11DE9" w:rsidRPr="006A2B33" w:rsidRDefault="00D11DE9" w:rsidP="0077499D">
            <w:pPr>
              <w:spacing w:after="0"/>
              <w:rPr>
                <w:b/>
                <w:color w:val="000000" w:themeColor="text1"/>
              </w:rPr>
            </w:pPr>
            <w:r w:rsidRPr="006A2B33">
              <w:rPr>
                <w:b/>
                <w:color w:val="000000" w:themeColor="text1"/>
              </w:rPr>
              <w:t>Reviewed by:</w:t>
            </w:r>
          </w:p>
        </w:tc>
        <w:tc>
          <w:tcPr>
            <w:tcW w:w="3622" w:type="dxa"/>
            <w:tcBorders>
              <w:top w:val="single" w:sz="4" w:space="0" w:color="auto"/>
              <w:left w:val="single" w:sz="4" w:space="0" w:color="auto"/>
              <w:bottom w:val="single" w:sz="4" w:space="0" w:color="auto"/>
              <w:right w:val="single" w:sz="4" w:space="0" w:color="auto"/>
            </w:tcBorders>
            <w:vAlign w:val="bottom"/>
            <w:hideMark/>
          </w:tcPr>
          <w:p w14:paraId="681D5CF5" w14:textId="77777777" w:rsidR="00D11DE9" w:rsidRPr="006A2B33" w:rsidRDefault="00D11DE9" w:rsidP="0077499D">
            <w:pPr>
              <w:spacing w:after="0"/>
              <w:rPr>
                <w:color w:val="000000" w:themeColor="text1"/>
              </w:rPr>
            </w:pPr>
            <w:r w:rsidRPr="006A2B33">
              <w:rPr>
                <w:color w:val="000000" w:themeColor="text1"/>
              </w:rPr>
              <w:t>Name: Fatai Akemokwe</w:t>
            </w:r>
          </w:p>
        </w:tc>
        <w:tc>
          <w:tcPr>
            <w:tcW w:w="2869" w:type="dxa"/>
            <w:tcBorders>
              <w:top w:val="single" w:sz="4" w:space="0" w:color="auto"/>
              <w:left w:val="single" w:sz="4" w:space="0" w:color="auto"/>
              <w:bottom w:val="single" w:sz="4" w:space="0" w:color="auto"/>
              <w:right w:val="single" w:sz="4" w:space="0" w:color="auto"/>
            </w:tcBorders>
            <w:vAlign w:val="bottom"/>
            <w:hideMark/>
          </w:tcPr>
          <w:p w14:paraId="49840AB4" w14:textId="77777777" w:rsidR="00D11DE9" w:rsidRPr="006A2B33" w:rsidRDefault="00D11DE9" w:rsidP="0077499D">
            <w:pPr>
              <w:spacing w:after="0"/>
              <w:jc w:val="both"/>
              <w:rPr>
                <w:color w:val="000000" w:themeColor="text1"/>
              </w:rPr>
            </w:pPr>
            <w:r w:rsidRPr="006A2B33">
              <w:rPr>
                <w:color w:val="000000" w:themeColor="text1"/>
              </w:rPr>
              <w:t xml:space="preserve">Date: 04 February 2019 </w:t>
            </w:r>
          </w:p>
        </w:tc>
      </w:tr>
      <w:tr w:rsidR="00D11DE9" w:rsidRPr="0087649F" w14:paraId="5EF202AA" w14:textId="77777777" w:rsidTr="0077499D">
        <w:trPr>
          <w:trHeight w:val="20"/>
        </w:trPr>
        <w:tc>
          <w:tcPr>
            <w:tcW w:w="2139" w:type="dxa"/>
            <w:tcBorders>
              <w:top w:val="single" w:sz="4" w:space="0" w:color="auto"/>
              <w:left w:val="single" w:sz="4" w:space="0" w:color="auto"/>
              <w:bottom w:val="single" w:sz="4" w:space="0" w:color="auto"/>
              <w:right w:val="single" w:sz="4" w:space="0" w:color="auto"/>
            </w:tcBorders>
            <w:vAlign w:val="bottom"/>
            <w:hideMark/>
          </w:tcPr>
          <w:p w14:paraId="0E2C103E" w14:textId="77777777" w:rsidR="00D11DE9" w:rsidRPr="006A2B33" w:rsidRDefault="00D11DE9" w:rsidP="0077499D">
            <w:pPr>
              <w:spacing w:after="0"/>
              <w:rPr>
                <w:color w:val="000000" w:themeColor="text1"/>
              </w:rPr>
            </w:pPr>
            <w:r w:rsidRPr="006A2B33">
              <w:rPr>
                <w:b/>
                <w:color w:val="000000" w:themeColor="text1"/>
              </w:rPr>
              <w:t>Version:</w:t>
            </w:r>
          </w:p>
        </w:tc>
        <w:tc>
          <w:tcPr>
            <w:tcW w:w="3622" w:type="dxa"/>
            <w:tcBorders>
              <w:top w:val="single" w:sz="4" w:space="0" w:color="auto"/>
              <w:left w:val="single" w:sz="4" w:space="0" w:color="auto"/>
              <w:bottom w:val="single" w:sz="4" w:space="0" w:color="auto"/>
              <w:right w:val="single" w:sz="4" w:space="0" w:color="auto"/>
            </w:tcBorders>
            <w:vAlign w:val="bottom"/>
            <w:hideMark/>
          </w:tcPr>
          <w:p w14:paraId="4B77E155" w14:textId="77777777" w:rsidR="00D11DE9" w:rsidRPr="006A2B33" w:rsidRDefault="00D11DE9" w:rsidP="0077499D">
            <w:pPr>
              <w:spacing w:after="0"/>
              <w:rPr>
                <w:color w:val="000000" w:themeColor="text1"/>
              </w:rPr>
            </w:pPr>
            <w:r w:rsidRPr="006A2B33">
              <w:rPr>
                <w:b/>
                <w:color w:val="000000" w:themeColor="text1"/>
              </w:rPr>
              <w:t>Change history:</w:t>
            </w:r>
          </w:p>
        </w:tc>
        <w:tc>
          <w:tcPr>
            <w:tcW w:w="2869" w:type="dxa"/>
            <w:tcBorders>
              <w:top w:val="single" w:sz="4" w:space="0" w:color="auto"/>
              <w:left w:val="single" w:sz="4" w:space="0" w:color="auto"/>
              <w:bottom w:val="single" w:sz="4" w:space="0" w:color="auto"/>
              <w:right w:val="single" w:sz="4" w:space="0" w:color="auto"/>
            </w:tcBorders>
            <w:vAlign w:val="bottom"/>
            <w:hideMark/>
          </w:tcPr>
          <w:p w14:paraId="510C464E" w14:textId="77777777" w:rsidR="00D11DE9" w:rsidRPr="006A2B33" w:rsidRDefault="00D11DE9" w:rsidP="0077499D">
            <w:pPr>
              <w:spacing w:after="0"/>
              <w:rPr>
                <w:b/>
                <w:color w:val="000000" w:themeColor="text1"/>
              </w:rPr>
            </w:pPr>
            <w:r w:rsidRPr="006A2B33">
              <w:rPr>
                <w:b/>
                <w:color w:val="000000" w:themeColor="text1"/>
              </w:rPr>
              <w:t>Review due date:</w:t>
            </w:r>
          </w:p>
        </w:tc>
      </w:tr>
      <w:tr w:rsidR="00D11DE9" w:rsidRPr="0087649F" w14:paraId="72CFCE18" w14:textId="77777777" w:rsidTr="0077499D">
        <w:trPr>
          <w:trHeight w:val="20"/>
        </w:trPr>
        <w:tc>
          <w:tcPr>
            <w:tcW w:w="2139" w:type="dxa"/>
            <w:tcBorders>
              <w:top w:val="single" w:sz="4" w:space="0" w:color="auto"/>
              <w:left w:val="single" w:sz="4" w:space="0" w:color="auto"/>
              <w:bottom w:val="single" w:sz="4" w:space="0" w:color="auto"/>
              <w:right w:val="single" w:sz="4" w:space="0" w:color="auto"/>
            </w:tcBorders>
            <w:vAlign w:val="bottom"/>
            <w:hideMark/>
          </w:tcPr>
          <w:p w14:paraId="055D15EB" w14:textId="77777777" w:rsidR="00D11DE9" w:rsidRPr="006A2B33" w:rsidRDefault="00D11DE9" w:rsidP="0077499D">
            <w:pPr>
              <w:spacing w:after="0"/>
              <w:rPr>
                <w:color w:val="000000" w:themeColor="text1"/>
              </w:rPr>
            </w:pPr>
            <w:r w:rsidRPr="006A2B33">
              <w:rPr>
                <w:color w:val="000000" w:themeColor="text1"/>
              </w:rPr>
              <w:t>1.0</w:t>
            </w:r>
          </w:p>
        </w:tc>
        <w:tc>
          <w:tcPr>
            <w:tcW w:w="3622" w:type="dxa"/>
            <w:tcBorders>
              <w:top w:val="single" w:sz="4" w:space="0" w:color="auto"/>
              <w:left w:val="single" w:sz="4" w:space="0" w:color="auto"/>
              <w:bottom w:val="single" w:sz="4" w:space="0" w:color="auto"/>
              <w:right w:val="single" w:sz="4" w:space="0" w:color="auto"/>
            </w:tcBorders>
            <w:vAlign w:val="bottom"/>
            <w:hideMark/>
          </w:tcPr>
          <w:p w14:paraId="5F1E89E6" w14:textId="77777777" w:rsidR="00D11DE9" w:rsidRPr="006A2B33" w:rsidRDefault="00D11DE9" w:rsidP="0077499D">
            <w:pPr>
              <w:spacing w:after="0"/>
              <w:rPr>
                <w:color w:val="000000" w:themeColor="text1"/>
              </w:rPr>
            </w:pPr>
            <w:r w:rsidRPr="006A2B33">
              <w:rPr>
                <w:color w:val="000000" w:themeColor="text1"/>
              </w:rPr>
              <w:t>New document</w:t>
            </w:r>
          </w:p>
        </w:tc>
        <w:tc>
          <w:tcPr>
            <w:tcW w:w="2869" w:type="dxa"/>
            <w:tcBorders>
              <w:top w:val="single" w:sz="4" w:space="0" w:color="auto"/>
              <w:left w:val="single" w:sz="4" w:space="0" w:color="auto"/>
              <w:bottom w:val="single" w:sz="4" w:space="0" w:color="auto"/>
              <w:right w:val="single" w:sz="4" w:space="0" w:color="auto"/>
            </w:tcBorders>
            <w:vAlign w:val="bottom"/>
          </w:tcPr>
          <w:p w14:paraId="319D18DE" w14:textId="537BB682" w:rsidR="00D11DE9" w:rsidRPr="006A2B33" w:rsidRDefault="00CA5FB5" w:rsidP="0077499D">
            <w:pPr>
              <w:spacing w:after="0"/>
              <w:rPr>
                <w:color w:val="000000" w:themeColor="text1"/>
              </w:rPr>
            </w:pPr>
            <w:r>
              <w:rPr>
                <w:color w:val="000000" w:themeColor="text1"/>
              </w:rPr>
              <w:t>31 May 2021</w:t>
            </w:r>
          </w:p>
        </w:tc>
      </w:tr>
      <w:tr w:rsidR="00D11DE9" w:rsidRPr="0087649F" w14:paraId="379D5034" w14:textId="77777777" w:rsidTr="0077499D">
        <w:trPr>
          <w:trHeight w:val="20"/>
        </w:trPr>
        <w:tc>
          <w:tcPr>
            <w:tcW w:w="2139" w:type="dxa"/>
            <w:tcBorders>
              <w:top w:val="single" w:sz="4" w:space="0" w:color="auto"/>
              <w:left w:val="single" w:sz="4" w:space="0" w:color="auto"/>
              <w:bottom w:val="single" w:sz="4" w:space="0" w:color="auto"/>
              <w:right w:val="single" w:sz="4" w:space="0" w:color="auto"/>
            </w:tcBorders>
            <w:vAlign w:val="bottom"/>
            <w:hideMark/>
          </w:tcPr>
          <w:p w14:paraId="29225991" w14:textId="77777777" w:rsidR="00D11DE9" w:rsidRPr="006A2B33" w:rsidRDefault="00D11DE9" w:rsidP="0077499D">
            <w:pPr>
              <w:spacing w:after="0"/>
              <w:rPr>
                <w:color w:val="000000" w:themeColor="text1"/>
              </w:rPr>
            </w:pPr>
            <w:r w:rsidRPr="006A2B33">
              <w:rPr>
                <w:color w:val="000000" w:themeColor="text1"/>
              </w:rPr>
              <w:t>Review Comments (</w:t>
            </w:r>
            <w:r w:rsidRPr="006A2B33">
              <w:rPr>
                <w:i/>
                <w:color w:val="000000" w:themeColor="text1"/>
              </w:rPr>
              <w:t>if applicable)</w:t>
            </w:r>
          </w:p>
        </w:tc>
        <w:tc>
          <w:tcPr>
            <w:tcW w:w="3622" w:type="dxa"/>
            <w:tcBorders>
              <w:top w:val="single" w:sz="4" w:space="0" w:color="auto"/>
              <w:left w:val="single" w:sz="4" w:space="0" w:color="auto"/>
              <w:bottom w:val="single" w:sz="4" w:space="0" w:color="auto"/>
              <w:right w:val="single" w:sz="4" w:space="0" w:color="auto"/>
            </w:tcBorders>
            <w:vAlign w:val="bottom"/>
          </w:tcPr>
          <w:p w14:paraId="25D2EA6A" w14:textId="77777777" w:rsidR="00D11DE9" w:rsidRPr="006A2B33" w:rsidRDefault="00D11DE9" w:rsidP="0077499D">
            <w:pPr>
              <w:spacing w:after="0"/>
              <w:rPr>
                <w:color w:val="000000" w:themeColor="text1"/>
              </w:rPr>
            </w:pPr>
          </w:p>
        </w:tc>
        <w:tc>
          <w:tcPr>
            <w:tcW w:w="2869" w:type="dxa"/>
            <w:tcBorders>
              <w:top w:val="single" w:sz="4" w:space="0" w:color="auto"/>
              <w:left w:val="single" w:sz="4" w:space="0" w:color="auto"/>
              <w:bottom w:val="single" w:sz="4" w:space="0" w:color="auto"/>
              <w:right w:val="single" w:sz="4" w:space="0" w:color="auto"/>
            </w:tcBorders>
            <w:vAlign w:val="bottom"/>
          </w:tcPr>
          <w:p w14:paraId="2777BD13" w14:textId="77777777" w:rsidR="00D11DE9" w:rsidRPr="006A2B33" w:rsidRDefault="00D11DE9" w:rsidP="0077499D">
            <w:pPr>
              <w:spacing w:after="0"/>
              <w:rPr>
                <w:b/>
                <w:color w:val="000000" w:themeColor="text1"/>
              </w:rPr>
            </w:pPr>
          </w:p>
        </w:tc>
      </w:tr>
    </w:tbl>
    <w:p w14:paraId="291AAD9D" w14:textId="77777777" w:rsidR="00D11DE9" w:rsidRPr="00D11DE9" w:rsidRDefault="00D11DE9" w:rsidP="00D11DE9">
      <w:pPr>
        <w:rPr>
          <w:color w:val="000000" w:themeColor="text1"/>
        </w:rPr>
      </w:pPr>
    </w:p>
    <w:p w14:paraId="2C5007FA" w14:textId="77777777" w:rsidR="00975A60" w:rsidRPr="00CC3CF5" w:rsidRDefault="00975A60" w:rsidP="00D11DE9">
      <w:pPr>
        <w:pStyle w:val="Heading2"/>
        <w:rPr>
          <w:szCs w:val="22"/>
        </w:rPr>
      </w:pPr>
    </w:p>
    <w:sectPr w:rsidR="00975A60" w:rsidRPr="00CC3CF5" w:rsidSect="00D13825">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CDDE1" w14:textId="77777777" w:rsidR="00573288" w:rsidRDefault="00573288" w:rsidP="00975A60">
      <w:pPr>
        <w:spacing w:after="0"/>
      </w:pPr>
      <w:r>
        <w:separator/>
      </w:r>
    </w:p>
  </w:endnote>
  <w:endnote w:type="continuationSeparator" w:id="0">
    <w:p w14:paraId="647FE6A9" w14:textId="77777777" w:rsidR="00573288" w:rsidRDefault="00573288"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A54B"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102142"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AFF48" w14:textId="5237B44D"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403241">
      <w:rPr>
        <w:rStyle w:val="PageNumber"/>
        <w:noProof/>
      </w:rPr>
      <w:t>7</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403241">
      <w:rPr>
        <w:rStyle w:val="PageNumber"/>
        <w:noProof/>
      </w:rPr>
      <w:t>7</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A458" w14:textId="639C9E5C"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40324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403241">
      <w:rPr>
        <w:rStyle w:val="PageNumber"/>
        <w:noProof/>
      </w:rPr>
      <w:t>7</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CC2C1" w14:textId="77777777" w:rsidR="00573288" w:rsidRDefault="00573288" w:rsidP="00975A60">
      <w:pPr>
        <w:spacing w:after="0"/>
      </w:pPr>
      <w:r>
        <w:separator/>
      </w:r>
    </w:p>
  </w:footnote>
  <w:footnote w:type="continuationSeparator" w:id="0">
    <w:p w14:paraId="774CC3C2" w14:textId="77777777" w:rsidR="00573288" w:rsidRDefault="00573288"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17627" w14:textId="22827CA0" w:rsidR="00D13825" w:rsidRPr="00F87812" w:rsidRDefault="00D13825" w:rsidP="00D13825">
    <w:pPr>
      <w:pStyle w:val="Header"/>
    </w:pPr>
    <w:r w:rsidRPr="00F87812">
      <w:t>Identification code: MeG-CLS-</w:t>
    </w:r>
    <w:r w:rsidR="00D11DE9">
      <w:t>053</w:t>
    </w:r>
    <w:r w:rsidRPr="00F87812">
      <w:tab/>
    </w:r>
  </w:p>
  <w:p w14:paraId="4FCE8059" w14:textId="18814946" w:rsidR="005D1877" w:rsidRPr="0095050B" w:rsidRDefault="00D13825" w:rsidP="00D13825">
    <w:pPr>
      <w:pStyle w:val="Header"/>
    </w:pPr>
    <w:r w:rsidRPr="0095050B">
      <w:t>Version: 1.</w:t>
    </w:r>
    <w:r w:rsidR="00CA5FB5">
      <w:t>0</w:t>
    </w:r>
    <w:r w:rsidRPr="0095050B">
      <w:t xml:space="preserve"> – </w:t>
    </w:r>
    <w:r w:rsidR="00CA5FB5">
      <w:t>31 May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2BED8"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527D5C6C" wp14:editId="2E4F6B69">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9F0414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1062932" w14:textId="77777777" w:rsidR="00D13825" w:rsidRPr="003C0800" w:rsidRDefault="00D13825" w:rsidP="00D13825">
    <w:pPr>
      <w:pStyle w:val="Header"/>
      <w:ind w:firstLine="2880"/>
      <w:rPr>
        <w:rFonts w:cs="Arial"/>
        <w:b/>
      </w:rPr>
    </w:pPr>
  </w:p>
  <w:p w14:paraId="14675788" w14:textId="7DEF7B24" w:rsidR="00D13825" w:rsidRPr="00F87812" w:rsidRDefault="00D13825" w:rsidP="00D13825">
    <w:pPr>
      <w:pStyle w:val="Header"/>
    </w:pPr>
    <w:r w:rsidRPr="00F87812">
      <w:t>Identification code: MeG-CLS-</w:t>
    </w:r>
    <w:r w:rsidR="00D11DE9">
      <w:t>053</w:t>
    </w:r>
    <w:r w:rsidRPr="00F87812">
      <w:tab/>
    </w:r>
  </w:p>
  <w:p w14:paraId="7AD779C9" w14:textId="0BF3A8F5" w:rsidR="00D11DE9" w:rsidRPr="0095050B" w:rsidRDefault="00D11DE9" w:rsidP="00D11DE9">
    <w:pPr>
      <w:pStyle w:val="Header"/>
    </w:pPr>
    <w:r w:rsidRPr="0095050B">
      <w:t>Version: 1.</w:t>
    </w:r>
    <w:r w:rsidR="00CA5FB5">
      <w:t>0</w:t>
    </w:r>
    <w:r w:rsidRPr="0095050B">
      <w:t xml:space="preserve"> – </w:t>
    </w:r>
    <w:r w:rsidR="00CA5FB5">
      <w:t>31 May 2019</w:t>
    </w:r>
  </w:p>
  <w:p w14:paraId="190D7CD4"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BEF28A"/>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900324C"/>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A40CF4"/>
    <w:multiLevelType w:val="multilevel"/>
    <w:tmpl w:val="37DEC9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749C7"/>
    <w:multiLevelType w:val="hybridMultilevel"/>
    <w:tmpl w:val="45182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744161"/>
    <w:multiLevelType w:val="hybridMultilevel"/>
    <w:tmpl w:val="F12CD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A04FDF"/>
    <w:multiLevelType w:val="hybridMultilevel"/>
    <w:tmpl w:val="A42CC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643425E"/>
    <w:multiLevelType w:val="hybridMultilevel"/>
    <w:tmpl w:val="9EA2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FE3984"/>
    <w:multiLevelType w:val="hybridMultilevel"/>
    <w:tmpl w:val="98009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2D3445"/>
    <w:multiLevelType w:val="hybridMultilevel"/>
    <w:tmpl w:val="84BA7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C1479E"/>
    <w:multiLevelType w:val="hybridMultilevel"/>
    <w:tmpl w:val="8CC86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3A0535"/>
    <w:multiLevelType w:val="hybridMultilevel"/>
    <w:tmpl w:val="D9B49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263B69EB"/>
    <w:multiLevelType w:val="hybridMultilevel"/>
    <w:tmpl w:val="EB40A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A4B34"/>
    <w:multiLevelType w:val="hybridMultilevel"/>
    <w:tmpl w:val="9482B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DE2DB3"/>
    <w:multiLevelType w:val="multilevel"/>
    <w:tmpl w:val="E9C030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D70E91"/>
    <w:multiLevelType w:val="hybridMultilevel"/>
    <w:tmpl w:val="0988F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400087"/>
    <w:multiLevelType w:val="hybridMultilevel"/>
    <w:tmpl w:val="3C5C0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4628CE"/>
    <w:multiLevelType w:val="hybridMultilevel"/>
    <w:tmpl w:val="64A21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B010F0"/>
    <w:multiLevelType w:val="hybridMultilevel"/>
    <w:tmpl w:val="F7FAB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DC47B0"/>
    <w:multiLevelType w:val="hybridMultilevel"/>
    <w:tmpl w:val="F9E68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10F69F0"/>
    <w:multiLevelType w:val="hybridMultilevel"/>
    <w:tmpl w:val="DBE6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047E3B"/>
    <w:multiLevelType w:val="hybridMultilevel"/>
    <w:tmpl w:val="A9468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38"/>
  </w:num>
  <w:num w:numId="3">
    <w:abstractNumId w:val="20"/>
  </w:num>
  <w:num w:numId="4">
    <w:abstractNumId w:val="1"/>
  </w:num>
  <w:num w:numId="5">
    <w:abstractNumId w:val="0"/>
  </w:num>
  <w:num w:numId="6">
    <w:abstractNumId w:val="8"/>
  </w:num>
  <w:num w:numId="7">
    <w:abstractNumId w:val="31"/>
  </w:num>
  <w:num w:numId="8">
    <w:abstractNumId w:val="2"/>
  </w:num>
  <w:num w:numId="9">
    <w:abstractNumId w:val="47"/>
  </w:num>
  <w:num w:numId="10">
    <w:abstractNumId w:val="4"/>
  </w:num>
  <w:num w:numId="11">
    <w:abstractNumId w:val="21"/>
  </w:num>
  <w:num w:numId="12">
    <w:abstractNumId w:val="37"/>
  </w:num>
  <w:num w:numId="13">
    <w:abstractNumId w:val="42"/>
  </w:num>
  <w:num w:numId="14">
    <w:abstractNumId w:val="40"/>
  </w:num>
  <w:num w:numId="15">
    <w:abstractNumId w:val="46"/>
  </w:num>
  <w:num w:numId="16">
    <w:abstractNumId w:val="25"/>
  </w:num>
  <w:num w:numId="17">
    <w:abstractNumId w:val="18"/>
  </w:num>
  <w:num w:numId="18">
    <w:abstractNumId w:val="41"/>
  </w:num>
  <w:num w:numId="19">
    <w:abstractNumId w:val="27"/>
  </w:num>
  <w:num w:numId="20">
    <w:abstractNumId w:val="44"/>
  </w:num>
  <w:num w:numId="21">
    <w:abstractNumId w:val="29"/>
  </w:num>
  <w:num w:numId="22">
    <w:abstractNumId w:val="19"/>
  </w:num>
  <w:num w:numId="23">
    <w:abstractNumId w:val="36"/>
  </w:num>
  <w:num w:numId="24">
    <w:abstractNumId w:val="39"/>
  </w:num>
  <w:num w:numId="25">
    <w:abstractNumId w:val="34"/>
  </w:num>
  <w:num w:numId="26">
    <w:abstractNumId w:val="22"/>
  </w:num>
  <w:num w:numId="27">
    <w:abstractNumId w:val="14"/>
  </w:num>
  <w:num w:numId="28">
    <w:abstractNumId w:val="43"/>
  </w:num>
  <w:num w:numId="29">
    <w:abstractNumId w:val="35"/>
  </w:num>
  <w:num w:numId="30">
    <w:abstractNumId w:val="30"/>
  </w:num>
  <w:num w:numId="31">
    <w:abstractNumId w:val="17"/>
  </w:num>
  <w:num w:numId="32">
    <w:abstractNumId w:val="3"/>
  </w:num>
  <w:num w:numId="33">
    <w:abstractNumId w:val="23"/>
  </w:num>
  <w:num w:numId="34">
    <w:abstractNumId w:val="45"/>
  </w:num>
  <w:num w:numId="35">
    <w:abstractNumId w:val="11"/>
  </w:num>
  <w:num w:numId="36">
    <w:abstractNumId w:val="26"/>
  </w:num>
  <w:num w:numId="37">
    <w:abstractNumId w:val="9"/>
  </w:num>
  <w:num w:numId="38">
    <w:abstractNumId w:val="15"/>
  </w:num>
  <w:num w:numId="39">
    <w:abstractNumId w:val="5"/>
  </w:num>
  <w:num w:numId="40">
    <w:abstractNumId w:val="24"/>
  </w:num>
  <w:num w:numId="41">
    <w:abstractNumId w:val="6"/>
  </w:num>
  <w:num w:numId="42">
    <w:abstractNumId w:val="13"/>
  </w:num>
  <w:num w:numId="43">
    <w:abstractNumId w:val="12"/>
  </w:num>
  <w:num w:numId="44">
    <w:abstractNumId w:val="33"/>
  </w:num>
  <w:num w:numId="45">
    <w:abstractNumId w:val="16"/>
  </w:num>
  <w:num w:numId="46">
    <w:abstractNumId w:val="32"/>
  </w:num>
  <w:num w:numId="47">
    <w:abstractNumId w:val="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SwMDMzMjY2MzA1N7ZU0lEKTi0uzszPAykwrgUA6/sJwywAAAA="/>
  </w:docVars>
  <w:rsids>
    <w:rsidRoot w:val="00C35E92"/>
    <w:rsid w:val="000039D9"/>
    <w:rsid w:val="0007147C"/>
    <w:rsid w:val="00081642"/>
    <w:rsid w:val="00114AAF"/>
    <w:rsid w:val="001203AE"/>
    <w:rsid w:val="00175153"/>
    <w:rsid w:val="001C1450"/>
    <w:rsid w:val="00223920"/>
    <w:rsid w:val="00252A11"/>
    <w:rsid w:val="0029357D"/>
    <w:rsid w:val="002A2856"/>
    <w:rsid w:val="003020A2"/>
    <w:rsid w:val="003038D3"/>
    <w:rsid w:val="003225CD"/>
    <w:rsid w:val="003B57C7"/>
    <w:rsid w:val="003C0800"/>
    <w:rsid w:val="003D0A6E"/>
    <w:rsid w:val="003F70CA"/>
    <w:rsid w:val="00403241"/>
    <w:rsid w:val="004A25F0"/>
    <w:rsid w:val="004A4C93"/>
    <w:rsid w:val="004C4442"/>
    <w:rsid w:val="005151D8"/>
    <w:rsid w:val="00515546"/>
    <w:rsid w:val="005638D0"/>
    <w:rsid w:val="00573288"/>
    <w:rsid w:val="00584E1E"/>
    <w:rsid w:val="005D1877"/>
    <w:rsid w:val="00633320"/>
    <w:rsid w:val="007067BE"/>
    <w:rsid w:val="00724E63"/>
    <w:rsid w:val="007B26B1"/>
    <w:rsid w:val="00857027"/>
    <w:rsid w:val="008B02BB"/>
    <w:rsid w:val="00903409"/>
    <w:rsid w:val="009165E9"/>
    <w:rsid w:val="00923069"/>
    <w:rsid w:val="009325A7"/>
    <w:rsid w:val="0095050B"/>
    <w:rsid w:val="009747D5"/>
    <w:rsid w:val="00975A60"/>
    <w:rsid w:val="009956F9"/>
    <w:rsid w:val="009B44BE"/>
    <w:rsid w:val="009F5B1B"/>
    <w:rsid w:val="00A312D8"/>
    <w:rsid w:val="00A41080"/>
    <w:rsid w:val="00A60841"/>
    <w:rsid w:val="00B31AC4"/>
    <w:rsid w:val="00B761B1"/>
    <w:rsid w:val="00B844E8"/>
    <w:rsid w:val="00BD08AB"/>
    <w:rsid w:val="00C35E92"/>
    <w:rsid w:val="00C67021"/>
    <w:rsid w:val="00CA5FB5"/>
    <w:rsid w:val="00CC3CF5"/>
    <w:rsid w:val="00CC4CB9"/>
    <w:rsid w:val="00CD4A1D"/>
    <w:rsid w:val="00D03AB2"/>
    <w:rsid w:val="00D11DE9"/>
    <w:rsid w:val="00D13825"/>
    <w:rsid w:val="00DA017C"/>
    <w:rsid w:val="00DA20ED"/>
    <w:rsid w:val="00DC1CC5"/>
    <w:rsid w:val="00DC590C"/>
    <w:rsid w:val="00DE3D6D"/>
    <w:rsid w:val="00DF345F"/>
    <w:rsid w:val="00E162DA"/>
    <w:rsid w:val="00EB3781"/>
    <w:rsid w:val="00F03F25"/>
    <w:rsid w:val="00F53968"/>
    <w:rsid w:val="00F71F11"/>
    <w:rsid w:val="00F90728"/>
    <w:rsid w:val="00FC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823E6"/>
  <w15:docId w15:val="{55146CCE-6155-47CC-8838-54AEA436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E63"/>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D11DE9"/>
    <w:pPr>
      <w:spacing w:before="120" w:after="180"/>
      <w:ind w:left="720" w:hanging="720"/>
      <w:outlineLvl w:val="2"/>
    </w:pPr>
    <w:rPr>
      <w:rFonts w:eastAsia="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D11DE9"/>
    <w:rPr>
      <w:rFonts w:ascii="Arial" w:eastAsia="Times New Roman" w:hAnsi="Arial"/>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724E63"/>
    <w:pPr>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customStyle="1" w:styleId="UnresolvedMention">
    <w:name w:val="Unresolved Mention"/>
    <w:basedOn w:val="DefaultParagraphFont"/>
    <w:rsid w:val="001203AE"/>
    <w:rPr>
      <w:color w:val="605E5C"/>
      <w:shd w:val="clear" w:color="auto" w:fill="E1DFDD"/>
    </w:rPr>
  </w:style>
  <w:style w:type="paragraph" w:styleId="BodyText">
    <w:name w:val="Body Text"/>
    <w:basedOn w:val="Normal"/>
    <w:link w:val="BodyTextChar"/>
    <w:rsid w:val="00724E63"/>
    <w:pPr>
      <w:spacing w:after="140" w:line="276" w:lineRule="auto"/>
      <w:outlineLvl w:val="9"/>
    </w:pPr>
    <w:rPr>
      <w:rFonts w:asciiTheme="minorHAnsi" w:eastAsiaTheme="minorEastAsia" w:hAnsiTheme="minorHAnsi" w:cstheme="minorBidi"/>
      <w:szCs w:val="22"/>
      <w:lang w:val="en-GB"/>
    </w:rPr>
  </w:style>
  <w:style w:type="character" w:customStyle="1" w:styleId="BodyTextChar">
    <w:name w:val="Body Text Char"/>
    <w:basedOn w:val="DefaultParagraphFont"/>
    <w:link w:val="BodyText"/>
    <w:rsid w:val="00724E63"/>
    <w:rPr>
      <w:rFonts w:asciiTheme="minorHAnsi" w:eastAsiaTheme="minorEastAsia" w:hAnsiTheme="minorHAnsi" w:cstheme="minorBidi"/>
      <w:sz w:val="22"/>
      <w:szCs w:val="22"/>
    </w:rPr>
  </w:style>
  <w:style w:type="character" w:customStyle="1" w:styleId="InternetLink">
    <w:name w:val="Internet Link"/>
    <w:basedOn w:val="DefaultParagraphFont"/>
    <w:rsid w:val="00D11DE9"/>
    <w:rPr>
      <w:color w:val="047AC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dcalc.com/ckd-epi-equations-glomerular-filtration-rate-gf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kdigo.org/clinical_practice_guidelines/pdf/CKD/KDIGO_2012_CKD_GL.pdf" TargetMode="External"/><Relationship Id="rId4" Type="http://schemas.openxmlformats.org/officeDocument/2006/relationships/webSettings" Target="webSettings.xml"/><Relationship Id="rId9" Type="http://schemas.openxmlformats.org/officeDocument/2006/relationships/hyperlink" Target="https://www.nice.org.uk/guidance/cg182%20accessed%201/11/18"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2019.dotx</Template>
  <TotalTime>33</TotalTime>
  <Pages>7</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misan Agboghoroma</cp:lastModifiedBy>
  <cp:revision>10</cp:revision>
  <cp:lastPrinted>2019-05-31T09:32:00Z</cp:lastPrinted>
  <dcterms:created xsi:type="dcterms:W3CDTF">2019-04-08T09:27:00Z</dcterms:created>
  <dcterms:modified xsi:type="dcterms:W3CDTF">2020-05-18T22:23:00Z</dcterms:modified>
</cp:coreProperties>
</file>