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E73" w14:textId="1270FFE9" w:rsidR="005255A8" w:rsidRPr="003C0800" w:rsidRDefault="005255A8" w:rsidP="005255A8">
      <w:pPr>
        <w:pStyle w:val="Heading1"/>
        <w:jc w:val="both"/>
        <w:rPr>
          <w:rFonts w:cs="Arial"/>
          <w:szCs w:val="22"/>
        </w:rPr>
      </w:pPr>
      <w:r>
        <w:rPr>
          <w:rFonts w:cs="Arial"/>
          <w:szCs w:val="22"/>
        </w:rPr>
        <w:t>Croup (Acute Laryngotracheobronchitis)</w:t>
      </w:r>
    </w:p>
    <w:p w14:paraId="2CF2A7BD" w14:textId="77777777" w:rsidR="00584E1E" w:rsidRPr="00F94418" w:rsidRDefault="00584E1E" w:rsidP="00584E1E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7419D27A" w14:textId="77777777" w:rsidR="00584E1E" w:rsidRDefault="00584E1E" w:rsidP="00584E1E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67F6C233" w14:textId="0C589955" w:rsidR="005255A8" w:rsidRDefault="005255A8" w:rsidP="005255A8">
      <w:pPr>
        <w:pStyle w:val="Heading2"/>
        <w:rPr>
          <w:rFonts w:cs="Arial"/>
          <w:b w:val="0"/>
          <w:sz w:val="22"/>
          <w:szCs w:val="22"/>
        </w:rPr>
      </w:pPr>
      <w:r w:rsidRPr="0008058B">
        <w:rPr>
          <w:rFonts w:cs="Arial"/>
          <w:b w:val="0"/>
          <w:sz w:val="22"/>
          <w:szCs w:val="22"/>
        </w:rPr>
        <w:t>Croup is a common</w:t>
      </w:r>
      <w:r>
        <w:rPr>
          <w:rFonts w:cs="Arial"/>
          <w:b w:val="0"/>
          <w:sz w:val="22"/>
          <w:szCs w:val="22"/>
        </w:rPr>
        <w:t>, primarily</w:t>
      </w:r>
      <w:r w:rsidRPr="0008058B">
        <w:rPr>
          <w:rFonts w:cs="Arial"/>
          <w:b w:val="0"/>
          <w:sz w:val="22"/>
          <w:szCs w:val="22"/>
        </w:rPr>
        <w:t xml:space="preserve"> childhood</w:t>
      </w:r>
      <w:r>
        <w:rPr>
          <w:rFonts w:cs="Arial"/>
          <w:b w:val="0"/>
          <w:sz w:val="22"/>
          <w:szCs w:val="22"/>
        </w:rPr>
        <w:t>, viral respiratory tract</w:t>
      </w:r>
      <w:r w:rsidRPr="0008058B">
        <w:rPr>
          <w:rFonts w:cs="Arial"/>
          <w:b w:val="0"/>
          <w:sz w:val="22"/>
          <w:szCs w:val="22"/>
        </w:rPr>
        <w:t xml:space="preserve"> illness causing symptoms which may involve a harsh barking cough and (inspiratory) stridor. The vast majority of children with croup recover without consequences or sequelae; however, it can be life-threatening in young infants. Croup most often affects children aged 6 months to 3 years, with a peak incidence during the second year of life. However, children as young as 3 months of age, or adolescents and, very rarely, adults can be affected.</w:t>
      </w:r>
      <w:r>
        <w:rPr>
          <w:rFonts w:cs="Arial"/>
          <w:b w:val="0"/>
          <w:sz w:val="22"/>
          <w:szCs w:val="22"/>
        </w:rPr>
        <w:t xml:space="preserve"> The most common viral causes are parainfluenza viruses.</w:t>
      </w:r>
    </w:p>
    <w:p w14:paraId="7E4A89C5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0C945364" w14:textId="4134FE97" w:rsidR="00584E1E" w:rsidRDefault="005255A8" w:rsidP="00584E1E">
      <w:pPr>
        <w:pStyle w:val="ListParagraph"/>
        <w:numPr>
          <w:ilvl w:val="0"/>
          <w:numId w:val="29"/>
        </w:numPr>
      </w:pPr>
      <w:r>
        <w:t>Doctors</w:t>
      </w:r>
    </w:p>
    <w:p w14:paraId="314FCA84" w14:textId="1AE996BB" w:rsidR="00584E1E" w:rsidRPr="00584E1E" w:rsidRDefault="005255A8" w:rsidP="00584E1E">
      <w:pPr>
        <w:pStyle w:val="ListParagraph"/>
        <w:numPr>
          <w:ilvl w:val="0"/>
          <w:numId w:val="29"/>
        </w:numPr>
      </w:pPr>
      <w:r>
        <w:t>Nurses</w:t>
      </w:r>
    </w:p>
    <w:p w14:paraId="5D1903B7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area of use </w:t>
      </w:r>
    </w:p>
    <w:p w14:paraId="23B0748D" w14:textId="6DFB8A0F" w:rsidR="00584E1E" w:rsidRDefault="005255A8" w:rsidP="00584E1E">
      <w:pPr>
        <w:pStyle w:val="ListParagraph"/>
        <w:numPr>
          <w:ilvl w:val="0"/>
          <w:numId w:val="29"/>
        </w:numPr>
      </w:pPr>
      <w:r>
        <w:t>Outpatient department</w:t>
      </w:r>
    </w:p>
    <w:p w14:paraId="4373FC5F" w14:textId="26510169" w:rsidR="00584E1E" w:rsidRPr="00584E1E" w:rsidRDefault="005255A8" w:rsidP="00584E1E">
      <w:pPr>
        <w:pStyle w:val="ListParagraph"/>
        <w:numPr>
          <w:ilvl w:val="0"/>
          <w:numId w:val="29"/>
        </w:numPr>
      </w:pPr>
      <w:r>
        <w:t>Ward</w:t>
      </w:r>
    </w:p>
    <w:p w14:paraId="53A5965D" w14:textId="77777777" w:rsidR="00584E1E" w:rsidRDefault="00584E1E" w:rsidP="00504405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12863D10" w14:textId="7ACA8FB0" w:rsidR="00584E1E" w:rsidRPr="00584E1E" w:rsidRDefault="005255A8" w:rsidP="00504405">
      <w:pPr>
        <w:rPr>
          <w:b/>
        </w:rPr>
      </w:pPr>
      <w:r>
        <w:t>This guideline addresses the management of croup in children.</w:t>
      </w:r>
    </w:p>
    <w:p w14:paraId="42E14908" w14:textId="77777777" w:rsidR="00584E1E" w:rsidRDefault="00584E1E" w:rsidP="00504405">
      <w:pPr>
        <w:pStyle w:val="Heading2"/>
      </w:pPr>
      <w:r w:rsidRPr="00504405">
        <w:t>Limitations</w:t>
      </w:r>
    </w:p>
    <w:p w14:paraId="57BB96EA" w14:textId="2F4B5F80" w:rsidR="00584E1E" w:rsidRPr="00504405" w:rsidRDefault="005255A8" w:rsidP="00584E1E">
      <w:pPr>
        <w:rPr>
          <w:b/>
        </w:rPr>
      </w:pPr>
      <w:r>
        <w:t>None</w:t>
      </w:r>
    </w:p>
    <w:p w14:paraId="52997522" w14:textId="77777777" w:rsidR="00584E1E" w:rsidRDefault="00584E1E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155A6D7E" w14:textId="77777777" w:rsidR="005255A8" w:rsidRDefault="005255A8" w:rsidP="005255A8">
      <w:pPr>
        <w:pStyle w:val="Heading2"/>
        <w:jc w:val="both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0103C477" w14:textId="36EE0A2D" w:rsidR="005255A8" w:rsidRDefault="005255A8" w:rsidP="005255A8">
      <w:r>
        <w:t>Croup usually begins with nonspecific respiratory symptoms (ie, rhinorrhoea, sore throat, cough). Fever is generally low grade and is present in 50% of cases.</w:t>
      </w:r>
    </w:p>
    <w:p w14:paraId="3183A9EC" w14:textId="650940EE" w:rsidR="005255A8" w:rsidRDefault="005255A8" w:rsidP="005255A8">
      <w:r>
        <w:t>Within 1 to 2 days, the characteristic signs of hoarseness, barking cough, and inspiratory stridor develop; often suddenly.</w:t>
      </w:r>
    </w:p>
    <w:p w14:paraId="231A9515" w14:textId="2F0CC979" w:rsidR="005255A8" w:rsidRDefault="005255A8" w:rsidP="005255A8">
      <w:pPr>
        <w:pStyle w:val="ListParagraph"/>
        <w:numPr>
          <w:ilvl w:val="0"/>
          <w:numId w:val="33"/>
        </w:numPr>
      </w:pPr>
      <w:r>
        <w:t>Stridor is often worse on exertion.</w:t>
      </w:r>
    </w:p>
    <w:p w14:paraId="4DD61202" w14:textId="1899E6B9" w:rsidR="005255A8" w:rsidRDefault="005255A8" w:rsidP="005255A8">
      <w:pPr>
        <w:pStyle w:val="ListParagraph"/>
        <w:numPr>
          <w:ilvl w:val="0"/>
          <w:numId w:val="33"/>
        </w:numPr>
      </w:pPr>
      <w:r>
        <w:t>Variable degree of respiratory distress.</w:t>
      </w:r>
    </w:p>
    <w:p w14:paraId="287DA63A" w14:textId="633510C9" w:rsidR="005255A8" w:rsidRDefault="005255A8" w:rsidP="005255A8">
      <w:pPr>
        <w:pStyle w:val="ListParagraph"/>
        <w:numPr>
          <w:ilvl w:val="0"/>
          <w:numId w:val="33"/>
        </w:numPr>
      </w:pPr>
      <w:r>
        <w:t>Symptoms generally worse at night.</w:t>
      </w:r>
    </w:p>
    <w:p w14:paraId="775ECE31" w14:textId="05D1D719" w:rsidR="005255A8" w:rsidRPr="0008058B" w:rsidRDefault="005255A8" w:rsidP="005255A8">
      <w:pPr>
        <w:pStyle w:val="ListParagraph"/>
        <w:numPr>
          <w:ilvl w:val="0"/>
          <w:numId w:val="33"/>
        </w:numPr>
        <w:jc w:val="both"/>
      </w:pPr>
      <w:r>
        <w:t>Symptoms can last for 2 weeks but typically resolve within 3-7 days.</w:t>
      </w:r>
    </w:p>
    <w:p w14:paraId="0B1926D0" w14:textId="77777777" w:rsidR="005255A8" w:rsidRDefault="005255A8" w:rsidP="005255A8">
      <w:pPr>
        <w:pStyle w:val="Heading2"/>
        <w:jc w:val="both"/>
        <w:rPr>
          <w:rFonts w:cs="Arial"/>
          <w:szCs w:val="22"/>
        </w:rPr>
      </w:pPr>
      <w:r>
        <w:rPr>
          <w:rFonts w:cs="Arial"/>
          <w:szCs w:val="22"/>
        </w:rPr>
        <w:t>Westley croup score</w:t>
      </w:r>
    </w:p>
    <w:p w14:paraId="5EF2BA86" w14:textId="493C44D5" w:rsidR="005255A8" w:rsidRDefault="005255A8" w:rsidP="005255A8">
      <w:r>
        <w:t xml:space="preserve">Croup scores help clinicians in assessing the patient’s degree of respiratory compromise. The Westley score evaluates the severity of croup by assessing five factors: level of </w:t>
      </w:r>
      <w:r w:rsidRPr="007155BD">
        <w:rPr>
          <w:b/>
        </w:rPr>
        <w:t>consciousness</w:t>
      </w:r>
      <w:r>
        <w:t xml:space="preserve">, </w:t>
      </w:r>
      <w:r w:rsidRPr="007155BD">
        <w:rPr>
          <w:b/>
        </w:rPr>
        <w:t>cyanosis</w:t>
      </w:r>
      <w:r>
        <w:t xml:space="preserve">, </w:t>
      </w:r>
      <w:r w:rsidRPr="007155BD">
        <w:rPr>
          <w:b/>
        </w:rPr>
        <w:t>stridor</w:t>
      </w:r>
      <w:r>
        <w:t xml:space="preserve">, </w:t>
      </w:r>
      <w:r w:rsidRPr="007155BD">
        <w:rPr>
          <w:b/>
        </w:rPr>
        <w:t>air entry</w:t>
      </w:r>
      <w:r>
        <w:t xml:space="preserve">, and </w:t>
      </w:r>
      <w:r w:rsidRPr="007155BD">
        <w:rPr>
          <w:b/>
        </w:rPr>
        <w:t>retractions</w:t>
      </w:r>
      <w:r>
        <w:t xml:space="preserve">. The point values given for each factor are listed below, and the final score sum has a range of 0 to 17.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255A8" w14:paraId="09CC8A6D" w14:textId="77777777" w:rsidTr="00BD3FDE">
        <w:tc>
          <w:tcPr>
            <w:tcW w:w="8630" w:type="dxa"/>
            <w:gridSpan w:val="2"/>
          </w:tcPr>
          <w:p w14:paraId="076A0849" w14:textId="77777777" w:rsidR="005255A8" w:rsidRPr="004578DF" w:rsidRDefault="005255A8" w:rsidP="00BD3FDE">
            <w:pPr>
              <w:jc w:val="both"/>
              <w:rPr>
                <w:b/>
              </w:rPr>
            </w:pPr>
            <w:r w:rsidRPr="004578DF">
              <w:rPr>
                <w:b/>
              </w:rPr>
              <w:t>Westley croup score</w:t>
            </w:r>
          </w:p>
        </w:tc>
      </w:tr>
      <w:tr w:rsidR="005255A8" w14:paraId="66759B52" w14:textId="77777777" w:rsidTr="005255A8">
        <w:tc>
          <w:tcPr>
            <w:tcW w:w="4315" w:type="dxa"/>
            <w:vMerge w:val="restart"/>
          </w:tcPr>
          <w:p w14:paraId="06E72A07" w14:textId="77777777" w:rsidR="005255A8" w:rsidRDefault="005255A8" w:rsidP="00BD3FDE">
            <w:pPr>
              <w:jc w:val="both"/>
            </w:pPr>
            <w:r>
              <w:t>Stridor</w:t>
            </w:r>
          </w:p>
        </w:tc>
        <w:tc>
          <w:tcPr>
            <w:tcW w:w="4315" w:type="dxa"/>
          </w:tcPr>
          <w:p w14:paraId="6D440B62" w14:textId="77777777" w:rsidR="005255A8" w:rsidRDefault="005255A8" w:rsidP="00BD3FDE">
            <w:pPr>
              <w:jc w:val="both"/>
            </w:pPr>
            <w:r>
              <w:t>None: 0</w:t>
            </w:r>
          </w:p>
        </w:tc>
      </w:tr>
      <w:tr w:rsidR="005255A8" w14:paraId="17998ACC" w14:textId="77777777" w:rsidTr="005255A8">
        <w:tc>
          <w:tcPr>
            <w:tcW w:w="4315" w:type="dxa"/>
            <w:vMerge/>
          </w:tcPr>
          <w:p w14:paraId="48D48835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1C7A36EB" w14:textId="77777777" w:rsidR="005255A8" w:rsidRDefault="005255A8" w:rsidP="00BD3FDE">
            <w:pPr>
              <w:jc w:val="both"/>
            </w:pPr>
            <w:r>
              <w:t>With agitation: +1</w:t>
            </w:r>
          </w:p>
        </w:tc>
      </w:tr>
      <w:tr w:rsidR="005255A8" w14:paraId="0BB19530" w14:textId="77777777" w:rsidTr="005255A8">
        <w:tc>
          <w:tcPr>
            <w:tcW w:w="4315" w:type="dxa"/>
            <w:vMerge/>
          </w:tcPr>
          <w:p w14:paraId="786E7B23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4176F569" w14:textId="77777777" w:rsidR="005255A8" w:rsidRDefault="005255A8" w:rsidP="00BD3FDE">
            <w:pPr>
              <w:jc w:val="both"/>
            </w:pPr>
            <w:r>
              <w:t>At rest: +2</w:t>
            </w:r>
          </w:p>
        </w:tc>
      </w:tr>
      <w:tr w:rsidR="005255A8" w14:paraId="412689A8" w14:textId="77777777" w:rsidTr="005255A8">
        <w:tc>
          <w:tcPr>
            <w:tcW w:w="4315" w:type="dxa"/>
            <w:vMerge w:val="restart"/>
          </w:tcPr>
          <w:p w14:paraId="36B51653" w14:textId="77777777" w:rsidR="005255A8" w:rsidRDefault="005255A8" w:rsidP="00BD3FDE">
            <w:pPr>
              <w:jc w:val="both"/>
            </w:pPr>
            <w:r>
              <w:t>Chest wall retractions</w:t>
            </w:r>
          </w:p>
        </w:tc>
        <w:tc>
          <w:tcPr>
            <w:tcW w:w="4315" w:type="dxa"/>
          </w:tcPr>
          <w:p w14:paraId="5C26375B" w14:textId="77777777" w:rsidR="005255A8" w:rsidRDefault="005255A8" w:rsidP="00BD3FDE">
            <w:pPr>
              <w:jc w:val="both"/>
            </w:pPr>
            <w:r>
              <w:t>None: 0</w:t>
            </w:r>
          </w:p>
        </w:tc>
      </w:tr>
      <w:tr w:rsidR="005255A8" w14:paraId="51D1834C" w14:textId="77777777" w:rsidTr="005255A8">
        <w:tc>
          <w:tcPr>
            <w:tcW w:w="4315" w:type="dxa"/>
            <w:vMerge/>
          </w:tcPr>
          <w:p w14:paraId="7E7BC593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6D57868B" w14:textId="77777777" w:rsidR="005255A8" w:rsidRDefault="005255A8" w:rsidP="00BD3FDE">
            <w:pPr>
              <w:jc w:val="both"/>
            </w:pPr>
            <w:r>
              <w:t>Mild: +1</w:t>
            </w:r>
          </w:p>
        </w:tc>
      </w:tr>
      <w:tr w:rsidR="005255A8" w14:paraId="43928CC2" w14:textId="77777777" w:rsidTr="005255A8">
        <w:tc>
          <w:tcPr>
            <w:tcW w:w="4315" w:type="dxa"/>
            <w:vMerge/>
          </w:tcPr>
          <w:p w14:paraId="6DA6DDBD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3595816A" w14:textId="77777777" w:rsidR="005255A8" w:rsidRDefault="005255A8" w:rsidP="00BD3FDE">
            <w:pPr>
              <w:jc w:val="both"/>
            </w:pPr>
            <w:r>
              <w:t>Moderate: +2</w:t>
            </w:r>
          </w:p>
        </w:tc>
      </w:tr>
      <w:tr w:rsidR="005255A8" w14:paraId="161E2047" w14:textId="77777777" w:rsidTr="005255A8">
        <w:tc>
          <w:tcPr>
            <w:tcW w:w="4315" w:type="dxa"/>
            <w:vMerge/>
          </w:tcPr>
          <w:p w14:paraId="682ED2BA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67572B1F" w14:textId="77777777" w:rsidR="005255A8" w:rsidRDefault="005255A8" w:rsidP="00BD3FDE">
            <w:pPr>
              <w:jc w:val="both"/>
            </w:pPr>
            <w:r>
              <w:t>Severe: +3</w:t>
            </w:r>
          </w:p>
        </w:tc>
      </w:tr>
      <w:tr w:rsidR="005255A8" w14:paraId="335B37FD" w14:textId="77777777" w:rsidTr="005255A8">
        <w:tc>
          <w:tcPr>
            <w:tcW w:w="4315" w:type="dxa"/>
            <w:vMerge w:val="restart"/>
          </w:tcPr>
          <w:p w14:paraId="1CC8F95F" w14:textId="77777777" w:rsidR="005255A8" w:rsidRDefault="005255A8" w:rsidP="00BD3FDE">
            <w:pPr>
              <w:jc w:val="both"/>
            </w:pPr>
            <w:r>
              <w:t xml:space="preserve">Cyanosis </w:t>
            </w:r>
          </w:p>
        </w:tc>
        <w:tc>
          <w:tcPr>
            <w:tcW w:w="4315" w:type="dxa"/>
          </w:tcPr>
          <w:p w14:paraId="6513601D" w14:textId="77777777" w:rsidR="005255A8" w:rsidRDefault="005255A8" w:rsidP="00BD3FDE">
            <w:pPr>
              <w:jc w:val="both"/>
            </w:pPr>
            <w:r>
              <w:t>None: 0</w:t>
            </w:r>
          </w:p>
        </w:tc>
      </w:tr>
      <w:tr w:rsidR="005255A8" w14:paraId="1A14DD44" w14:textId="77777777" w:rsidTr="005255A8">
        <w:tc>
          <w:tcPr>
            <w:tcW w:w="4315" w:type="dxa"/>
            <w:vMerge/>
          </w:tcPr>
          <w:p w14:paraId="4D7FBDA0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389A7F5D" w14:textId="77777777" w:rsidR="005255A8" w:rsidRDefault="005255A8" w:rsidP="00BD3FDE">
            <w:pPr>
              <w:jc w:val="both"/>
            </w:pPr>
            <w:r>
              <w:t>With agitation: +4</w:t>
            </w:r>
          </w:p>
        </w:tc>
      </w:tr>
      <w:tr w:rsidR="005255A8" w14:paraId="1536A129" w14:textId="77777777" w:rsidTr="005255A8">
        <w:tc>
          <w:tcPr>
            <w:tcW w:w="4315" w:type="dxa"/>
            <w:vMerge/>
          </w:tcPr>
          <w:p w14:paraId="2D79424F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1FF1AAEA" w14:textId="77777777" w:rsidR="005255A8" w:rsidRDefault="005255A8" w:rsidP="00BD3FDE">
            <w:pPr>
              <w:jc w:val="both"/>
            </w:pPr>
            <w:r>
              <w:t>At rest: +5</w:t>
            </w:r>
          </w:p>
        </w:tc>
      </w:tr>
      <w:tr w:rsidR="005255A8" w14:paraId="17A24449" w14:textId="77777777" w:rsidTr="005255A8">
        <w:tc>
          <w:tcPr>
            <w:tcW w:w="4315" w:type="dxa"/>
            <w:vMerge w:val="restart"/>
          </w:tcPr>
          <w:p w14:paraId="6BD166AD" w14:textId="77777777" w:rsidR="005255A8" w:rsidRDefault="005255A8" w:rsidP="00BD3FDE">
            <w:pPr>
              <w:jc w:val="both"/>
            </w:pPr>
            <w:r>
              <w:t>Level of consciousness</w:t>
            </w:r>
          </w:p>
        </w:tc>
        <w:tc>
          <w:tcPr>
            <w:tcW w:w="4315" w:type="dxa"/>
          </w:tcPr>
          <w:p w14:paraId="5B5CF14F" w14:textId="77777777" w:rsidR="005255A8" w:rsidRDefault="005255A8" w:rsidP="00BD3FDE">
            <w:pPr>
              <w:jc w:val="both"/>
            </w:pPr>
            <w:r>
              <w:t>Normal: 0</w:t>
            </w:r>
          </w:p>
        </w:tc>
      </w:tr>
      <w:tr w:rsidR="005255A8" w14:paraId="65FE718B" w14:textId="77777777" w:rsidTr="005255A8">
        <w:tc>
          <w:tcPr>
            <w:tcW w:w="4315" w:type="dxa"/>
            <w:vMerge/>
          </w:tcPr>
          <w:p w14:paraId="47225D2A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0C5CFA63" w14:textId="77777777" w:rsidR="005255A8" w:rsidRDefault="005255A8" w:rsidP="00BD3FDE">
            <w:pPr>
              <w:jc w:val="both"/>
            </w:pPr>
            <w:r>
              <w:t>Disoriented: +5</w:t>
            </w:r>
          </w:p>
        </w:tc>
      </w:tr>
      <w:tr w:rsidR="005255A8" w14:paraId="02A8B8A1" w14:textId="77777777" w:rsidTr="005255A8">
        <w:tc>
          <w:tcPr>
            <w:tcW w:w="4315" w:type="dxa"/>
            <w:vMerge w:val="restart"/>
          </w:tcPr>
          <w:p w14:paraId="6D56C992" w14:textId="77777777" w:rsidR="005255A8" w:rsidRDefault="005255A8" w:rsidP="00BD3FDE">
            <w:pPr>
              <w:jc w:val="both"/>
            </w:pPr>
            <w:r>
              <w:t>Air entry</w:t>
            </w:r>
          </w:p>
        </w:tc>
        <w:tc>
          <w:tcPr>
            <w:tcW w:w="4315" w:type="dxa"/>
          </w:tcPr>
          <w:p w14:paraId="357FCB58" w14:textId="77777777" w:rsidR="005255A8" w:rsidRDefault="005255A8" w:rsidP="00BD3FDE">
            <w:pPr>
              <w:jc w:val="both"/>
            </w:pPr>
            <w:r>
              <w:t>Normal: 0</w:t>
            </w:r>
          </w:p>
        </w:tc>
      </w:tr>
      <w:tr w:rsidR="005255A8" w14:paraId="2E944ADA" w14:textId="77777777" w:rsidTr="005255A8">
        <w:tc>
          <w:tcPr>
            <w:tcW w:w="4315" w:type="dxa"/>
            <w:vMerge/>
          </w:tcPr>
          <w:p w14:paraId="1DBF9ACF" w14:textId="77777777" w:rsidR="005255A8" w:rsidRDefault="005255A8" w:rsidP="00BD3FDE">
            <w:pPr>
              <w:jc w:val="both"/>
            </w:pPr>
          </w:p>
        </w:tc>
        <w:tc>
          <w:tcPr>
            <w:tcW w:w="4315" w:type="dxa"/>
          </w:tcPr>
          <w:p w14:paraId="5AA2B205" w14:textId="77777777" w:rsidR="005255A8" w:rsidRDefault="005255A8" w:rsidP="00BD3FDE">
            <w:pPr>
              <w:jc w:val="both"/>
            </w:pPr>
            <w:r>
              <w:t>Decrease: +1</w:t>
            </w:r>
          </w:p>
        </w:tc>
      </w:tr>
    </w:tbl>
    <w:p w14:paraId="0A08494B" w14:textId="77777777" w:rsidR="005255A8" w:rsidRDefault="005255A8" w:rsidP="005255A8">
      <w:pPr>
        <w:jc w:val="both"/>
        <w:rPr>
          <w:b/>
        </w:rPr>
      </w:pPr>
    </w:p>
    <w:p w14:paraId="7AF06948" w14:textId="77777777" w:rsidR="005255A8" w:rsidRDefault="005255A8" w:rsidP="005255A8">
      <w:r w:rsidRPr="007155BD">
        <w:rPr>
          <w:b/>
        </w:rPr>
        <w:t>Score &lt;2 – mild disease</w:t>
      </w:r>
      <w:r>
        <w:t xml:space="preserve"> (occasional barking cough, hoarseness, no stridor at rest, mild or absent suprasternal or subcostal retractions)</w:t>
      </w:r>
    </w:p>
    <w:p w14:paraId="7403E158" w14:textId="77777777" w:rsidR="005255A8" w:rsidRDefault="005255A8" w:rsidP="005255A8">
      <w:r w:rsidRPr="007155BD">
        <w:rPr>
          <w:b/>
        </w:rPr>
        <w:t>Score 3-5: moderate disease</w:t>
      </w:r>
      <w:r>
        <w:t xml:space="preserve"> (findings include frequent cough, audible stridor at rest, and visible retractions, but little distress or agitation)</w:t>
      </w:r>
    </w:p>
    <w:p w14:paraId="53E8E647" w14:textId="77777777" w:rsidR="005255A8" w:rsidRDefault="005255A8" w:rsidP="005255A8">
      <w:r w:rsidRPr="007155BD">
        <w:rPr>
          <w:b/>
        </w:rPr>
        <w:lastRenderedPageBreak/>
        <w:t>Score 6-11: severe disease</w:t>
      </w:r>
      <w:r>
        <w:t xml:space="preserve"> (patients present with prominent inspiratory, and occasionally expiratory stridor, frequent cough, marked chest wall retractions, decreased air entry on auscultation, significant distress and agitation. </w:t>
      </w:r>
    </w:p>
    <w:p w14:paraId="28D70EA2" w14:textId="560E3180" w:rsidR="005255A8" w:rsidRPr="007155BD" w:rsidRDefault="005255A8" w:rsidP="005255A8">
      <w:r w:rsidRPr="007155BD">
        <w:rPr>
          <w:b/>
        </w:rPr>
        <w:t xml:space="preserve">A Westley score of </w:t>
      </w:r>
      <w:r w:rsidR="00FD75F9">
        <w:rPr>
          <w:b/>
        </w:rPr>
        <w:t>≥</w:t>
      </w:r>
      <w:r w:rsidR="001B125E">
        <w:rPr>
          <w:b/>
        </w:rPr>
        <w:t xml:space="preserve"> </w:t>
      </w:r>
      <w:r w:rsidRPr="007155BD">
        <w:rPr>
          <w:b/>
        </w:rPr>
        <w:t>12 indicates impending respiratory failure</w:t>
      </w:r>
      <w:r>
        <w:t>; at th</w:t>
      </w:r>
      <w:r w:rsidR="00FD75F9">
        <w:t>is</w:t>
      </w:r>
      <w:r>
        <w:t xml:space="preserve"> point</w:t>
      </w:r>
      <w:r w:rsidR="00FD75F9">
        <w:t>,</w:t>
      </w:r>
      <w:r>
        <w:t xml:space="preserve"> a barking cough and inspiratory stridor may no longer be prominent</w:t>
      </w:r>
      <w:r w:rsidR="00FD75F9">
        <w:t xml:space="preserve"> – it </w:t>
      </w:r>
      <w:r>
        <w:t>presents with lethargy, cyanosis and decreasing retractions.</w:t>
      </w:r>
    </w:p>
    <w:p w14:paraId="5D591259" w14:textId="77777777" w:rsidR="005255A8" w:rsidRDefault="005255A8" w:rsidP="005255A8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</w:t>
      </w:r>
    </w:p>
    <w:p w14:paraId="3D21D4B2" w14:textId="77777777" w:rsidR="005255A8" w:rsidRDefault="005255A8" w:rsidP="005255A8">
      <w:r>
        <w:t>Taking a child with stridor outdoor into the cool air for 10 minutes can give him/her some relieve. Parent can be advised to do this. In addition, advise caregivers to have the child breathe warm moist air. This can be done by:</w:t>
      </w:r>
    </w:p>
    <w:p w14:paraId="55E98DE0" w14:textId="77777777" w:rsidR="005255A8" w:rsidRDefault="005255A8" w:rsidP="005255A8">
      <w:pPr>
        <w:pStyle w:val="ListParagraph"/>
        <w:numPr>
          <w:ilvl w:val="0"/>
          <w:numId w:val="30"/>
        </w:numPr>
      </w:pPr>
      <w:r>
        <w:t>running hot water in your shower with the bathroom door closed. After the bathroom becomes steamy, the parent can sit with the child in the room for about 10 minutes.</w:t>
      </w:r>
    </w:p>
    <w:p w14:paraId="7BF4A2B6" w14:textId="1057A3FE" w:rsidR="005255A8" w:rsidRDefault="005255A8" w:rsidP="005255A8">
      <w:pPr>
        <w:pStyle w:val="ListParagraph"/>
        <w:numPr>
          <w:ilvl w:val="0"/>
          <w:numId w:val="30"/>
        </w:numPr>
      </w:pPr>
      <w:r>
        <w:t xml:space="preserve">Have </w:t>
      </w:r>
      <w:r w:rsidR="00FD75F9">
        <w:t xml:space="preserve">the </w:t>
      </w:r>
      <w:r>
        <w:t>child breathe through a warm, wet washcloth lightly placed over the mouth and nose.</w:t>
      </w:r>
    </w:p>
    <w:p w14:paraId="7313263C" w14:textId="77777777" w:rsidR="005255A8" w:rsidRDefault="005255A8" w:rsidP="005255A8">
      <w:r>
        <w:t xml:space="preserve">Treatment depends on the severity. </w:t>
      </w:r>
    </w:p>
    <w:p w14:paraId="40AED165" w14:textId="77777777" w:rsidR="005255A8" w:rsidRPr="004578DF" w:rsidRDefault="005255A8" w:rsidP="005255A8">
      <w:pPr>
        <w:rPr>
          <w:b/>
        </w:rPr>
      </w:pPr>
      <w:r w:rsidRPr="004578DF">
        <w:rPr>
          <w:b/>
        </w:rPr>
        <w:t xml:space="preserve">Mild disease: </w:t>
      </w:r>
    </w:p>
    <w:p w14:paraId="0DA3E470" w14:textId="4F7ABEAE" w:rsidR="005255A8" w:rsidRDefault="005255A8" w:rsidP="005255A8">
      <w:pPr>
        <w:pStyle w:val="ListParagraph"/>
        <w:numPr>
          <w:ilvl w:val="0"/>
          <w:numId w:val="31"/>
        </w:numPr>
      </w:pPr>
      <w:r>
        <w:t>Give paracetamol (10-15 mg/kg TDS/QDS) or ibuprofen (5-10 mg/kg TDS) for fever</w:t>
      </w:r>
    </w:p>
    <w:p w14:paraId="637F60DF" w14:textId="77777777" w:rsidR="005255A8" w:rsidRDefault="005255A8" w:rsidP="005255A8">
      <w:pPr>
        <w:pStyle w:val="ListParagraph"/>
        <w:numPr>
          <w:ilvl w:val="0"/>
          <w:numId w:val="31"/>
        </w:numPr>
      </w:pPr>
      <w:r>
        <w:t>Encourage adequate fluid intake</w:t>
      </w:r>
    </w:p>
    <w:p w14:paraId="28B43017" w14:textId="0D3B01DF" w:rsidR="005255A8" w:rsidRDefault="005255A8" w:rsidP="005255A8">
      <w:pPr>
        <w:pStyle w:val="ListParagraph"/>
        <w:numPr>
          <w:ilvl w:val="0"/>
          <w:numId w:val="31"/>
        </w:numPr>
      </w:pPr>
      <w:r>
        <w:t>Giv</w:t>
      </w:r>
      <w:r w:rsidR="00FD75F9">
        <w:t>ing</w:t>
      </w:r>
      <w:r>
        <w:t xml:space="preserve"> a single dose of oral dexamethasone 0.6mg/kg or prednisolone 1-2mg/kg may be of benefit.</w:t>
      </w:r>
    </w:p>
    <w:p w14:paraId="23A5BD78" w14:textId="77777777" w:rsidR="005255A8" w:rsidRDefault="005255A8" w:rsidP="005255A8">
      <w:pPr>
        <w:pStyle w:val="ListParagraph"/>
        <w:numPr>
          <w:ilvl w:val="0"/>
          <w:numId w:val="31"/>
        </w:numPr>
      </w:pPr>
      <w:r>
        <w:t>Send patient home</w:t>
      </w:r>
    </w:p>
    <w:p w14:paraId="286279A4" w14:textId="2BC37D23" w:rsidR="005255A8" w:rsidRDefault="005255A8" w:rsidP="005255A8">
      <w:pPr>
        <w:pStyle w:val="ListParagraph"/>
        <w:numPr>
          <w:ilvl w:val="0"/>
          <w:numId w:val="31"/>
        </w:numPr>
      </w:pPr>
      <w:r>
        <w:t>Advised to return i</w:t>
      </w:r>
      <w:r w:rsidR="00FD75F9">
        <w:t>f</w:t>
      </w:r>
      <w:r>
        <w:t xml:space="preserve"> symptoms worsen</w:t>
      </w:r>
    </w:p>
    <w:p w14:paraId="64E14245" w14:textId="77777777" w:rsidR="005255A8" w:rsidRPr="004578DF" w:rsidRDefault="005255A8" w:rsidP="005255A8">
      <w:pPr>
        <w:rPr>
          <w:b/>
        </w:rPr>
      </w:pPr>
      <w:r w:rsidRPr="004578DF">
        <w:rPr>
          <w:b/>
        </w:rPr>
        <w:t>In moderate to severe croup</w:t>
      </w:r>
    </w:p>
    <w:p w14:paraId="30B84C06" w14:textId="77777777" w:rsidR="005255A8" w:rsidRDefault="005255A8" w:rsidP="005255A8">
      <w:pPr>
        <w:pStyle w:val="ListParagraph"/>
        <w:numPr>
          <w:ilvl w:val="0"/>
          <w:numId w:val="32"/>
        </w:numPr>
      </w:pPr>
      <w:r>
        <w:t>Admit to the ward</w:t>
      </w:r>
    </w:p>
    <w:p w14:paraId="29495ECB" w14:textId="77777777" w:rsidR="005255A8" w:rsidRDefault="005255A8" w:rsidP="005255A8">
      <w:pPr>
        <w:pStyle w:val="ListParagraph"/>
        <w:numPr>
          <w:ilvl w:val="0"/>
          <w:numId w:val="32"/>
        </w:numPr>
      </w:pPr>
      <w:r>
        <w:t>Start oxygen therapy</w:t>
      </w:r>
    </w:p>
    <w:p w14:paraId="7EC658B3" w14:textId="030096D5" w:rsidR="005255A8" w:rsidRDefault="005255A8" w:rsidP="005255A8">
      <w:pPr>
        <w:pStyle w:val="ListParagraph"/>
        <w:numPr>
          <w:ilvl w:val="0"/>
          <w:numId w:val="32"/>
        </w:numPr>
      </w:pPr>
      <w:r>
        <w:t>Give dexamethasone 0.6 mg/kg or prednisolone 1-2 mg/kg by mouth. Repeat dose after 12 hours if necessary</w:t>
      </w:r>
    </w:p>
    <w:p w14:paraId="1A45CBC2" w14:textId="2A294D10" w:rsidR="005255A8" w:rsidRDefault="005255A8" w:rsidP="005255A8">
      <w:pPr>
        <w:pStyle w:val="ListParagraph"/>
        <w:numPr>
          <w:ilvl w:val="0"/>
          <w:numId w:val="32"/>
        </w:numPr>
      </w:pPr>
      <w:r>
        <w:t>Nebulised adrenaline (epinephrine) solution 1 in 1,000 (1 mg/mL) should be given with close clinical monitoring in a dose of 400 micrograms/kg (maximum 5 mg) repeated every 30 minutes if necessary.</w:t>
      </w:r>
    </w:p>
    <w:p w14:paraId="02A6875B" w14:textId="77777777" w:rsidR="005255A8" w:rsidRDefault="005255A8" w:rsidP="005255A8">
      <w:pPr>
        <w:pStyle w:val="ListParagraph"/>
        <w:numPr>
          <w:ilvl w:val="0"/>
          <w:numId w:val="32"/>
        </w:numPr>
      </w:pPr>
      <w:r>
        <w:t>Monitor closely and send home when respiratory distress and stridor resolves.</w:t>
      </w:r>
    </w:p>
    <w:p w14:paraId="49A3522C" w14:textId="17EB497A" w:rsidR="005255A8" w:rsidRPr="004578DF" w:rsidRDefault="00810197" w:rsidP="005255A8">
      <w:pPr>
        <w:jc w:val="both"/>
      </w:pP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 wp14:anchorId="386E7CC0" wp14:editId="35942505">
            <wp:extent cx="5476875" cy="516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up_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77E71C" w14:textId="77777777" w:rsidR="005255A8" w:rsidRDefault="005255A8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645A79BD" w14:textId="51E5D70D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7A8CFC17" w14:textId="77777777" w:rsidR="005255A8" w:rsidRPr="00135CB6" w:rsidRDefault="005255A8" w:rsidP="005255A8">
      <w:pPr>
        <w:rPr>
          <w:sz w:val="20"/>
          <w:szCs w:val="20"/>
        </w:rPr>
      </w:pPr>
      <w:r w:rsidRPr="00135CB6">
        <w:rPr>
          <w:sz w:val="20"/>
          <w:szCs w:val="20"/>
        </w:rPr>
        <w:t>Colledge, Nicki R., Brian R. Walker, Stuart Ralston, and Stanley Davidson. 2010. Davidson's principles and practice of medicine. Edinburgh: Churchill Livingstone/Elsevier.</w:t>
      </w:r>
    </w:p>
    <w:p w14:paraId="545608B0" w14:textId="77777777" w:rsidR="005255A8" w:rsidRPr="00135CB6" w:rsidRDefault="005255A8" w:rsidP="005255A8">
      <w:pPr>
        <w:rPr>
          <w:sz w:val="20"/>
          <w:szCs w:val="20"/>
        </w:rPr>
      </w:pPr>
      <w:r w:rsidRPr="00135CB6">
        <w:rPr>
          <w:sz w:val="20"/>
          <w:szCs w:val="20"/>
        </w:rPr>
        <w:t>Kliegman, Robert., et al. Nelson Textbook of Pediatrics. Edition 20. Phialdelphia, PA: Elsevier, 2016.</w:t>
      </w:r>
    </w:p>
    <w:p w14:paraId="0398235B" w14:textId="77777777" w:rsidR="005255A8" w:rsidRPr="00135CB6" w:rsidRDefault="005255A8" w:rsidP="005255A8">
      <w:pPr>
        <w:rPr>
          <w:sz w:val="20"/>
          <w:szCs w:val="20"/>
        </w:rPr>
      </w:pPr>
      <w:r w:rsidRPr="00135CB6">
        <w:rPr>
          <w:sz w:val="20"/>
          <w:szCs w:val="20"/>
        </w:rPr>
        <w:t>Management of acute respiratory diseases in the pediatric population. The role of oral corticosteroids. Italian Journal of Pediatrics 43(1). December 2017. Retrieved from https://www.researchgate.net/figure/Westley-croup-score_tbl7_315597265 on 25th February 2017.</w:t>
      </w:r>
    </w:p>
    <w:p w14:paraId="14B65DA8" w14:textId="77777777" w:rsidR="005255A8" w:rsidRPr="00135CB6" w:rsidRDefault="005255A8" w:rsidP="005255A8">
      <w:pPr>
        <w:rPr>
          <w:sz w:val="20"/>
          <w:szCs w:val="20"/>
        </w:rPr>
      </w:pPr>
      <w:r w:rsidRPr="00135CB6">
        <w:rPr>
          <w:sz w:val="20"/>
          <w:szCs w:val="20"/>
        </w:rPr>
        <w:t>Waseem M (2018). Otitis Media. Medscape. Retrieved from https://emedicine.medscape.com/article/994656-overview on 26th February, 2019</w:t>
      </w:r>
    </w:p>
    <w:p w14:paraId="3333AF0E" w14:textId="77777777" w:rsidR="005255A8" w:rsidRPr="00135CB6" w:rsidRDefault="005255A8" w:rsidP="005255A8">
      <w:pPr>
        <w:rPr>
          <w:sz w:val="20"/>
          <w:szCs w:val="20"/>
        </w:rPr>
      </w:pPr>
      <w:r w:rsidRPr="00135CB6">
        <w:rPr>
          <w:sz w:val="20"/>
          <w:szCs w:val="20"/>
        </w:rPr>
        <w:t>Standard Treatment Guidelines, 6th Edition, 2010. ISBN 978-9988-1-2538-7</w:t>
      </w:r>
    </w:p>
    <w:p w14:paraId="60CF6854" w14:textId="77777777" w:rsidR="005255A8" w:rsidRPr="00135CB6" w:rsidRDefault="005255A8" w:rsidP="005255A8">
      <w:pPr>
        <w:rPr>
          <w:sz w:val="20"/>
          <w:szCs w:val="20"/>
        </w:rPr>
      </w:pPr>
      <w:r w:rsidRPr="00135CB6">
        <w:rPr>
          <w:sz w:val="20"/>
          <w:szCs w:val="20"/>
        </w:rPr>
        <w:t>Zoorob R et al (2011). Croup: An Overview. Retrieved from https://www.aafp.org/afp/2011/0501/p1067.html on 25th February, 2019.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6C95DF5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08F7D47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BC60534" w14:textId="7471E941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5255A8">
              <w:rPr>
                <w:szCs w:val="22"/>
              </w:rPr>
              <w:t>Fatoumata Sawaneh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6C271D6" w14:textId="5F4CDAF2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255A8">
              <w:rPr>
                <w:szCs w:val="22"/>
              </w:rPr>
              <w:t>27 February 2019</w:t>
            </w:r>
          </w:p>
        </w:tc>
      </w:tr>
      <w:tr w:rsidR="004C4442" w:rsidRPr="00515546" w14:paraId="277319E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CA58962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59455CA" w14:textId="0349E829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B4559F">
              <w:rPr>
                <w:szCs w:val="22"/>
              </w:rPr>
              <w:t>Baderinwa Abatan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6ABCA0D" w14:textId="664FDAFB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255A8">
              <w:rPr>
                <w:szCs w:val="22"/>
              </w:rPr>
              <w:t>3 May 2019</w:t>
            </w:r>
          </w:p>
        </w:tc>
      </w:tr>
      <w:tr w:rsidR="004C4442" w:rsidRPr="00515546" w14:paraId="21B1106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5B4BFAF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22A421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A372C73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3D30FB09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0CFC525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DCAE1F9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B4BFCE0" w14:textId="51F0DB87" w:rsidR="004C4442" w:rsidRPr="00515546" w:rsidRDefault="00A107CD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May 2021</w:t>
            </w:r>
          </w:p>
        </w:tc>
      </w:tr>
      <w:tr w:rsidR="005638D0" w:rsidRPr="00515546" w14:paraId="45302B6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B1B640F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4DA5A7C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47CE0204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63FE8B26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E9548" w14:textId="77777777" w:rsidR="00084A1C" w:rsidRDefault="00084A1C" w:rsidP="00975A60">
      <w:pPr>
        <w:spacing w:after="0"/>
      </w:pPr>
      <w:r>
        <w:separator/>
      </w:r>
    </w:p>
  </w:endnote>
  <w:endnote w:type="continuationSeparator" w:id="0">
    <w:p w14:paraId="069A49F8" w14:textId="77777777" w:rsidR="00084A1C" w:rsidRDefault="00084A1C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B823E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075AA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CB0A1" w14:textId="711CC28B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810197">
      <w:rPr>
        <w:rStyle w:val="PageNumber"/>
        <w:noProof/>
      </w:rPr>
      <w:t>5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810197">
      <w:rPr>
        <w:rStyle w:val="PageNumber"/>
        <w:noProof/>
      </w:rPr>
      <w:t>5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F7666" w14:textId="7BDF818A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810197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810197">
      <w:rPr>
        <w:rStyle w:val="PageNumber"/>
        <w:noProof/>
      </w:rPr>
      <w:t>5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585C3" w14:textId="77777777" w:rsidR="00084A1C" w:rsidRDefault="00084A1C" w:rsidP="00975A60">
      <w:pPr>
        <w:spacing w:after="0"/>
      </w:pPr>
      <w:r>
        <w:separator/>
      </w:r>
    </w:p>
  </w:footnote>
  <w:footnote w:type="continuationSeparator" w:id="0">
    <w:p w14:paraId="75DCA2EC" w14:textId="77777777" w:rsidR="00084A1C" w:rsidRDefault="00084A1C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23AA1" w14:textId="0FCB2672" w:rsidR="00D13825" w:rsidRPr="00F87812" w:rsidRDefault="00D13825" w:rsidP="00D13825">
    <w:pPr>
      <w:pStyle w:val="Header"/>
    </w:pPr>
    <w:r w:rsidRPr="00F87812">
      <w:t>Identification code: MeG-CLS-</w:t>
    </w:r>
    <w:r w:rsidR="00685AD4">
      <w:t>059</w:t>
    </w:r>
    <w:r w:rsidRPr="00F87812">
      <w:tab/>
    </w:r>
  </w:p>
  <w:p w14:paraId="4B7022A8" w14:textId="3C8BB0BD" w:rsidR="005D1877" w:rsidRPr="0095050B" w:rsidRDefault="00D13825" w:rsidP="00D13825">
    <w:pPr>
      <w:pStyle w:val="Header"/>
    </w:pPr>
    <w:r w:rsidRPr="0095050B">
      <w:t xml:space="preserve">Version: 1.0 – </w:t>
    </w:r>
    <w:r w:rsidR="00A107CD">
      <w:t>31 May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707DD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78D004E3" wp14:editId="5F587AC3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85739D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42B12F11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226781A2" w14:textId="09B1EA29" w:rsidR="00D13825" w:rsidRPr="00F87812" w:rsidRDefault="00D13825" w:rsidP="00D13825">
    <w:pPr>
      <w:pStyle w:val="Header"/>
    </w:pPr>
    <w:r w:rsidRPr="00F87812">
      <w:t>Identification code: MeG-CLS-</w:t>
    </w:r>
    <w:r w:rsidR="00685AD4">
      <w:t>059</w:t>
    </w:r>
    <w:r w:rsidRPr="00F87812">
      <w:tab/>
    </w:r>
  </w:p>
  <w:p w14:paraId="77E4F140" w14:textId="49B73811" w:rsidR="00D13825" w:rsidRPr="00F87812" w:rsidRDefault="00D13825" w:rsidP="00D13825">
    <w:pPr>
      <w:pStyle w:val="Header"/>
    </w:pPr>
    <w:r w:rsidRPr="00F87812">
      <w:t xml:space="preserve">Version: </w:t>
    </w:r>
    <w:r w:rsidRPr="0095050B">
      <w:t xml:space="preserve">1.0 – </w:t>
    </w:r>
    <w:r w:rsidR="00A107CD">
      <w:t>31 May 2019</w:t>
    </w:r>
  </w:p>
  <w:p w14:paraId="25081671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7790D"/>
    <w:multiLevelType w:val="hybridMultilevel"/>
    <w:tmpl w:val="701C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B53E5"/>
    <w:multiLevelType w:val="hybridMultilevel"/>
    <w:tmpl w:val="7FFEA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EB7867"/>
    <w:multiLevelType w:val="hybridMultilevel"/>
    <w:tmpl w:val="A4FCD63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D8E6F23"/>
    <w:multiLevelType w:val="hybridMultilevel"/>
    <w:tmpl w:val="9EE8C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04BD4"/>
    <w:multiLevelType w:val="hybridMultilevel"/>
    <w:tmpl w:val="AE72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3304F"/>
    <w:multiLevelType w:val="hybridMultilevel"/>
    <w:tmpl w:val="EC80A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D4E37"/>
    <w:multiLevelType w:val="hybridMultilevel"/>
    <w:tmpl w:val="66D0AC3A"/>
    <w:lvl w:ilvl="0" w:tplc="A0FEB37C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E42C5"/>
    <w:multiLevelType w:val="hybridMultilevel"/>
    <w:tmpl w:val="832CA2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1"/>
  </w:num>
  <w:num w:numId="5">
    <w:abstractNumId w:val="0"/>
  </w:num>
  <w:num w:numId="6">
    <w:abstractNumId w:val="6"/>
  </w:num>
  <w:num w:numId="7">
    <w:abstractNumId w:val="18"/>
  </w:num>
  <w:num w:numId="8">
    <w:abstractNumId w:val="2"/>
  </w:num>
  <w:num w:numId="9">
    <w:abstractNumId w:val="32"/>
  </w:num>
  <w:num w:numId="10">
    <w:abstractNumId w:val="5"/>
  </w:num>
  <w:num w:numId="11">
    <w:abstractNumId w:val="12"/>
  </w:num>
  <w:num w:numId="12">
    <w:abstractNumId w:val="23"/>
  </w:num>
  <w:num w:numId="13">
    <w:abstractNumId w:val="28"/>
  </w:num>
  <w:num w:numId="14">
    <w:abstractNumId w:val="26"/>
  </w:num>
  <w:num w:numId="15">
    <w:abstractNumId w:val="31"/>
  </w:num>
  <w:num w:numId="16">
    <w:abstractNumId w:val="14"/>
  </w:num>
  <w:num w:numId="17">
    <w:abstractNumId w:val="9"/>
  </w:num>
  <w:num w:numId="18">
    <w:abstractNumId w:val="27"/>
  </w:num>
  <w:num w:numId="19">
    <w:abstractNumId w:val="15"/>
  </w:num>
  <w:num w:numId="20">
    <w:abstractNumId w:val="30"/>
  </w:num>
  <w:num w:numId="21">
    <w:abstractNumId w:val="17"/>
  </w:num>
  <w:num w:numId="22">
    <w:abstractNumId w:val="10"/>
  </w:num>
  <w:num w:numId="23">
    <w:abstractNumId w:val="22"/>
  </w:num>
  <w:num w:numId="24">
    <w:abstractNumId w:val="25"/>
  </w:num>
  <w:num w:numId="25">
    <w:abstractNumId w:val="20"/>
  </w:num>
  <w:num w:numId="26">
    <w:abstractNumId w:val="13"/>
  </w:num>
  <w:num w:numId="27">
    <w:abstractNumId w:val="7"/>
  </w:num>
  <w:num w:numId="28">
    <w:abstractNumId w:val="29"/>
  </w:num>
  <w:num w:numId="29">
    <w:abstractNumId w:val="21"/>
  </w:num>
  <w:num w:numId="30">
    <w:abstractNumId w:val="19"/>
  </w:num>
  <w:num w:numId="31">
    <w:abstractNumId w:val="4"/>
  </w:num>
  <w:num w:numId="32">
    <w:abstractNumId w:val="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NbUwMjW3tDA3MDFS0lEKTi0uzszPAykwqQUA4f5vySwAAAA="/>
  </w:docVars>
  <w:rsids>
    <w:rsidRoot w:val="005255A8"/>
    <w:rsid w:val="000039D9"/>
    <w:rsid w:val="0007147C"/>
    <w:rsid w:val="00081642"/>
    <w:rsid w:val="00084A1C"/>
    <w:rsid w:val="00114AAF"/>
    <w:rsid w:val="001203AE"/>
    <w:rsid w:val="00135CB6"/>
    <w:rsid w:val="00175153"/>
    <w:rsid w:val="001B125E"/>
    <w:rsid w:val="001C1450"/>
    <w:rsid w:val="00223920"/>
    <w:rsid w:val="00252A11"/>
    <w:rsid w:val="0029357D"/>
    <w:rsid w:val="002A2856"/>
    <w:rsid w:val="003020A2"/>
    <w:rsid w:val="003038D3"/>
    <w:rsid w:val="003225CD"/>
    <w:rsid w:val="003C0800"/>
    <w:rsid w:val="003F70CA"/>
    <w:rsid w:val="004517C5"/>
    <w:rsid w:val="004A25F0"/>
    <w:rsid w:val="004A4C93"/>
    <w:rsid w:val="004C4442"/>
    <w:rsid w:val="00504405"/>
    <w:rsid w:val="005151D8"/>
    <w:rsid w:val="00515546"/>
    <w:rsid w:val="005255A8"/>
    <w:rsid w:val="005638D0"/>
    <w:rsid w:val="00584E1E"/>
    <w:rsid w:val="005D1877"/>
    <w:rsid w:val="00633320"/>
    <w:rsid w:val="00685AD4"/>
    <w:rsid w:val="007067BE"/>
    <w:rsid w:val="00776092"/>
    <w:rsid w:val="007B26B1"/>
    <w:rsid w:val="00810197"/>
    <w:rsid w:val="00857027"/>
    <w:rsid w:val="009165E9"/>
    <w:rsid w:val="009325A7"/>
    <w:rsid w:val="0095050B"/>
    <w:rsid w:val="009747D5"/>
    <w:rsid w:val="00975A60"/>
    <w:rsid w:val="009956F9"/>
    <w:rsid w:val="009B44BE"/>
    <w:rsid w:val="009F5B1B"/>
    <w:rsid w:val="00A107CD"/>
    <w:rsid w:val="00A312D8"/>
    <w:rsid w:val="00A41080"/>
    <w:rsid w:val="00A57064"/>
    <w:rsid w:val="00B31AC4"/>
    <w:rsid w:val="00B4559F"/>
    <w:rsid w:val="00B844E8"/>
    <w:rsid w:val="00BD08AB"/>
    <w:rsid w:val="00C67021"/>
    <w:rsid w:val="00CC3CF5"/>
    <w:rsid w:val="00CD4A1D"/>
    <w:rsid w:val="00CF6573"/>
    <w:rsid w:val="00D03AB2"/>
    <w:rsid w:val="00D13825"/>
    <w:rsid w:val="00DA20ED"/>
    <w:rsid w:val="00DC1CC5"/>
    <w:rsid w:val="00DC590C"/>
    <w:rsid w:val="00DE3D6D"/>
    <w:rsid w:val="00DF345F"/>
    <w:rsid w:val="00E16283"/>
    <w:rsid w:val="00E162DA"/>
    <w:rsid w:val="00F03F25"/>
    <w:rsid w:val="00F53968"/>
    <w:rsid w:val="00F71F11"/>
    <w:rsid w:val="00F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FEF1"/>
  <w15:docId w15:val="{53680F4E-FECB-436F-BD45-DCE22C40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9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2019a.dotx</Template>
  <TotalTime>3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Karen</dc:creator>
  <cp:lastModifiedBy>misan Agboghoroma</cp:lastModifiedBy>
  <cp:revision>4</cp:revision>
  <cp:lastPrinted>2019-05-31T09:34:00Z</cp:lastPrinted>
  <dcterms:created xsi:type="dcterms:W3CDTF">2019-05-27T14:52:00Z</dcterms:created>
  <dcterms:modified xsi:type="dcterms:W3CDTF">2020-05-18T22:32:00Z</dcterms:modified>
</cp:coreProperties>
</file>