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D5E80" w14:textId="7F45061A" w:rsidR="001203AE" w:rsidRPr="003C0800" w:rsidRDefault="00D83851" w:rsidP="00504405">
      <w:pPr>
        <w:pStyle w:val="Heading1"/>
      </w:pPr>
      <w:bookmarkStart w:id="0" w:name="_GoBack"/>
      <w:bookmarkEnd w:id="0"/>
      <w:r>
        <w:t>Developmental delay</w:t>
      </w:r>
    </w:p>
    <w:p w14:paraId="5F9F16E3" w14:textId="77777777" w:rsidR="00584E1E" w:rsidRPr="00F94418" w:rsidRDefault="00584E1E" w:rsidP="00584E1E">
      <w:pPr>
        <w:pStyle w:val="Heading2"/>
        <w:rPr>
          <w:rFonts w:cs="Arial"/>
          <w:i/>
          <w:szCs w:val="22"/>
        </w:rPr>
      </w:pPr>
      <w:r w:rsidRPr="00F94418">
        <w:rPr>
          <w:rFonts w:cs="Arial"/>
          <w:i/>
          <w:szCs w:val="22"/>
        </w:rPr>
        <w:t>Executive summary</w:t>
      </w:r>
    </w:p>
    <w:p w14:paraId="753DD9C1" w14:textId="77777777" w:rsidR="00584E1E" w:rsidRPr="003E6679" w:rsidRDefault="00584E1E" w:rsidP="00584E1E">
      <w:pPr>
        <w:pStyle w:val="Heading2"/>
        <w:rPr>
          <w:rFonts w:cs="Arial"/>
          <w:color w:val="000000" w:themeColor="text1"/>
          <w:szCs w:val="22"/>
        </w:rPr>
      </w:pPr>
      <w:r w:rsidRPr="003E6679">
        <w:rPr>
          <w:rFonts w:cs="Arial"/>
          <w:color w:val="000000" w:themeColor="text1"/>
          <w:szCs w:val="22"/>
        </w:rPr>
        <w:t>Introduction</w:t>
      </w:r>
    </w:p>
    <w:p w14:paraId="03A795A3" w14:textId="77777777" w:rsidR="00D83851" w:rsidRPr="003E6679" w:rsidRDefault="00D83851" w:rsidP="00D83851">
      <w:pPr>
        <w:rPr>
          <w:color w:val="000000" w:themeColor="text1"/>
          <w:lang w:val="en-GB"/>
        </w:rPr>
      </w:pPr>
      <w:r w:rsidRPr="003E6679">
        <w:rPr>
          <w:color w:val="000000" w:themeColor="text1"/>
          <w:lang w:val="en-GB"/>
        </w:rPr>
        <w:t xml:space="preserve">Developmental delay (DD) is defined as significant delay (&gt;2 standard deviations below the mean) affecting children &lt; 5 years of age in one or more of the following developmental domains: </w:t>
      </w:r>
    </w:p>
    <w:p w14:paraId="4F2432C7" w14:textId="77777777" w:rsidR="00D83851" w:rsidRPr="003E6679" w:rsidRDefault="00D83851" w:rsidP="00C62531">
      <w:pPr>
        <w:pStyle w:val="ListParagraph"/>
        <w:numPr>
          <w:ilvl w:val="0"/>
          <w:numId w:val="2"/>
        </w:numPr>
        <w:rPr>
          <w:color w:val="000000" w:themeColor="text1"/>
          <w:lang w:val="en-GB"/>
        </w:rPr>
      </w:pPr>
      <w:r w:rsidRPr="003E6679">
        <w:rPr>
          <w:color w:val="000000" w:themeColor="text1"/>
          <w:lang w:val="en-GB"/>
        </w:rPr>
        <w:t xml:space="preserve">Gross motor </w:t>
      </w:r>
    </w:p>
    <w:p w14:paraId="3ABCEEB6" w14:textId="77777777" w:rsidR="00D83851" w:rsidRPr="003E6679" w:rsidRDefault="00D83851" w:rsidP="00C62531">
      <w:pPr>
        <w:pStyle w:val="ListParagraph"/>
        <w:numPr>
          <w:ilvl w:val="0"/>
          <w:numId w:val="2"/>
        </w:numPr>
        <w:rPr>
          <w:color w:val="000000" w:themeColor="text1"/>
          <w:lang w:val="en-GB"/>
        </w:rPr>
      </w:pPr>
      <w:r w:rsidRPr="003E6679">
        <w:rPr>
          <w:color w:val="000000" w:themeColor="text1"/>
          <w:lang w:val="en-GB"/>
        </w:rPr>
        <w:t xml:space="preserve">Vision &amp; Fine motor </w:t>
      </w:r>
    </w:p>
    <w:p w14:paraId="7D1E7D9A" w14:textId="77777777" w:rsidR="00D83851" w:rsidRPr="003E6679" w:rsidRDefault="00D83851" w:rsidP="00C62531">
      <w:pPr>
        <w:pStyle w:val="ListParagraph"/>
        <w:numPr>
          <w:ilvl w:val="0"/>
          <w:numId w:val="2"/>
        </w:numPr>
        <w:rPr>
          <w:color w:val="000000" w:themeColor="text1"/>
          <w:lang w:val="en-GB"/>
        </w:rPr>
      </w:pPr>
      <w:r w:rsidRPr="003E6679">
        <w:rPr>
          <w:color w:val="000000" w:themeColor="text1"/>
          <w:lang w:val="en-GB"/>
        </w:rPr>
        <w:t>Hearing, Speech &amp; Language</w:t>
      </w:r>
    </w:p>
    <w:p w14:paraId="52F4BCD8" w14:textId="028333F9" w:rsidR="00D83851" w:rsidRPr="003E6679" w:rsidRDefault="00D83851" w:rsidP="00C62531">
      <w:pPr>
        <w:pStyle w:val="ListParagraph"/>
        <w:numPr>
          <w:ilvl w:val="0"/>
          <w:numId w:val="2"/>
        </w:numPr>
        <w:rPr>
          <w:color w:val="000000" w:themeColor="text1"/>
          <w:lang w:val="en-GB"/>
        </w:rPr>
      </w:pPr>
      <w:r w:rsidRPr="003E6679">
        <w:rPr>
          <w:color w:val="000000" w:themeColor="text1"/>
          <w:lang w:val="en-GB"/>
        </w:rPr>
        <w:t>Social, Emotional &amp; Behavioural</w:t>
      </w:r>
    </w:p>
    <w:p w14:paraId="11FD9F5C" w14:textId="446C613F" w:rsidR="00D83851" w:rsidRPr="003E6679" w:rsidRDefault="00D83851" w:rsidP="00D83851">
      <w:pPr>
        <w:rPr>
          <w:color w:val="000000" w:themeColor="text1"/>
          <w:lang w:val="en-GB"/>
        </w:rPr>
      </w:pPr>
      <w:r w:rsidRPr="003E6679">
        <w:rPr>
          <w:color w:val="000000" w:themeColor="text1"/>
          <w:u w:val="single"/>
          <w:lang w:val="en-GB"/>
        </w:rPr>
        <w:t>Global</w:t>
      </w:r>
      <w:r w:rsidRPr="003E6679">
        <w:rPr>
          <w:color w:val="000000" w:themeColor="text1"/>
          <w:lang w:val="en-GB"/>
        </w:rPr>
        <w:t xml:space="preserve"> developmental delay is defined as significant delay in </w:t>
      </w:r>
      <w:r w:rsidRPr="003E6679">
        <w:rPr>
          <w:color w:val="000000" w:themeColor="text1"/>
          <w:u w:val="single"/>
          <w:lang w:val="en-GB"/>
        </w:rPr>
        <w:t>two or more</w:t>
      </w:r>
      <w:r w:rsidRPr="003E6679">
        <w:rPr>
          <w:color w:val="000000" w:themeColor="text1"/>
          <w:lang w:val="en-GB"/>
        </w:rPr>
        <w:t xml:space="preserve"> developmental domains. </w:t>
      </w:r>
      <w:r w:rsidRPr="003E6679">
        <w:rPr>
          <w:color w:val="000000" w:themeColor="text1"/>
          <w:shd w:val="clear" w:color="auto" w:fill="FFFFFF"/>
          <w:lang w:val="en-GB"/>
        </w:rPr>
        <w:t xml:space="preserve">The degree of developmental delay is further subclassified as: </w:t>
      </w:r>
    </w:p>
    <w:p w14:paraId="49D74DAF" w14:textId="0CDB7EF6" w:rsidR="00D83851" w:rsidRPr="003E6679" w:rsidRDefault="00D83851" w:rsidP="00C62531">
      <w:pPr>
        <w:pStyle w:val="ListParagraph"/>
        <w:numPr>
          <w:ilvl w:val="0"/>
          <w:numId w:val="3"/>
        </w:numPr>
        <w:rPr>
          <w:color w:val="000000" w:themeColor="text1"/>
          <w:lang w:val="en-GB"/>
        </w:rPr>
      </w:pPr>
      <w:r w:rsidRPr="003E6679">
        <w:rPr>
          <w:color w:val="000000" w:themeColor="text1"/>
          <w:shd w:val="clear" w:color="auto" w:fill="FFFFFF"/>
          <w:lang w:val="en-GB"/>
        </w:rPr>
        <w:t>mild (functional age &lt;</w:t>
      </w:r>
      <w:r w:rsidR="00922FC4">
        <w:rPr>
          <w:color w:val="000000" w:themeColor="text1"/>
          <w:shd w:val="clear" w:color="auto" w:fill="FFFFFF"/>
          <w:lang w:val="en-GB"/>
        </w:rPr>
        <w:t xml:space="preserve"> </w:t>
      </w:r>
      <w:r w:rsidRPr="003E6679">
        <w:rPr>
          <w:color w:val="000000" w:themeColor="text1"/>
          <w:shd w:val="clear" w:color="auto" w:fill="FFFFFF"/>
          <w:lang w:val="en-GB"/>
        </w:rPr>
        <w:t>33% below chronological age)</w:t>
      </w:r>
    </w:p>
    <w:p w14:paraId="63CC146E" w14:textId="77777777" w:rsidR="00D83851" w:rsidRPr="003E6679" w:rsidRDefault="00D83851" w:rsidP="00C62531">
      <w:pPr>
        <w:pStyle w:val="ListParagraph"/>
        <w:numPr>
          <w:ilvl w:val="0"/>
          <w:numId w:val="3"/>
        </w:numPr>
        <w:rPr>
          <w:color w:val="000000" w:themeColor="text1"/>
          <w:lang w:val="en-GB"/>
        </w:rPr>
      </w:pPr>
      <w:r w:rsidRPr="003E6679">
        <w:rPr>
          <w:color w:val="000000" w:themeColor="text1"/>
          <w:shd w:val="clear" w:color="auto" w:fill="FFFFFF"/>
          <w:lang w:val="en-GB"/>
        </w:rPr>
        <w:t>moderate (functional age 34%–66% of chronological age)</w:t>
      </w:r>
    </w:p>
    <w:p w14:paraId="2738A258" w14:textId="5BA26B5F" w:rsidR="00D83851" w:rsidRPr="003E6679" w:rsidRDefault="00D83851" w:rsidP="00C62531">
      <w:pPr>
        <w:pStyle w:val="ListParagraph"/>
        <w:numPr>
          <w:ilvl w:val="0"/>
          <w:numId w:val="3"/>
        </w:numPr>
        <w:rPr>
          <w:color w:val="000000" w:themeColor="text1"/>
          <w:lang w:val="en-GB"/>
        </w:rPr>
      </w:pPr>
      <w:r w:rsidRPr="003E6679">
        <w:rPr>
          <w:color w:val="000000" w:themeColor="text1"/>
          <w:shd w:val="clear" w:color="auto" w:fill="FFFFFF"/>
          <w:lang w:val="en-GB"/>
        </w:rPr>
        <w:t>severe (functional age &lt;</w:t>
      </w:r>
      <w:r w:rsidR="00922FC4">
        <w:rPr>
          <w:color w:val="000000" w:themeColor="text1"/>
          <w:shd w:val="clear" w:color="auto" w:fill="FFFFFF"/>
          <w:lang w:val="en-GB"/>
        </w:rPr>
        <w:t xml:space="preserve"> </w:t>
      </w:r>
      <w:r w:rsidRPr="003E6679">
        <w:rPr>
          <w:color w:val="000000" w:themeColor="text1"/>
          <w:shd w:val="clear" w:color="auto" w:fill="FFFFFF"/>
          <w:lang w:val="en-GB"/>
        </w:rPr>
        <w:t xml:space="preserve">66% of chronological age). </w:t>
      </w:r>
    </w:p>
    <w:p w14:paraId="4DAB2B26" w14:textId="4CA19CA9" w:rsidR="00D83851" w:rsidRPr="003E6679" w:rsidRDefault="00D83851" w:rsidP="00D83851">
      <w:pPr>
        <w:rPr>
          <w:color w:val="000000" w:themeColor="text1"/>
        </w:rPr>
      </w:pPr>
      <w:r w:rsidRPr="003E6679">
        <w:rPr>
          <w:color w:val="000000" w:themeColor="text1"/>
        </w:rPr>
        <w:t xml:space="preserve">While DD may not be permanent, it can provide a basis for identifying children who may experience a disability. Early recognition of DD is crucial to commencing timely interventions, prevention of complications, developing family understanding and support networks and creating a more stimulating and protective environment for the child. </w:t>
      </w:r>
    </w:p>
    <w:p w14:paraId="4DE40BD5" w14:textId="77777777" w:rsidR="00584E1E" w:rsidRDefault="00584E1E" w:rsidP="00504405">
      <w:pPr>
        <w:pStyle w:val="Heading2"/>
        <w:rPr>
          <w:bCs/>
        </w:rPr>
      </w:pPr>
      <w:r w:rsidRPr="00612AEE">
        <w:t xml:space="preserve">Target </w:t>
      </w:r>
      <w:r>
        <w:t>u</w:t>
      </w:r>
      <w:r w:rsidRPr="00612AEE">
        <w:t>ser</w:t>
      </w:r>
      <w:r>
        <w:t>s</w:t>
      </w:r>
    </w:p>
    <w:p w14:paraId="40A6D23B" w14:textId="1E66BBE8" w:rsidR="00584E1E" w:rsidRDefault="00D83851" w:rsidP="00C62531">
      <w:pPr>
        <w:pStyle w:val="ListParagraph"/>
        <w:numPr>
          <w:ilvl w:val="0"/>
          <w:numId w:val="1"/>
        </w:numPr>
      </w:pPr>
      <w:r>
        <w:t>Nurses</w:t>
      </w:r>
    </w:p>
    <w:p w14:paraId="5ADBF1D5" w14:textId="23E5F320" w:rsidR="00584E1E" w:rsidRPr="00584E1E" w:rsidRDefault="00D83851" w:rsidP="00C62531">
      <w:pPr>
        <w:pStyle w:val="ListParagraph"/>
        <w:numPr>
          <w:ilvl w:val="0"/>
          <w:numId w:val="1"/>
        </w:numPr>
      </w:pPr>
      <w:r>
        <w:t>Doctors</w:t>
      </w:r>
    </w:p>
    <w:p w14:paraId="42D94E66" w14:textId="77777777" w:rsidR="00584E1E" w:rsidRDefault="00584E1E" w:rsidP="00504405">
      <w:pPr>
        <w:pStyle w:val="Heading2"/>
        <w:rPr>
          <w:bCs/>
        </w:rPr>
      </w:pPr>
      <w:r w:rsidRPr="00612AEE">
        <w:t xml:space="preserve">Target area of use </w:t>
      </w:r>
    </w:p>
    <w:p w14:paraId="25A1669D" w14:textId="312A90C6" w:rsidR="00584E1E" w:rsidRDefault="00D83851" w:rsidP="00C62531">
      <w:pPr>
        <w:pStyle w:val="ListParagraph"/>
        <w:numPr>
          <w:ilvl w:val="0"/>
          <w:numId w:val="1"/>
        </w:numPr>
      </w:pPr>
      <w:r>
        <w:t>Gate clinic</w:t>
      </w:r>
    </w:p>
    <w:p w14:paraId="3BEA5A6B" w14:textId="2D3D1C17" w:rsidR="00584E1E" w:rsidRDefault="00D83851" w:rsidP="00C62531">
      <w:pPr>
        <w:pStyle w:val="ListParagraph"/>
        <w:numPr>
          <w:ilvl w:val="0"/>
          <w:numId w:val="1"/>
        </w:numPr>
      </w:pPr>
      <w:r>
        <w:t>Outpatient department</w:t>
      </w:r>
    </w:p>
    <w:p w14:paraId="1C6B5701" w14:textId="6858DD0D" w:rsidR="00D83851" w:rsidRPr="00584E1E" w:rsidRDefault="00D83851" w:rsidP="00C62531">
      <w:pPr>
        <w:pStyle w:val="ListParagraph"/>
        <w:numPr>
          <w:ilvl w:val="0"/>
          <w:numId w:val="1"/>
        </w:numPr>
      </w:pPr>
      <w:r>
        <w:t>Ward</w:t>
      </w:r>
    </w:p>
    <w:p w14:paraId="289B9C5B" w14:textId="77777777" w:rsidR="00584E1E" w:rsidRDefault="00584E1E" w:rsidP="00504405">
      <w:pPr>
        <w:pStyle w:val="Heading2"/>
        <w:rPr>
          <w:bCs/>
        </w:rPr>
      </w:pPr>
      <w:r>
        <w:t xml:space="preserve">Key areas of focus / </w:t>
      </w:r>
      <w:r w:rsidRPr="00612AEE">
        <w:t xml:space="preserve">New additions / </w:t>
      </w:r>
      <w:r>
        <w:t>C</w:t>
      </w:r>
      <w:r w:rsidRPr="00612AEE">
        <w:t xml:space="preserve">hanges </w:t>
      </w:r>
    </w:p>
    <w:p w14:paraId="74CA0E98" w14:textId="39F0AFF8" w:rsidR="00584E1E" w:rsidRPr="00584E1E" w:rsidRDefault="00584E1E" w:rsidP="00504405">
      <w:pPr>
        <w:rPr>
          <w:b/>
        </w:rPr>
      </w:pPr>
      <w:r>
        <w:t>T</w:t>
      </w:r>
      <w:r w:rsidR="00D83851">
        <w:t>his guideline provides an approach for doctors and nurses to follow in assessing children for developmental delay as well as some guidance in how to manage them.</w:t>
      </w:r>
    </w:p>
    <w:p w14:paraId="069EDEA0" w14:textId="77777777" w:rsidR="00584E1E" w:rsidRDefault="00584E1E" w:rsidP="00504405">
      <w:pPr>
        <w:pStyle w:val="Heading2"/>
      </w:pPr>
      <w:r w:rsidRPr="00504405">
        <w:t>Limitations</w:t>
      </w:r>
    </w:p>
    <w:p w14:paraId="17CF47EA" w14:textId="732E1C91" w:rsidR="00584E1E" w:rsidRPr="00504405" w:rsidRDefault="00D83851" w:rsidP="00584E1E">
      <w:pPr>
        <w:rPr>
          <w:b/>
        </w:rPr>
      </w:pPr>
      <w:r>
        <w:t>We have limited access to tests and management options for these children.</w:t>
      </w:r>
    </w:p>
    <w:p w14:paraId="0606A0CC" w14:textId="77777777" w:rsidR="00584E1E" w:rsidRDefault="00584E1E">
      <w:pPr>
        <w:spacing w:after="0"/>
        <w:outlineLvl w:val="9"/>
        <w:rPr>
          <w:b/>
          <w:sz w:val="24"/>
          <w:szCs w:val="22"/>
        </w:rPr>
      </w:pPr>
      <w:r>
        <w:rPr>
          <w:szCs w:val="22"/>
        </w:rPr>
        <w:br w:type="page"/>
      </w:r>
    </w:p>
    <w:p w14:paraId="049DE9E9" w14:textId="5CB8DE09" w:rsidR="00D83851" w:rsidRDefault="00D83851" w:rsidP="00975A60">
      <w:pPr>
        <w:pStyle w:val="Heading2"/>
        <w:rPr>
          <w:rFonts w:cs="Arial"/>
          <w:szCs w:val="22"/>
        </w:rPr>
      </w:pPr>
      <w:r>
        <w:rPr>
          <w:rFonts w:cs="Arial"/>
          <w:szCs w:val="22"/>
        </w:rPr>
        <w:lastRenderedPageBreak/>
        <w:t>Causes of developmental delay</w:t>
      </w:r>
    </w:p>
    <w:p w14:paraId="7018133F" w14:textId="4D3F0C1D" w:rsidR="00D83851" w:rsidRDefault="00D83851" w:rsidP="00D83851">
      <w:pPr>
        <w:spacing w:after="0" w:line="276" w:lineRule="auto"/>
        <w:outlineLvl w:val="9"/>
        <w:rPr>
          <w:rFonts w:eastAsia="Times New Roman"/>
          <w:szCs w:val="22"/>
          <w:lang w:val="en-GB"/>
        </w:rPr>
      </w:pPr>
      <w:r>
        <w:rPr>
          <w:rFonts w:eastAsia="Times New Roman"/>
          <w:szCs w:val="22"/>
          <w:lang w:val="en-GB"/>
        </w:rPr>
        <w:t xml:space="preserve">DD can </w:t>
      </w:r>
      <w:r w:rsidRPr="00566B5F">
        <w:rPr>
          <w:rFonts w:eastAsia="Times New Roman"/>
          <w:szCs w:val="22"/>
          <w:lang w:val="en-GB"/>
        </w:rPr>
        <w:t>result from antenatal or postnatal damage to brain development although in 50% of cases the cause is unknown:</w:t>
      </w:r>
    </w:p>
    <w:p w14:paraId="66A753D1" w14:textId="77777777" w:rsidR="00D83851" w:rsidRPr="00D83851" w:rsidRDefault="00D83851" w:rsidP="00D83851">
      <w:pPr>
        <w:spacing w:after="0" w:line="276" w:lineRule="auto"/>
        <w:outlineLvl w:val="9"/>
        <w:rPr>
          <w:rFonts w:eastAsia="Times New Roman"/>
          <w:b/>
          <w:szCs w:val="22"/>
          <w:lang w:val="en-GB"/>
        </w:rPr>
      </w:pPr>
      <w:r w:rsidRPr="00D83851">
        <w:rPr>
          <w:rFonts w:eastAsia="Times New Roman"/>
          <w:b/>
          <w:szCs w:val="22"/>
          <w:lang w:val="en-GB"/>
        </w:rPr>
        <w:t>Antenatal:</w:t>
      </w:r>
    </w:p>
    <w:p w14:paraId="3C47638D" w14:textId="77777777" w:rsidR="00D83851" w:rsidRPr="00D83851" w:rsidRDefault="00D83851" w:rsidP="00C62531">
      <w:pPr>
        <w:pStyle w:val="ListParagraph"/>
        <w:numPr>
          <w:ilvl w:val="0"/>
          <w:numId w:val="4"/>
        </w:numPr>
        <w:spacing w:after="0" w:line="276" w:lineRule="auto"/>
        <w:outlineLvl w:val="9"/>
        <w:rPr>
          <w:rFonts w:eastAsia="Times New Roman"/>
          <w:szCs w:val="22"/>
          <w:lang w:val="en-GB"/>
        </w:rPr>
      </w:pPr>
      <w:r w:rsidRPr="00D83851">
        <w:rPr>
          <w:color w:val="333333"/>
        </w:rPr>
        <w:t>Genetic/syndromes (20-50%)</w:t>
      </w:r>
    </w:p>
    <w:p w14:paraId="19C2DDE9" w14:textId="77777777" w:rsidR="00D83851" w:rsidRPr="00D83851" w:rsidRDefault="00D83851" w:rsidP="00C62531">
      <w:pPr>
        <w:pStyle w:val="ListParagraph"/>
        <w:numPr>
          <w:ilvl w:val="0"/>
          <w:numId w:val="4"/>
        </w:numPr>
        <w:spacing w:after="0" w:line="276" w:lineRule="auto"/>
        <w:outlineLvl w:val="9"/>
        <w:rPr>
          <w:rFonts w:eastAsia="Times New Roman"/>
          <w:szCs w:val="22"/>
          <w:lang w:val="en-GB"/>
        </w:rPr>
      </w:pPr>
      <w:r w:rsidRPr="00D83851">
        <w:rPr>
          <w:color w:val="333333"/>
        </w:rPr>
        <w:t>Cerebral malformations (7%)</w:t>
      </w:r>
    </w:p>
    <w:p w14:paraId="63C7E445" w14:textId="77777777" w:rsidR="00D83851" w:rsidRPr="00D83851" w:rsidRDefault="00D83851" w:rsidP="00C62531">
      <w:pPr>
        <w:pStyle w:val="ListParagraph"/>
        <w:numPr>
          <w:ilvl w:val="0"/>
          <w:numId w:val="4"/>
        </w:numPr>
        <w:spacing w:after="0" w:line="276" w:lineRule="auto"/>
        <w:outlineLvl w:val="9"/>
        <w:rPr>
          <w:rFonts w:eastAsia="Times New Roman"/>
          <w:szCs w:val="22"/>
          <w:lang w:val="en-GB"/>
        </w:rPr>
      </w:pPr>
      <w:r w:rsidRPr="00D83851">
        <w:rPr>
          <w:color w:val="333333"/>
        </w:rPr>
        <w:t>Early maternal infections e.g. rubella, toxoplasma, CMV</w:t>
      </w:r>
    </w:p>
    <w:p w14:paraId="068D26DA" w14:textId="77777777" w:rsidR="00D83851" w:rsidRPr="00D83851" w:rsidRDefault="00D83851" w:rsidP="00C62531">
      <w:pPr>
        <w:pStyle w:val="ListParagraph"/>
        <w:numPr>
          <w:ilvl w:val="0"/>
          <w:numId w:val="4"/>
        </w:numPr>
        <w:spacing w:after="0" w:line="276" w:lineRule="auto"/>
        <w:outlineLvl w:val="9"/>
        <w:rPr>
          <w:rFonts w:eastAsia="Times New Roman"/>
          <w:szCs w:val="22"/>
          <w:lang w:val="en-GB"/>
        </w:rPr>
      </w:pPr>
      <w:r w:rsidRPr="00D83851">
        <w:rPr>
          <w:color w:val="333333"/>
        </w:rPr>
        <w:t>Late maternal infections, such as varicella, malaria, HIV</w:t>
      </w:r>
    </w:p>
    <w:p w14:paraId="70182F5E" w14:textId="77777777" w:rsidR="00D83851" w:rsidRPr="00D83851" w:rsidRDefault="00D83851" w:rsidP="00C62531">
      <w:pPr>
        <w:pStyle w:val="ListParagraph"/>
        <w:numPr>
          <w:ilvl w:val="0"/>
          <w:numId w:val="4"/>
        </w:numPr>
        <w:spacing w:after="0" w:line="276" w:lineRule="auto"/>
        <w:outlineLvl w:val="9"/>
        <w:rPr>
          <w:rFonts w:eastAsia="Times New Roman"/>
          <w:szCs w:val="22"/>
          <w:lang w:val="en-GB"/>
        </w:rPr>
      </w:pPr>
      <w:r w:rsidRPr="00D83851">
        <w:rPr>
          <w:color w:val="333333"/>
        </w:rPr>
        <w:t>Toxins—for example, alcohol, pesticides, radiation, smoking</w:t>
      </w:r>
    </w:p>
    <w:p w14:paraId="6ADE0F80" w14:textId="77777777" w:rsidR="00D83851" w:rsidRPr="00D83851" w:rsidRDefault="00D83851" w:rsidP="00C62531">
      <w:pPr>
        <w:pStyle w:val="ListParagraph"/>
        <w:numPr>
          <w:ilvl w:val="0"/>
          <w:numId w:val="4"/>
        </w:numPr>
        <w:spacing w:after="0" w:line="276" w:lineRule="auto"/>
        <w:outlineLvl w:val="9"/>
        <w:rPr>
          <w:rFonts w:eastAsia="Times New Roman"/>
          <w:szCs w:val="22"/>
          <w:lang w:val="en-GB"/>
        </w:rPr>
      </w:pPr>
      <w:r w:rsidRPr="00D83851">
        <w:rPr>
          <w:color w:val="333333"/>
        </w:rPr>
        <w:t xml:space="preserve">Drugs—for example, </w:t>
      </w:r>
      <w:proofErr w:type="spellStart"/>
      <w:r w:rsidRPr="00D83851">
        <w:rPr>
          <w:color w:val="333333"/>
        </w:rPr>
        <w:t>cytotoxics</w:t>
      </w:r>
      <w:proofErr w:type="spellEnd"/>
      <w:r w:rsidRPr="00D83851">
        <w:rPr>
          <w:color w:val="333333"/>
        </w:rPr>
        <w:t>, antiepileptics</w:t>
      </w:r>
    </w:p>
    <w:p w14:paraId="64058022" w14:textId="77777777" w:rsidR="00D83851" w:rsidRPr="00781DCE" w:rsidRDefault="00D83851" w:rsidP="00D83851">
      <w:pPr>
        <w:pStyle w:val="Heading5"/>
        <w:spacing w:before="0" w:line="276" w:lineRule="auto"/>
        <w:textAlignment w:val="baseline"/>
        <w:rPr>
          <w:rFonts w:ascii="Arial" w:hAnsi="Arial" w:cs="Arial"/>
          <w:b/>
          <w:color w:val="333333"/>
        </w:rPr>
      </w:pPr>
      <w:r w:rsidRPr="00781DCE">
        <w:rPr>
          <w:rFonts w:ascii="Arial" w:hAnsi="Arial" w:cs="Arial"/>
          <w:b/>
          <w:color w:val="333333"/>
        </w:rPr>
        <w:t>Postnatal</w:t>
      </w:r>
    </w:p>
    <w:p w14:paraId="42118213" w14:textId="77777777" w:rsidR="00D83851" w:rsidRPr="00566B5F" w:rsidRDefault="00D83851" w:rsidP="00C62531">
      <w:pPr>
        <w:pStyle w:val="Heading5"/>
        <w:numPr>
          <w:ilvl w:val="0"/>
          <w:numId w:val="5"/>
        </w:numPr>
        <w:spacing w:before="0" w:line="276" w:lineRule="auto"/>
        <w:textAlignment w:val="baseline"/>
        <w:rPr>
          <w:rFonts w:ascii="Arial" w:hAnsi="Arial" w:cs="Arial"/>
          <w:color w:val="333333"/>
        </w:rPr>
      </w:pPr>
      <w:r w:rsidRPr="00566B5F">
        <w:rPr>
          <w:rFonts w:ascii="Arial" w:hAnsi="Arial" w:cs="Arial"/>
          <w:color w:val="333333"/>
        </w:rPr>
        <w:t>Cerebral palsy/complications of prematurity (2-10%)</w:t>
      </w:r>
    </w:p>
    <w:p w14:paraId="34B7F80E" w14:textId="77777777" w:rsidR="00D83851" w:rsidRPr="00566B5F" w:rsidRDefault="00D83851" w:rsidP="00C62531">
      <w:pPr>
        <w:pStyle w:val="Heading5"/>
        <w:numPr>
          <w:ilvl w:val="0"/>
          <w:numId w:val="5"/>
        </w:numPr>
        <w:spacing w:before="0" w:line="276" w:lineRule="auto"/>
        <w:textAlignment w:val="baseline"/>
        <w:rPr>
          <w:rFonts w:ascii="Arial" w:hAnsi="Arial" w:cs="Arial"/>
          <w:color w:val="333333"/>
        </w:rPr>
      </w:pPr>
      <w:r>
        <w:rPr>
          <w:rFonts w:ascii="Arial" w:hAnsi="Arial" w:cs="Arial"/>
          <w:color w:val="333333"/>
        </w:rPr>
        <w:t>Postnatal i</w:t>
      </w:r>
      <w:r w:rsidRPr="00566B5F">
        <w:rPr>
          <w:rFonts w:ascii="Arial" w:hAnsi="Arial" w:cs="Arial"/>
          <w:color w:val="333333"/>
        </w:rPr>
        <w:t>nfections</w:t>
      </w:r>
      <w:r>
        <w:rPr>
          <w:rFonts w:ascii="Arial" w:hAnsi="Arial" w:cs="Arial"/>
          <w:color w:val="333333"/>
        </w:rPr>
        <w:t xml:space="preserve"> e.g.</w:t>
      </w:r>
      <w:r w:rsidRPr="00566B5F">
        <w:rPr>
          <w:rFonts w:ascii="Arial" w:hAnsi="Arial" w:cs="Arial"/>
          <w:color w:val="333333"/>
        </w:rPr>
        <w:t xml:space="preserve"> meningitis, encephalitis, </w:t>
      </w:r>
      <w:r>
        <w:rPr>
          <w:rFonts w:ascii="Arial" w:hAnsi="Arial" w:cs="Arial"/>
          <w:color w:val="333333"/>
        </w:rPr>
        <w:t>CMV</w:t>
      </w:r>
    </w:p>
    <w:p w14:paraId="10B4132C" w14:textId="77777777" w:rsidR="00D83851" w:rsidRPr="00566B5F" w:rsidRDefault="00D83851" w:rsidP="00C62531">
      <w:pPr>
        <w:pStyle w:val="Heading5"/>
        <w:numPr>
          <w:ilvl w:val="0"/>
          <w:numId w:val="5"/>
        </w:numPr>
        <w:spacing w:before="0" w:line="276" w:lineRule="auto"/>
        <w:textAlignment w:val="baseline"/>
        <w:rPr>
          <w:rFonts w:ascii="Arial" w:hAnsi="Arial" w:cs="Arial"/>
          <w:color w:val="333333"/>
        </w:rPr>
      </w:pPr>
      <w:r w:rsidRPr="00566B5F">
        <w:rPr>
          <w:rFonts w:ascii="Arial" w:hAnsi="Arial" w:cs="Arial"/>
          <w:color w:val="333333"/>
        </w:rPr>
        <w:t xml:space="preserve">Metabolic or endocrine disorders, such as </w:t>
      </w:r>
      <w:proofErr w:type="spellStart"/>
      <w:r w:rsidRPr="00566B5F">
        <w:rPr>
          <w:rFonts w:ascii="Arial" w:hAnsi="Arial" w:cs="Arial"/>
          <w:color w:val="333333"/>
        </w:rPr>
        <w:t>hypoglycaemia</w:t>
      </w:r>
      <w:proofErr w:type="spellEnd"/>
      <w:r w:rsidRPr="00566B5F">
        <w:rPr>
          <w:rFonts w:ascii="Arial" w:hAnsi="Arial" w:cs="Arial"/>
          <w:color w:val="333333"/>
        </w:rPr>
        <w:t xml:space="preserve">, </w:t>
      </w:r>
      <w:proofErr w:type="spellStart"/>
      <w:r w:rsidRPr="00566B5F">
        <w:rPr>
          <w:rFonts w:ascii="Arial" w:hAnsi="Arial" w:cs="Arial"/>
          <w:color w:val="333333"/>
        </w:rPr>
        <w:t>hyponatraemia</w:t>
      </w:r>
      <w:proofErr w:type="spellEnd"/>
      <w:r w:rsidRPr="00566B5F">
        <w:rPr>
          <w:rFonts w:ascii="Arial" w:hAnsi="Arial" w:cs="Arial"/>
          <w:color w:val="333333"/>
        </w:rPr>
        <w:t xml:space="preserve"> or </w:t>
      </w:r>
      <w:proofErr w:type="spellStart"/>
      <w:r w:rsidRPr="00566B5F">
        <w:rPr>
          <w:rFonts w:ascii="Arial" w:hAnsi="Arial" w:cs="Arial"/>
          <w:color w:val="333333"/>
        </w:rPr>
        <w:t>hypernatraemia</w:t>
      </w:r>
      <w:proofErr w:type="spellEnd"/>
      <w:r w:rsidRPr="00566B5F">
        <w:rPr>
          <w:rFonts w:ascii="Arial" w:hAnsi="Arial" w:cs="Arial"/>
          <w:color w:val="333333"/>
        </w:rPr>
        <w:t>, dehydration (1-5%)</w:t>
      </w:r>
    </w:p>
    <w:p w14:paraId="6750298B" w14:textId="77777777" w:rsidR="00D83851" w:rsidRPr="00566B5F" w:rsidRDefault="00D83851" w:rsidP="00C62531">
      <w:pPr>
        <w:pStyle w:val="Heading5"/>
        <w:numPr>
          <w:ilvl w:val="0"/>
          <w:numId w:val="5"/>
        </w:numPr>
        <w:spacing w:before="0" w:line="276" w:lineRule="auto"/>
        <w:textAlignment w:val="baseline"/>
        <w:rPr>
          <w:rFonts w:ascii="Arial" w:hAnsi="Arial" w:cs="Arial"/>
          <w:color w:val="333333"/>
        </w:rPr>
      </w:pPr>
      <w:r w:rsidRPr="00566B5F">
        <w:rPr>
          <w:rFonts w:ascii="Arial" w:hAnsi="Arial" w:cs="Arial"/>
          <w:color w:val="333333"/>
        </w:rPr>
        <w:t>Toxins</w:t>
      </w:r>
      <w:r>
        <w:rPr>
          <w:rFonts w:ascii="Arial" w:hAnsi="Arial" w:cs="Arial"/>
          <w:color w:val="333333"/>
        </w:rPr>
        <w:t xml:space="preserve"> e.g.</w:t>
      </w:r>
      <w:r w:rsidRPr="00566B5F">
        <w:rPr>
          <w:rFonts w:ascii="Arial" w:hAnsi="Arial" w:cs="Arial"/>
          <w:color w:val="333333"/>
        </w:rPr>
        <w:t xml:space="preserve"> lead, mercury, arsenic, chlorinated organic compounds, solvents</w:t>
      </w:r>
    </w:p>
    <w:p w14:paraId="095699EF" w14:textId="77777777" w:rsidR="00D83851" w:rsidRPr="00566B5F" w:rsidRDefault="00D83851" w:rsidP="00C62531">
      <w:pPr>
        <w:pStyle w:val="Heading5"/>
        <w:numPr>
          <w:ilvl w:val="0"/>
          <w:numId w:val="5"/>
        </w:numPr>
        <w:spacing w:before="0" w:line="276" w:lineRule="auto"/>
        <w:textAlignment w:val="baseline"/>
        <w:rPr>
          <w:rFonts w:ascii="Arial" w:hAnsi="Arial" w:cs="Arial"/>
          <w:color w:val="333333"/>
        </w:rPr>
      </w:pPr>
      <w:r w:rsidRPr="00566B5F">
        <w:rPr>
          <w:rFonts w:ascii="Arial" w:hAnsi="Arial" w:cs="Arial"/>
          <w:color w:val="333333"/>
        </w:rPr>
        <w:t>Trauma, especially head injury</w:t>
      </w:r>
    </w:p>
    <w:p w14:paraId="5A5C1088" w14:textId="48B53C9A" w:rsidR="00D83851" w:rsidRPr="00566B5F" w:rsidRDefault="00D83851" w:rsidP="00C62531">
      <w:pPr>
        <w:pStyle w:val="Heading5"/>
        <w:numPr>
          <w:ilvl w:val="0"/>
          <w:numId w:val="5"/>
        </w:numPr>
        <w:spacing w:before="0" w:line="276" w:lineRule="auto"/>
        <w:textAlignment w:val="baseline"/>
        <w:rPr>
          <w:rFonts w:ascii="Arial" w:hAnsi="Arial" w:cs="Arial"/>
          <w:color w:val="333333"/>
        </w:rPr>
      </w:pPr>
      <w:r w:rsidRPr="00566B5F">
        <w:rPr>
          <w:rFonts w:ascii="Arial" w:hAnsi="Arial" w:cs="Arial"/>
          <w:color w:val="333333"/>
        </w:rPr>
        <w:t xml:space="preserve">Severe </w:t>
      </w:r>
      <w:proofErr w:type="spellStart"/>
      <w:r w:rsidRPr="00566B5F">
        <w:rPr>
          <w:rFonts w:ascii="Arial" w:hAnsi="Arial" w:cs="Arial"/>
          <w:color w:val="333333"/>
        </w:rPr>
        <w:t>understimulation</w:t>
      </w:r>
      <w:proofErr w:type="spellEnd"/>
      <w:r w:rsidRPr="00566B5F">
        <w:rPr>
          <w:rFonts w:ascii="Arial" w:hAnsi="Arial" w:cs="Arial"/>
          <w:color w:val="333333"/>
        </w:rPr>
        <w:t>, maltreatment, or domestic violence</w:t>
      </w:r>
    </w:p>
    <w:p w14:paraId="18F31FC7" w14:textId="77777777" w:rsidR="00D83851" w:rsidRPr="00566B5F" w:rsidRDefault="00D83851" w:rsidP="00C62531">
      <w:pPr>
        <w:pStyle w:val="Heading5"/>
        <w:numPr>
          <w:ilvl w:val="0"/>
          <w:numId w:val="5"/>
        </w:numPr>
        <w:spacing w:before="0" w:line="276" w:lineRule="auto"/>
        <w:textAlignment w:val="baseline"/>
        <w:rPr>
          <w:rFonts w:ascii="Arial" w:hAnsi="Arial" w:cs="Arial"/>
          <w:color w:val="333333"/>
        </w:rPr>
      </w:pPr>
      <w:r w:rsidRPr="00566B5F">
        <w:rPr>
          <w:rFonts w:ascii="Arial" w:hAnsi="Arial" w:cs="Arial"/>
          <w:color w:val="333333"/>
        </w:rPr>
        <w:t>Malnutrition, especially deficiency of iron, folate, and vitamin D</w:t>
      </w:r>
    </w:p>
    <w:p w14:paraId="4216DE20" w14:textId="77777777" w:rsidR="00D83851" w:rsidRPr="00566B5F" w:rsidRDefault="00D83851" w:rsidP="00C62531">
      <w:pPr>
        <w:pStyle w:val="Heading5"/>
        <w:numPr>
          <w:ilvl w:val="0"/>
          <w:numId w:val="5"/>
        </w:numPr>
        <w:spacing w:before="0" w:line="276" w:lineRule="auto"/>
        <w:textAlignment w:val="baseline"/>
        <w:rPr>
          <w:rFonts w:ascii="Arial" w:hAnsi="Arial" w:cs="Arial"/>
          <w:color w:val="333333"/>
        </w:rPr>
      </w:pPr>
      <w:r w:rsidRPr="00566B5F">
        <w:rPr>
          <w:rFonts w:ascii="Arial" w:hAnsi="Arial" w:cs="Arial"/>
          <w:color w:val="333333"/>
        </w:rPr>
        <w:t>Maternal mental health disorders, most commonly depression</w:t>
      </w:r>
    </w:p>
    <w:p w14:paraId="47535BD8" w14:textId="1B6842D6" w:rsidR="00975A60" w:rsidRPr="003E6679" w:rsidRDefault="00D83851" w:rsidP="00975A60">
      <w:pPr>
        <w:pStyle w:val="Heading2"/>
        <w:rPr>
          <w:rFonts w:cs="Arial"/>
          <w:color w:val="000000" w:themeColor="text1"/>
          <w:szCs w:val="22"/>
        </w:rPr>
      </w:pPr>
      <w:r w:rsidRPr="003E6679">
        <w:rPr>
          <w:rFonts w:cs="Arial"/>
          <w:color w:val="000000" w:themeColor="text1"/>
          <w:szCs w:val="22"/>
        </w:rPr>
        <w:t>Red flags to suggest developmental delay</w:t>
      </w:r>
    </w:p>
    <w:tbl>
      <w:tblPr>
        <w:tblStyle w:val="TableGrid"/>
        <w:tblW w:w="0" w:type="auto"/>
        <w:tblLook w:val="04A0" w:firstRow="1" w:lastRow="0" w:firstColumn="1" w:lastColumn="0" w:noHBand="0" w:noVBand="1"/>
      </w:tblPr>
      <w:tblGrid>
        <w:gridCol w:w="1555"/>
        <w:gridCol w:w="7075"/>
      </w:tblGrid>
      <w:tr w:rsidR="003E6679" w:rsidRPr="003E6679" w14:paraId="79AAC2CC" w14:textId="77777777" w:rsidTr="00D83851">
        <w:tc>
          <w:tcPr>
            <w:tcW w:w="1555" w:type="dxa"/>
          </w:tcPr>
          <w:p w14:paraId="75FA6617" w14:textId="541223F4" w:rsidR="00D83851" w:rsidRPr="003E6679" w:rsidRDefault="00D83851" w:rsidP="00D83851">
            <w:pPr>
              <w:rPr>
                <w:b/>
                <w:color w:val="000000" w:themeColor="text1"/>
              </w:rPr>
            </w:pPr>
            <w:r w:rsidRPr="003E6679">
              <w:rPr>
                <w:b/>
                <w:color w:val="000000" w:themeColor="text1"/>
              </w:rPr>
              <w:t>Age</w:t>
            </w:r>
          </w:p>
        </w:tc>
        <w:tc>
          <w:tcPr>
            <w:tcW w:w="7075" w:type="dxa"/>
          </w:tcPr>
          <w:p w14:paraId="222B7EC3" w14:textId="673800B5" w:rsidR="00D83851" w:rsidRPr="003E6679" w:rsidRDefault="00D83851" w:rsidP="00D83851">
            <w:pPr>
              <w:rPr>
                <w:b/>
                <w:color w:val="000000" w:themeColor="text1"/>
              </w:rPr>
            </w:pPr>
            <w:r w:rsidRPr="003E6679">
              <w:rPr>
                <w:b/>
                <w:color w:val="000000" w:themeColor="text1"/>
              </w:rPr>
              <w:t>Signs</w:t>
            </w:r>
          </w:p>
        </w:tc>
      </w:tr>
      <w:tr w:rsidR="003E6679" w:rsidRPr="003E6679" w14:paraId="75793890" w14:textId="77777777" w:rsidTr="00D83851">
        <w:tc>
          <w:tcPr>
            <w:tcW w:w="1555" w:type="dxa"/>
          </w:tcPr>
          <w:p w14:paraId="7DDECECC" w14:textId="3EF3B540" w:rsidR="00D83851" w:rsidRPr="003E6679" w:rsidRDefault="00D83851" w:rsidP="00D83851">
            <w:pPr>
              <w:rPr>
                <w:i/>
                <w:color w:val="000000" w:themeColor="text1"/>
              </w:rPr>
            </w:pPr>
            <w:r w:rsidRPr="003E6679">
              <w:rPr>
                <w:i/>
                <w:color w:val="000000" w:themeColor="text1"/>
              </w:rPr>
              <w:t>6 weeks</w:t>
            </w:r>
          </w:p>
        </w:tc>
        <w:tc>
          <w:tcPr>
            <w:tcW w:w="7075" w:type="dxa"/>
          </w:tcPr>
          <w:p w14:paraId="67B06756" w14:textId="7B278F46" w:rsidR="00D83851" w:rsidRPr="003E6679" w:rsidRDefault="00D83851" w:rsidP="00D83851">
            <w:pPr>
              <w:rPr>
                <w:color w:val="000000" w:themeColor="text1"/>
                <w:sz w:val="20"/>
                <w:szCs w:val="20"/>
              </w:rPr>
            </w:pPr>
            <w:r w:rsidRPr="003E6679">
              <w:rPr>
                <w:rFonts w:eastAsia="Times New Roman"/>
                <w:color w:val="000000" w:themeColor="text1"/>
                <w:sz w:val="20"/>
                <w:szCs w:val="20"/>
                <w:lang w:val="en-GB"/>
              </w:rPr>
              <w:t>Unresponsive to sound or visual stimuli</w:t>
            </w:r>
          </w:p>
        </w:tc>
      </w:tr>
      <w:tr w:rsidR="003E6679" w:rsidRPr="003E6679" w14:paraId="2C2FAB89" w14:textId="77777777" w:rsidTr="00D83851">
        <w:tc>
          <w:tcPr>
            <w:tcW w:w="1555" w:type="dxa"/>
          </w:tcPr>
          <w:p w14:paraId="270002A6" w14:textId="07A1669C" w:rsidR="00D83851" w:rsidRPr="003E6679" w:rsidRDefault="00D83851" w:rsidP="00D83851">
            <w:pPr>
              <w:rPr>
                <w:i/>
                <w:color w:val="000000" w:themeColor="text1"/>
              </w:rPr>
            </w:pPr>
            <w:r w:rsidRPr="003E6679">
              <w:rPr>
                <w:i/>
                <w:color w:val="000000" w:themeColor="text1"/>
              </w:rPr>
              <w:t>6 months</w:t>
            </w:r>
          </w:p>
        </w:tc>
        <w:tc>
          <w:tcPr>
            <w:tcW w:w="7075" w:type="dxa"/>
          </w:tcPr>
          <w:p w14:paraId="46725B91" w14:textId="727D7D4A" w:rsidR="00D83851" w:rsidRPr="003E6679" w:rsidRDefault="00D83851" w:rsidP="00D83851">
            <w:pPr>
              <w:rPr>
                <w:color w:val="000000" w:themeColor="text1"/>
                <w:sz w:val="20"/>
                <w:szCs w:val="20"/>
              </w:rPr>
            </w:pPr>
            <w:r w:rsidRPr="003E6679">
              <w:rPr>
                <w:rFonts w:eastAsia="Times New Roman"/>
                <w:color w:val="000000" w:themeColor="text1"/>
                <w:sz w:val="20"/>
                <w:szCs w:val="20"/>
                <w:lang w:val="en-GB"/>
              </w:rPr>
              <w:t>Poor head control, floppiness, not reaching</w:t>
            </w:r>
          </w:p>
        </w:tc>
      </w:tr>
      <w:tr w:rsidR="003E6679" w:rsidRPr="003E6679" w14:paraId="418C12E0" w14:textId="77777777" w:rsidTr="00D83851">
        <w:tc>
          <w:tcPr>
            <w:tcW w:w="1555" w:type="dxa"/>
          </w:tcPr>
          <w:p w14:paraId="3BD462CA" w14:textId="60959958" w:rsidR="00D83851" w:rsidRPr="003E6679" w:rsidRDefault="00D83851" w:rsidP="00D83851">
            <w:pPr>
              <w:rPr>
                <w:i/>
                <w:color w:val="000000" w:themeColor="text1"/>
              </w:rPr>
            </w:pPr>
            <w:r w:rsidRPr="003E6679">
              <w:rPr>
                <w:i/>
                <w:color w:val="000000" w:themeColor="text1"/>
              </w:rPr>
              <w:t>9 months</w:t>
            </w:r>
          </w:p>
        </w:tc>
        <w:tc>
          <w:tcPr>
            <w:tcW w:w="7075" w:type="dxa"/>
          </w:tcPr>
          <w:p w14:paraId="5DDEA5D0" w14:textId="1B183056" w:rsidR="00D83851" w:rsidRPr="003E6679" w:rsidRDefault="00D83851" w:rsidP="00D83851">
            <w:pPr>
              <w:spacing w:line="276" w:lineRule="auto"/>
              <w:rPr>
                <w:color w:val="000000" w:themeColor="text1"/>
                <w:sz w:val="20"/>
                <w:szCs w:val="20"/>
              </w:rPr>
            </w:pPr>
            <w:r w:rsidRPr="003E6679">
              <w:rPr>
                <w:rFonts w:eastAsia="Times New Roman"/>
                <w:color w:val="000000" w:themeColor="text1"/>
                <w:sz w:val="20"/>
                <w:szCs w:val="20"/>
                <w:lang w:val="en-GB"/>
              </w:rPr>
              <w:t>Can’t sit unsupported; no babble</w:t>
            </w:r>
          </w:p>
        </w:tc>
      </w:tr>
      <w:tr w:rsidR="003E6679" w:rsidRPr="003E6679" w14:paraId="469590AA" w14:textId="77777777" w:rsidTr="00D83851">
        <w:tc>
          <w:tcPr>
            <w:tcW w:w="1555" w:type="dxa"/>
          </w:tcPr>
          <w:p w14:paraId="35BCEDF2" w14:textId="18958B97" w:rsidR="00D83851" w:rsidRPr="003E6679" w:rsidRDefault="00D83851" w:rsidP="00D83851">
            <w:pPr>
              <w:rPr>
                <w:i/>
                <w:color w:val="000000" w:themeColor="text1"/>
              </w:rPr>
            </w:pPr>
            <w:r w:rsidRPr="003E6679">
              <w:rPr>
                <w:i/>
                <w:color w:val="000000" w:themeColor="text1"/>
              </w:rPr>
              <w:t>12 months</w:t>
            </w:r>
          </w:p>
        </w:tc>
        <w:tc>
          <w:tcPr>
            <w:tcW w:w="7075" w:type="dxa"/>
          </w:tcPr>
          <w:p w14:paraId="2C013D33" w14:textId="31F29CCF" w:rsidR="00D83851" w:rsidRPr="003E6679" w:rsidRDefault="00D83851" w:rsidP="00D83851">
            <w:pPr>
              <w:tabs>
                <w:tab w:val="left" w:pos="1800"/>
              </w:tabs>
              <w:rPr>
                <w:color w:val="000000" w:themeColor="text1"/>
                <w:sz w:val="20"/>
                <w:szCs w:val="20"/>
              </w:rPr>
            </w:pPr>
            <w:r w:rsidRPr="003E6679">
              <w:rPr>
                <w:rFonts w:eastAsia="Times New Roman"/>
                <w:color w:val="000000" w:themeColor="text1"/>
                <w:sz w:val="20"/>
                <w:szCs w:val="20"/>
                <w:lang w:val="en-GB"/>
              </w:rPr>
              <w:t>Not communicating by gestures, such as pointing; not weight bearing through legs</w:t>
            </w:r>
          </w:p>
        </w:tc>
      </w:tr>
      <w:tr w:rsidR="003E6679" w:rsidRPr="003E6679" w14:paraId="15020327" w14:textId="77777777" w:rsidTr="00D83851">
        <w:tc>
          <w:tcPr>
            <w:tcW w:w="1555" w:type="dxa"/>
          </w:tcPr>
          <w:p w14:paraId="72DB9A01" w14:textId="2988A2F6" w:rsidR="00D83851" w:rsidRPr="003E6679" w:rsidRDefault="00D83851" w:rsidP="00D83851">
            <w:pPr>
              <w:rPr>
                <w:i/>
                <w:color w:val="000000" w:themeColor="text1"/>
              </w:rPr>
            </w:pPr>
            <w:r w:rsidRPr="003E6679">
              <w:rPr>
                <w:i/>
                <w:color w:val="000000" w:themeColor="text1"/>
              </w:rPr>
              <w:t>18 months</w:t>
            </w:r>
          </w:p>
        </w:tc>
        <w:tc>
          <w:tcPr>
            <w:tcW w:w="7075" w:type="dxa"/>
          </w:tcPr>
          <w:p w14:paraId="6DB006CE" w14:textId="1A470C37" w:rsidR="00D83851" w:rsidRPr="003E6679" w:rsidRDefault="00D83851" w:rsidP="00D83851">
            <w:pPr>
              <w:rPr>
                <w:color w:val="000000" w:themeColor="text1"/>
                <w:sz w:val="20"/>
                <w:szCs w:val="20"/>
              </w:rPr>
            </w:pPr>
            <w:r w:rsidRPr="003E6679">
              <w:rPr>
                <w:rFonts w:eastAsia="Times New Roman"/>
                <w:color w:val="000000" w:themeColor="text1"/>
                <w:sz w:val="20"/>
                <w:szCs w:val="20"/>
                <w:lang w:val="en-GB"/>
              </w:rPr>
              <w:t>Not walking; no symbolic play; no speech</w:t>
            </w:r>
          </w:p>
        </w:tc>
      </w:tr>
      <w:tr w:rsidR="003E6679" w:rsidRPr="003E6679" w14:paraId="4B925BEC" w14:textId="77777777" w:rsidTr="00D83851">
        <w:tc>
          <w:tcPr>
            <w:tcW w:w="1555" w:type="dxa"/>
          </w:tcPr>
          <w:p w14:paraId="093F9B74" w14:textId="2FA57C98" w:rsidR="00D83851" w:rsidRPr="003E6679" w:rsidRDefault="00D83851" w:rsidP="00D83851">
            <w:pPr>
              <w:rPr>
                <w:i/>
                <w:color w:val="000000" w:themeColor="text1"/>
              </w:rPr>
            </w:pPr>
            <w:r w:rsidRPr="003E6679">
              <w:rPr>
                <w:i/>
                <w:color w:val="000000" w:themeColor="text1"/>
              </w:rPr>
              <w:t>2 years</w:t>
            </w:r>
          </w:p>
        </w:tc>
        <w:tc>
          <w:tcPr>
            <w:tcW w:w="7075" w:type="dxa"/>
          </w:tcPr>
          <w:p w14:paraId="683B7207" w14:textId="0998830A" w:rsidR="00D83851" w:rsidRPr="003E6679" w:rsidRDefault="00D83851" w:rsidP="00D83851">
            <w:pPr>
              <w:rPr>
                <w:color w:val="000000" w:themeColor="text1"/>
                <w:sz w:val="20"/>
                <w:szCs w:val="20"/>
              </w:rPr>
            </w:pPr>
            <w:r w:rsidRPr="003E6679">
              <w:rPr>
                <w:rFonts w:eastAsia="Times New Roman"/>
                <w:color w:val="000000" w:themeColor="text1"/>
                <w:sz w:val="20"/>
                <w:szCs w:val="20"/>
                <w:lang w:val="en-GB"/>
              </w:rPr>
              <w:t>Not joining two words; cannot run; not pointing at objects to share interest with others</w:t>
            </w:r>
          </w:p>
        </w:tc>
      </w:tr>
      <w:tr w:rsidR="003E6679" w:rsidRPr="003E6679" w14:paraId="73839CBD" w14:textId="77777777" w:rsidTr="00D83851">
        <w:tc>
          <w:tcPr>
            <w:tcW w:w="1555" w:type="dxa"/>
          </w:tcPr>
          <w:p w14:paraId="48DD3D5B" w14:textId="1C1AA452" w:rsidR="00D83851" w:rsidRPr="003E6679" w:rsidRDefault="00D83851" w:rsidP="00D83851">
            <w:pPr>
              <w:rPr>
                <w:i/>
                <w:color w:val="000000" w:themeColor="text1"/>
              </w:rPr>
            </w:pPr>
            <w:r w:rsidRPr="003E6679">
              <w:rPr>
                <w:i/>
                <w:color w:val="000000" w:themeColor="text1"/>
              </w:rPr>
              <w:t>3 years</w:t>
            </w:r>
          </w:p>
        </w:tc>
        <w:tc>
          <w:tcPr>
            <w:tcW w:w="7075" w:type="dxa"/>
          </w:tcPr>
          <w:p w14:paraId="6A87B6FB" w14:textId="4D7BCFE3" w:rsidR="00D83851" w:rsidRPr="003E6679" w:rsidRDefault="00D83851" w:rsidP="00D83851">
            <w:pPr>
              <w:rPr>
                <w:color w:val="000000" w:themeColor="text1"/>
                <w:sz w:val="20"/>
                <w:szCs w:val="20"/>
              </w:rPr>
            </w:pPr>
            <w:r w:rsidRPr="003E6679">
              <w:rPr>
                <w:rFonts w:eastAsia="Times New Roman"/>
                <w:color w:val="000000" w:themeColor="text1"/>
                <w:sz w:val="20"/>
                <w:szCs w:val="20"/>
                <w:lang w:val="en-GB"/>
              </w:rPr>
              <w:t>Not communicating with words; cannot climb stairs</w:t>
            </w:r>
          </w:p>
        </w:tc>
      </w:tr>
      <w:tr w:rsidR="003E6679" w:rsidRPr="003E6679" w14:paraId="53D4F979" w14:textId="77777777" w:rsidTr="00D83851">
        <w:tc>
          <w:tcPr>
            <w:tcW w:w="1555" w:type="dxa"/>
          </w:tcPr>
          <w:p w14:paraId="1B20EB89" w14:textId="04EDD5D5" w:rsidR="00D83851" w:rsidRPr="003E6679" w:rsidRDefault="00D83851" w:rsidP="00D83851">
            <w:pPr>
              <w:rPr>
                <w:i/>
                <w:color w:val="000000" w:themeColor="text1"/>
              </w:rPr>
            </w:pPr>
            <w:r w:rsidRPr="003E6679">
              <w:rPr>
                <w:i/>
                <w:color w:val="000000" w:themeColor="text1"/>
              </w:rPr>
              <w:t>All ages</w:t>
            </w:r>
          </w:p>
        </w:tc>
        <w:tc>
          <w:tcPr>
            <w:tcW w:w="7075" w:type="dxa"/>
          </w:tcPr>
          <w:p w14:paraId="648561F3" w14:textId="77777777" w:rsidR="00D83851" w:rsidRPr="003E6679" w:rsidRDefault="00D83851" w:rsidP="00D83851">
            <w:pPr>
              <w:pStyle w:val="ListParagraph"/>
              <w:rPr>
                <w:color w:val="000000" w:themeColor="text1"/>
                <w:sz w:val="20"/>
                <w:szCs w:val="20"/>
              </w:rPr>
            </w:pPr>
            <w:r w:rsidRPr="003E6679">
              <w:rPr>
                <w:color w:val="000000" w:themeColor="text1"/>
                <w:sz w:val="20"/>
                <w:szCs w:val="20"/>
              </w:rPr>
              <w:t>Loss of developmental skills at any age (regression)</w:t>
            </w:r>
          </w:p>
          <w:p w14:paraId="6C0B980B" w14:textId="77777777" w:rsidR="00D83851" w:rsidRPr="003E6679" w:rsidRDefault="00D83851" w:rsidP="00D83851">
            <w:pPr>
              <w:pStyle w:val="ListParagraph"/>
              <w:rPr>
                <w:color w:val="000000" w:themeColor="text1"/>
                <w:sz w:val="20"/>
                <w:szCs w:val="20"/>
              </w:rPr>
            </w:pPr>
            <w:r w:rsidRPr="003E6679">
              <w:rPr>
                <w:color w:val="000000" w:themeColor="text1"/>
                <w:sz w:val="20"/>
                <w:szCs w:val="20"/>
              </w:rPr>
              <w:t>Parental or professional concerns about vision, fixing/following at any age</w:t>
            </w:r>
          </w:p>
          <w:p w14:paraId="13D4C600" w14:textId="77777777" w:rsidR="00D83851" w:rsidRPr="003E6679" w:rsidRDefault="00D83851" w:rsidP="00D83851">
            <w:pPr>
              <w:pStyle w:val="ListParagraph"/>
              <w:rPr>
                <w:color w:val="000000" w:themeColor="text1"/>
                <w:sz w:val="20"/>
                <w:szCs w:val="20"/>
              </w:rPr>
            </w:pPr>
            <w:r w:rsidRPr="003E6679">
              <w:rPr>
                <w:color w:val="000000" w:themeColor="text1"/>
                <w:sz w:val="20"/>
                <w:szCs w:val="20"/>
              </w:rPr>
              <w:t>Hearing loss at any age</w:t>
            </w:r>
          </w:p>
          <w:p w14:paraId="64BCA5F8" w14:textId="77777777" w:rsidR="00D83851" w:rsidRPr="003E6679" w:rsidRDefault="00D83851" w:rsidP="00D83851">
            <w:pPr>
              <w:pStyle w:val="ListParagraph"/>
              <w:rPr>
                <w:color w:val="000000" w:themeColor="text1"/>
                <w:sz w:val="20"/>
                <w:szCs w:val="20"/>
              </w:rPr>
            </w:pPr>
            <w:r w:rsidRPr="003E6679">
              <w:rPr>
                <w:color w:val="000000" w:themeColor="text1"/>
                <w:sz w:val="20"/>
                <w:szCs w:val="20"/>
              </w:rPr>
              <w:t>Persistent low or high muscle tone, floppiness or asymmetry of movements</w:t>
            </w:r>
          </w:p>
          <w:p w14:paraId="34380F3C" w14:textId="77777777" w:rsidR="00D83851" w:rsidRPr="003E6679" w:rsidRDefault="00D83851" w:rsidP="00D83851">
            <w:pPr>
              <w:pStyle w:val="ListParagraph"/>
              <w:rPr>
                <w:color w:val="000000" w:themeColor="text1"/>
                <w:sz w:val="20"/>
                <w:szCs w:val="20"/>
              </w:rPr>
            </w:pPr>
            <w:r w:rsidRPr="003E6679">
              <w:rPr>
                <w:color w:val="000000" w:themeColor="text1"/>
                <w:sz w:val="20"/>
                <w:szCs w:val="20"/>
              </w:rPr>
              <w:t>Complex disabilities</w:t>
            </w:r>
          </w:p>
          <w:p w14:paraId="65AD391A" w14:textId="77777777" w:rsidR="00D83851" w:rsidRPr="003E6679" w:rsidRDefault="00D83851" w:rsidP="00D83851">
            <w:pPr>
              <w:pStyle w:val="ListParagraph"/>
              <w:rPr>
                <w:color w:val="000000" w:themeColor="text1"/>
                <w:sz w:val="20"/>
                <w:szCs w:val="20"/>
              </w:rPr>
            </w:pPr>
            <w:r w:rsidRPr="003E6679">
              <w:rPr>
                <w:color w:val="000000" w:themeColor="text1"/>
                <w:sz w:val="20"/>
                <w:szCs w:val="20"/>
              </w:rPr>
              <w:t>Persistently toe walking</w:t>
            </w:r>
          </w:p>
          <w:p w14:paraId="58F89766" w14:textId="47361FE1" w:rsidR="00D83851" w:rsidRPr="003E6679" w:rsidRDefault="00D83851" w:rsidP="00D83851">
            <w:pPr>
              <w:pStyle w:val="ListParagraph"/>
              <w:rPr>
                <w:color w:val="000000" w:themeColor="text1"/>
                <w:sz w:val="20"/>
                <w:szCs w:val="20"/>
              </w:rPr>
            </w:pPr>
            <w:r w:rsidRPr="003E6679">
              <w:rPr>
                <w:color w:val="000000" w:themeColor="text1"/>
                <w:sz w:val="20"/>
                <w:szCs w:val="20"/>
              </w:rPr>
              <w:t>Head circumference &gt; 99</w:t>
            </w:r>
            <w:r w:rsidRPr="003E6679">
              <w:rPr>
                <w:color w:val="000000" w:themeColor="text1"/>
                <w:sz w:val="20"/>
                <w:szCs w:val="20"/>
                <w:vertAlign w:val="superscript"/>
              </w:rPr>
              <w:t>th</w:t>
            </w:r>
            <w:r w:rsidRPr="003E6679">
              <w:rPr>
                <w:color w:val="000000" w:themeColor="text1"/>
                <w:sz w:val="20"/>
                <w:szCs w:val="20"/>
              </w:rPr>
              <w:t xml:space="preserve"> centile or &lt; 0.4</w:t>
            </w:r>
            <w:r w:rsidRPr="003E6679">
              <w:rPr>
                <w:color w:val="000000" w:themeColor="text1"/>
                <w:sz w:val="20"/>
                <w:szCs w:val="20"/>
                <w:vertAlign w:val="superscript"/>
              </w:rPr>
              <w:t>th</w:t>
            </w:r>
            <w:r w:rsidRPr="003E6679">
              <w:rPr>
                <w:color w:val="000000" w:themeColor="text1"/>
                <w:sz w:val="20"/>
                <w:szCs w:val="20"/>
              </w:rPr>
              <w:t xml:space="preserve"> centile</w:t>
            </w:r>
          </w:p>
        </w:tc>
      </w:tr>
    </w:tbl>
    <w:p w14:paraId="6900CD3D" w14:textId="77777777" w:rsidR="00D83851" w:rsidRDefault="00D83851" w:rsidP="00D83851">
      <w:pPr>
        <w:pStyle w:val="Heading2"/>
        <w:spacing w:line="276" w:lineRule="auto"/>
        <w:rPr>
          <w:rFonts w:cs="Arial"/>
          <w:szCs w:val="22"/>
        </w:rPr>
      </w:pPr>
      <w:r>
        <w:rPr>
          <w:rFonts w:cs="Arial"/>
          <w:szCs w:val="22"/>
        </w:rPr>
        <w:lastRenderedPageBreak/>
        <w:t>History</w:t>
      </w:r>
    </w:p>
    <w:p w14:paraId="5ECE9173" w14:textId="77777777" w:rsidR="00D83851" w:rsidRDefault="00D83851" w:rsidP="00D83851">
      <w:r>
        <w:t>A c</w:t>
      </w:r>
      <w:r w:rsidRPr="009C6943">
        <w:t>omprehensive clinical assessment</w:t>
      </w:r>
      <w:r>
        <w:t>, including history and examination, is crucial when</w:t>
      </w:r>
      <w:r w:rsidRPr="009C6943">
        <w:t xml:space="preserve"> planning investigations</w:t>
      </w:r>
      <w:r>
        <w:t>:</w:t>
      </w:r>
    </w:p>
    <w:p w14:paraId="35AEBF05" w14:textId="77777777" w:rsidR="00D83851" w:rsidRDefault="00D83851" w:rsidP="00C62531">
      <w:pPr>
        <w:pStyle w:val="ListParagraph"/>
        <w:numPr>
          <w:ilvl w:val="0"/>
          <w:numId w:val="6"/>
        </w:numPr>
      </w:pPr>
      <w:r>
        <w:t>S</w:t>
      </w:r>
      <w:r w:rsidRPr="009C6943">
        <w:t xml:space="preserve">tudies have demonstrated that we can identify the cause of </w:t>
      </w:r>
      <w:r>
        <w:t>DD</w:t>
      </w:r>
      <w:r w:rsidRPr="009C6943">
        <w:t xml:space="preserve"> in </w:t>
      </w:r>
      <w:r>
        <w:t>1/3</w:t>
      </w:r>
      <w:r w:rsidRPr="00D83851">
        <w:rPr>
          <w:vertAlign w:val="superscript"/>
        </w:rPr>
        <w:t>rd</w:t>
      </w:r>
      <w:r>
        <w:t xml:space="preserve"> of cases </w:t>
      </w:r>
      <w:r w:rsidRPr="009C6943">
        <w:t xml:space="preserve">by history and examination alone. </w:t>
      </w:r>
    </w:p>
    <w:p w14:paraId="0BE2FF48" w14:textId="77777777" w:rsidR="00D83851" w:rsidRPr="00781DCE" w:rsidRDefault="00D83851" w:rsidP="00C62531">
      <w:pPr>
        <w:pStyle w:val="ListParagraph"/>
        <w:numPr>
          <w:ilvl w:val="0"/>
          <w:numId w:val="6"/>
        </w:numPr>
      </w:pPr>
      <w:r w:rsidRPr="009C6943">
        <w:t xml:space="preserve">With </w:t>
      </w:r>
      <w:r w:rsidRPr="00781DCE">
        <w:t>clinical evaluation prompting investigations, we can identify another 1/3</w:t>
      </w:r>
      <w:r w:rsidRPr="00D83851">
        <w:rPr>
          <w:vertAlign w:val="superscript"/>
        </w:rPr>
        <w:t>rd</w:t>
      </w:r>
      <w:r w:rsidRPr="00781DCE">
        <w:t xml:space="preserve">. </w:t>
      </w:r>
    </w:p>
    <w:p w14:paraId="1E68262E" w14:textId="77777777" w:rsidR="00D83851" w:rsidRPr="00701B25" w:rsidRDefault="00D83851" w:rsidP="00D83851">
      <w:pPr>
        <w:rPr>
          <w:u w:val="single"/>
        </w:rPr>
      </w:pPr>
      <w:r w:rsidRPr="00701B25">
        <w:rPr>
          <w:u w:val="single"/>
        </w:rPr>
        <w:t>Suggested screening questions:</w:t>
      </w:r>
    </w:p>
    <w:p w14:paraId="1C8D6EF5" w14:textId="77777777" w:rsidR="00D83851" w:rsidRDefault="00D83851" w:rsidP="00C62531">
      <w:pPr>
        <w:pStyle w:val="ListParagraph"/>
        <w:numPr>
          <w:ilvl w:val="0"/>
          <w:numId w:val="7"/>
        </w:numPr>
      </w:pPr>
      <w:r w:rsidRPr="00781DCE">
        <w:t>Do you have any concerns about the way your child is behaving, learning, or developing?</w:t>
      </w:r>
    </w:p>
    <w:p w14:paraId="78E661FA" w14:textId="77777777" w:rsidR="00D83851" w:rsidRDefault="00D83851" w:rsidP="00C62531">
      <w:pPr>
        <w:pStyle w:val="ListParagraph"/>
        <w:numPr>
          <w:ilvl w:val="0"/>
          <w:numId w:val="7"/>
        </w:numPr>
      </w:pPr>
      <w:r w:rsidRPr="00781DCE">
        <w:t>Do you have any concerns about the way he or she moves or uses his or her arms or legs?</w:t>
      </w:r>
    </w:p>
    <w:p w14:paraId="39499DC5" w14:textId="77777777" w:rsidR="00D83851" w:rsidRDefault="00D83851" w:rsidP="00C62531">
      <w:pPr>
        <w:pStyle w:val="ListParagraph"/>
        <w:numPr>
          <w:ilvl w:val="0"/>
          <w:numId w:val="7"/>
        </w:numPr>
      </w:pPr>
      <w:r w:rsidRPr="00781DCE">
        <w:t>Do you have any concerns about how your child talks and understands what you say?</w:t>
      </w:r>
    </w:p>
    <w:p w14:paraId="58366269" w14:textId="77777777" w:rsidR="00D83851" w:rsidRDefault="00D83851" w:rsidP="00C62531">
      <w:pPr>
        <w:pStyle w:val="ListParagraph"/>
        <w:numPr>
          <w:ilvl w:val="0"/>
          <w:numId w:val="7"/>
        </w:numPr>
      </w:pPr>
      <w:r w:rsidRPr="00781DCE">
        <w:t>Has your child ever stopped doing something he or she could previously do?</w:t>
      </w:r>
    </w:p>
    <w:p w14:paraId="396A39CD" w14:textId="77777777" w:rsidR="00D83851" w:rsidRPr="00781DCE" w:rsidRDefault="00D83851" w:rsidP="00C62531">
      <w:pPr>
        <w:pStyle w:val="ListParagraph"/>
        <w:numPr>
          <w:ilvl w:val="0"/>
          <w:numId w:val="7"/>
        </w:numPr>
      </w:pPr>
      <w:r w:rsidRPr="00781DCE">
        <w:t>Do you have any concerns about how your child is learning to do things for himself or herself?</w:t>
      </w:r>
    </w:p>
    <w:p w14:paraId="3B383747" w14:textId="77777777" w:rsidR="00D83851" w:rsidRPr="009C6943" w:rsidRDefault="00D83851" w:rsidP="00D83851">
      <w:r w:rsidRPr="009C6943">
        <w:t xml:space="preserve">Clarify if this is a child who has </w:t>
      </w:r>
      <w:r w:rsidRPr="009C6943">
        <w:rPr>
          <w:u w:val="single"/>
        </w:rPr>
        <w:t xml:space="preserve">never </w:t>
      </w:r>
      <w:r w:rsidRPr="009C6943">
        <w:t xml:space="preserve">met </w:t>
      </w:r>
      <w:r>
        <w:t>their</w:t>
      </w:r>
      <w:r w:rsidRPr="009C6943">
        <w:t xml:space="preserve"> developmental milestones vs</w:t>
      </w:r>
      <w:r w:rsidRPr="001F7748">
        <w:t>. a child</w:t>
      </w:r>
      <w:r w:rsidRPr="009C6943">
        <w:t xml:space="preserve"> who has</w:t>
      </w:r>
      <w:r>
        <w:rPr>
          <w:u w:val="single"/>
        </w:rPr>
        <w:t xml:space="preserve"> </w:t>
      </w:r>
      <w:r w:rsidRPr="009C6943">
        <w:rPr>
          <w:u w:val="single"/>
        </w:rPr>
        <w:t xml:space="preserve">regressed </w:t>
      </w:r>
      <w:r w:rsidRPr="009C6943">
        <w:t>developmentally, having previously been well</w:t>
      </w:r>
      <w:r>
        <w:t>. Regression suggests either a change in social/environmental factors, recent illness or neurological/neurodegenerative causes.</w:t>
      </w:r>
    </w:p>
    <w:p w14:paraId="28BA3589" w14:textId="0AA484A4" w:rsidR="00900EEC" w:rsidRPr="009C6943" w:rsidRDefault="00D83851" w:rsidP="00D83851">
      <w:r w:rsidRPr="009C6943">
        <w:t>A thorough and systematic pre-, peri- and postnatal history is crucial and will help guide investigations (</w:t>
      </w:r>
      <w:proofErr w:type="spellStart"/>
      <w:r w:rsidRPr="009C6943">
        <w:t>aetiology</w:t>
      </w:r>
      <w:proofErr w:type="spellEnd"/>
      <w:r w:rsidRPr="009C6943">
        <w:t>) and management. Important factors to cover:</w:t>
      </w:r>
    </w:p>
    <w:tbl>
      <w:tblPr>
        <w:tblStyle w:val="TableGrid"/>
        <w:tblW w:w="8926" w:type="dxa"/>
        <w:tblLook w:val="04A0" w:firstRow="1" w:lastRow="0" w:firstColumn="1" w:lastColumn="0" w:noHBand="0" w:noVBand="1"/>
      </w:tblPr>
      <w:tblGrid>
        <w:gridCol w:w="3114"/>
        <w:gridCol w:w="2977"/>
        <w:gridCol w:w="2835"/>
      </w:tblGrid>
      <w:tr w:rsidR="00D83851" w:rsidRPr="00900EEC" w14:paraId="360215DA" w14:textId="77777777" w:rsidTr="00D83851">
        <w:tc>
          <w:tcPr>
            <w:tcW w:w="3114" w:type="dxa"/>
            <w:shd w:val="clear" w:color="auto" w:fill="auto"/>
          </w:tcPr>
          <w:p w14:paraId="777E1615" w14:textId="77777777" w:rsidR="00D83851" w:rsidRPr="00900EEC" w:rsidRDefault="00D83851" w:rsidP="00074EFA">
            <w:pPr>
              <w:pStyle w:val="NormalWeb"/>
              <w:spacing w:before="0" w:beforeAutospacing="0" w:after="150" w:afterAutospacing="0" w:line="276" w:lineRule="auto"/>
              <w:rPr>
                <w:rFonts w:ascii="Arial" w:hAnsi="Arial" w:cs="Arial"/>
                <w:b/>
                <w:color w:val="333333"/>
                <w:sz w:val="22"/>
                <w:szCs w:val="22"/>
              </w:rPr>
            </w:pPr>
            <w:r w:rsidRPr="00900EEC">
              <w:rPr>
                <w:rFonts w:ascii="Arial" w:hAnsi="Arial" w:cs="Arial"/>
                <w:b/>
                <w:color w:val="333333"/>
                <w:sz w:val="22"/>
                <w:szCs w:val="22"/>
              </w:rPr>
              <w:t xml:space="preserve">Prenatal </w:t>
            </w:r>
          </w:p>
        </w:tc>
        <w:tc>
          <w:tcPr>
            <w:tcW w:w="2977" w:type="dxa"/>
            <w:shd w:val="clear" w:color="auto" w:fill="auto"/>
          </w:tcPr>
          <w:p w14:paraId="3B2214D9" w14:textId="77777777" w:rsidR="00D83851" w:rsidRPr="00900EEC" w:rsidRDefault="00D83851" w:rsidP="00074EFA">
            <w:pPr>
              <w:pStyle w:val="NormalWeb"/>
              <w:spacing w:before="0" w:beforeAutospacing="0" w:after="150" w:afterAutospacing="0" w:line="276" w:lineRule="auto"/>
              <w:rPr>
                <w:rFonts w:ascii="Arial" w:hAnsi="Arial" w:cs="Arial"/>
                <w:b/>
                <w:color w:val="333333"/>
                <w:sz w:val="22"/>
                <w:szCs w:val="22"/>
              </w:rPr>
            </w:pPr>
            <w:r w:rsidRPr="00900EEC">
              <w:rPr>
                <w:rFonts w:ascii="Arial" w:hAnsi="Arial" w:cs="Arial"/>
                <w:b/>
                <w:color w:val="333333"/>
                <w:sz w:val="22"/>
                <w:szCs w:val="22"/>
              </w:rPr>
              <w:t>Perinatal</w:t>
            </w:r>
          </w:p>
        </w:tc>
        <w:tc>
          <w:tcPr>
            <w:tcW w:w="2835" w:type="dxa"/>
            <w:shd w:val="clear" w:color="auto" w:fill="auto"/>
          </w:tcPr>
          <w:p w14:paraId="25868DFE" w14:textId="77777777" w:rsidR="00D83851" w:rsidRPr="00900EEC" w:rsidRDefault="00D83851" w:rsidP="00074EFA">
            <w:pPr>
              <w:pStyle w:val="NormalWeb"/>
              <w:spacing w:before="0" w:beforeAutospacing="0" w:after="150" w:afterAutospacing="0" w:line="276" w:lineRule="auto"/>
              <w:rPr>
                <w:rFonts w:ascii="Arial" w:hAnsi="Arial" w:cs="Arial"/>
                <w:b/>
                <w:color w:val="333333"/>
                <w:sz w:val="22"/>
                <w:szCs w:val="22"/>
              </w:rPr>
            </w:pPr>
            <w:r w:rsidRPr="00900EEC">
              <w:rPr>
                <w:rFonts w:ascii="Arial" w:hAnsi="Arial" w:cs="Arial"/>
                <w:b/>
                <w:color w:val="333333"/>
                <w:sz w:val="22"/>
                <w:szCs w:val="22"/>
              </w:rPr>
              <w:t>Postnatal</w:t>
            </w:r>
          </w:p>
        </w:tc>
      </w:tr>
      <w:tr w:rsidR="00E90322" w:rsidRPr="009C6943" w14:paraId="291EBC10" w14:textId="77777777" w:rsidTr="006E4D17">
        <w:trPr>
          <w:trHeight w:val="4543"/>
        </w:trPr>
        <w:tc>
          <w:tcPr>
            <w:tcW w:w="3114" w:type="dxa"/>
            <w:shd w:val="clear" w:color="auto" w:fill="auto"/>
          </w:tcPr>
          <w:p w14:paraId="44626D96" w14:textId="77777777" w:rsidR="00E90322" w:rsidRPr="00701B25" w:rsidRDefault="00E90322" w:rsidP="00074EFA">
            <w:pPr>
              <w:spacing w:line="276" w:lineRule="auto"/>
              <w:rPr>
                <w:sz w:val="20"/>
                <w:szCs w:val="20"/>
              </w:rPr>
            </w:pPr>
            <w:r w:rsidRPr="00701B25">
              <w:rPr>
                <w:sz w:val="20"/>
                <w:szCs w:val="20"/>
              </w:rPr>
              <w:t>Previous miscarriages</w:t>
            </w:r>
            <w:r>
              <w:rPr>
                <w:sz w:val="20"/>
                <w:szCs w:val="20"/>
              </w:rPr>
              <w:t xml:space="preserve"> or birth defects</w:t>
            </w:r>
          </w:p>
          <w:p w14:paraId="0F12EE3C" w14:textId="77777777" w:rsidR="00E90322" w:rsidRPr="00701B25" w:rsidRDefault="00E90322" w:rsidP="00074EFA">
            <w:pPr>
              <w:spacing w:line="276" w:lineRule="auto"/>
              <w:rPr>
                <w:sz w:val="20"/>
                <w:szCs w:val="20"/>
              </w:rPr>
            </w:pPr>
            <w:r w:rsidRPr="00701B25">
              <w:rPr>
                <w:sz w:val="20"/>
                <w:szCs w:val="20"/>
              </w:rPr>
              <w:t>Unexplained sibling death</w:t>
            </w:r>
          </w:p>
          <w:p w14:paraId="644A25FF" w14:textId="77777777" w:rsidR="00E90322" w:rsidRPr="00701B25" w:rsidRDefault="00E90322" w:rsidP="00074EFA">
            <w:pPr>
              <w:spacing w:line="276" w:lineRule="auto"/>
              <w:rPr>
                <w:sz w:val="20"/>
                <w:szCs w:val="20"/>
              </w:rPr>
            </w:pPr>
            <w:r w:rsidRPr="00701B25">
              <w:rPr>
                <w:sz w:val="20"/>
                <w:szCs w:val="20"/>
              </w:rPr>
              <w:t>Use of teratogens including drug and alcohol misuse</w:t>
            </w:r>
          </w:p>
          <w:p w14:paraId="0BA09C4E" w14:textId="77777777" w:rsidR="00E90322" w:rsidRPr="00701B25" w:rsidRDefault="00E90322" w:rsidP="00074EFA">
            <w:pPr>
              <w:spacing w:line="276" w:lineRule="auto"/>
              <w:rPr>
                <w:sz w:val="20"/>
                <w:szCs w:val="20"/>
              </w:rPr>
            </w:pPr>
            <w:r w:rsidRPr="00701B25">
              <w:rPr>
                <w:sz w:val="20"/>
                <w:szCs w:val="20"/>
              </w:rPr>
              <w:t>Prenatal history of Intrauterine infections or severe maternal infection/life threatening event</w:t>
            </w:r>
          </w:p>
          <w:p w14:paraId="2B9908B2" w14:textId="77777777" w:rsidR="00E90322" w:rsidRPr="00701B25" w:rsidRDefault="00E90322" w:rsidP="00074EFA">
            <w:pPr>
              <w:spacing w:line="276" w:lineRule="auto"/>
              <w:rPr>
                <w:sz w:val="20"/>
                <w:szCs w:val="20"/>
              </w:rPr>
            </w:pPr>
            <w:r w:rsidRPr="00701B25">
              <w:rPr>
                <w:sz w:val="20"/>
                <w:szCs w:val="20"/>
              </w:rPr>
              <w:t xml:space="preserve">Maternal </w:t>
            </w:r>
            <w:r>
              <w:rPr>
                <w:sz w:val="20"/>
                <w:szCs w:val="20"/>
              </w:rPr>
              <w:t xml:space="preserve">conditions e.g. </w:t>
            </w:r>
            <w:r w:rsidRPr="00701B25">
              <w:rPr>
                <w:sz w:val="20"/>
                <w:szCs w:val="20"/>
              </w:rPr>
              <w:t>HELLP</w:t>
            </w:r>
            <w:r>
              <w:rPr>
                <w:sz w:val="20"/>
                <w:szCs w:val="20"/>
              </w:rPr>
              <w:t xml:space="preserve"> syndrome, HTN, GDM, </w:t>
            </w:r>
            <w:r w:rsidRPr="00701B25">
              <w:rPr>
                <w:sz w:val="20"/>
                <w:szCs w:val="20"/>
              </w:rPr>
              <w:t>pre-eclampsia</w:t>
            </w:r>
          </w:p>
          <w:p w14:paraId="28EF5C86" w14:textId="77777777" w:rsidR="00E90322" w:rsidRPr="00701B25" w:rsidRDefault="00E90322" w:rsidP="00074EFA">
            <w:pPr>
              <w:spacing w:line="276" w:lineRule="auto"/>
              <w:rPr>
                <w:sz w:val="20"/>
                <w:szCs w:val="20"/>
              </w:rPr>
            </w:pPr>
            <w:r w:rsidRPr="00701B25">
              <w:rPr>
                <w:sz w:val="20"/>
                <w:szCs w:val="20"/>
              </w:rPr>
              <w:t>Fetal movements ↓</w:t>
            </w:r>
          </w:p>
          <w:p w14:paraId="090D181A" w14:textId="01BD3B94" w:rsidR="00E90322" w:rsidRPr="00701B25" w:rsidRDefault="00E90322" w:rsidP="00074EFA">
            <w:pPr>
              <w:spacing w:line="276" w:lineRule="auto"/>
              <w:rPr>
                <w:sz w:val="20"/>
                <w:szCs w:val="20"/>
              </w:rPr>
            </w:pPr>
            <w:r w:rsidRPr="00701B25">
              <w:rPr>
                <w:sz w:val="20"/>
                <w:szCs w:val="20"/>
              </w:rPr>
              <w:t xml:space="preserve">Significant antepartum </w:t>
            </w:r>
            <w:proofErr w:type="spellStart"/>
            <w:r w:rsidRPr="00701B25">
              <w:rPr>
                <w:sz w:val="20"/>
                <w:szCs w:val="20"/>
              </w:rPr>
              <w:t>haemorrhage</w:t>
            </w:r>
            <w:proofErr w:type="spellEnd"/>
          </w:p>
        </w:tc>
        <w:tc>
          <w:tcPr>
            <w:tcW w:w="2977" w:type="dxa"/>
            <w:shd w:val="clear" w:color="auto" w:fill="auto"/>
          </w:tcPr>
          <w:p w14:paraId="07F04ACE" w14:textId="77777777" w:rsidR="00E90322" w:rsidRPr="00701B25" w:rsidRDefault="00E90322" w:rsidP="00074EFA">
            <w:pPr>
              <w:spacing w:line="276" w:lineRule="auto"/>
              <w:rPr>
                <w:color w:val="333333"/>
                <w:sz w:val="20"/>
                <w:szCs w:val="20"/>
              </w:rPr>
            </w:pPr>
            <w:r>
              <w:rPr>
                <w:sz w:val="20"/>
                <w:szCs w:val="20"/>
              </w:rPr>
              <w:t xml:space="preserve">Birth weight and head circumference </w:t>
            </w:r>
          </w:p>
          <w:p w14:paraId="287284A6" w14:textId="77777777" w:rsidR="00E90322" w:rsidRPr="00701B25" w:rsidRDefault="00E90322" w:rsidP="00074EFA">
            <w:pPr>
              <w:pStyle w:val="NormalWeb"/>
              <w:spacing w:before="0" w:beforeAutospacing="0" w:after="150" w:afterAutospacing="0" w:line="276" w:lineRule="auto"/>
              <w:rPr>
                <w:rFonts w:ascii="Arial" w:hAnsi="Arial" w:cs="Arial"/>
                <w:color w:val="333333"/>
                <w:sz w:val="20"/>
                <w:szCs w:val="20"/>
              </w:rPr>
            </w:pPr>
            <w:r w:rsidRPr="00701B25">
              <w:rPr>
                <w:rFonts w:ascii="Arial" w:hAnsi="Arial" w:cs="Arial"/>
                <w:color w:val="333333"/>
                <w:sz w:val="20"/>
                <w:szCs w:val="20"/>
              </w:rPr>
              <w:t>Birth asphyxia</w:t>
            </w:r>
            <w:r w:rsidRPr="00701B25">
              <w:rPr>
                <w:sz w:val="20"/>
                <w:szCs w:val="20"/>
              </w:rPr>
              <w:t xml:space="preserve"> </w:t>
            </w:r>
          </w:p>
          <w:p w14:paraId="4C57AD89" w14:textId="77777777" w:rsidR="00E90322" w:rsidRPr="00701B25" w:rsidRDefault="00E90322" w:rsidP="00074EFA">
            <w:pPr>
              <w:spacing w:line="276" w:lineRule="auto"/>
              <w:rPr>
                <w:color w:val="333333"/>
                <w:sz w:val="20"/>
                <w:szCs w:val="20"/>
              </w:rPr>
            </w:pPr>
            <w:r w:rsidRPr="00701B25">
              <w:rPr>
                <w:sz w:val="20"/>
                <w:szCs w:val="20"/>
              </w:rPr>
              <w:t xml:space="preserve">Poor </w:t>
            </w:r>
            <w:proofErr w:type="spellStart"/>
            <w:r w:rsidRPr="00701B25">
              <w:rPr>
                <w:sz w:val="20"/>
                <w:szCs w:val="20"/>
              </w:rPr>
              <w:t>Apgars</w:t>
            </w:r>
            <w:proofErr w:type="spellEnd"/>
            <w:r w:rsidRPr="00701B25">
              <w:rPr>
                <w:sz w:val="20"/>
                <w:szCs w:val="20"/>
              </w:rPr>
              <w:t xml:space="preserve"> and requiring prolonged resuscitation</w:t>
            </w:r>
          </w:p>
          <w:p w14:paraId="5AA9382C" w14:textId="77777777" w:rsidR="00E90322" w:rsidRPr="00D77978" w:rsidRDefault="00E90322" w:rsidP="00074EFA">
            <w:pPr>
              <w:spacing w:line="276" w:lineRule="auto"/>
              <w:rPr>
                <w:sz w:val="20"/>
                <w:szCs w:val="20"/>
              </w:rPr>
            </w:pPr>
            <w:r w:rsidRPr="00701B25">
              <w:rPr>
                <w:sz w:val="20"/>
                <w:szCs w:val="20"/>
              </w:rPr>
              <w:t xml:space="preserve">Development of hypoxic </w:t>
            </w:r>
            <w:proofErr w:type="spellStart"/>
            <w:r w:rsidRPr="00701B25">
              <w:rPr>
                <w:sz w:val="20"/>
                <w:szCs w:val="20"/>
              </w:rPr>
              <w:t>ischaemic</w:t>
            </w:r>
            <w:proofErr w:type="spellEnd"/>
            <w:r w:rsidRPr="00701B25">
              <w:rPr>
                <w:sz w:val="20"/>
                <w:szCs w:val="20"/>
              </w:rPr>
              <w:t xml:space="preserve"> encephalopathy </w:t>
            </w:r>
          </w:p>
          <w:p w14:paraId="566250FF" w14:textId="28DCD896" w:rsidR="00E90322" w:rsidRPr="00701B25" w:rsidRDefault="00E90322" w:rsidP="00074EFA">
            <w:pPr>
              <w:spacing w:line="276" w:lineRule="auto"/>
              <w:rPr>
                <w:color w:val="333333"/>
                <w:sz w:val="20"/>
                <w:szCs w:val="20"/>
              </w:rPr>
            </w:pPr>
            <w:r w:rsidRPr="00701B25">
              <w:rPr>
                <w:color w:val="333333"/>
                <w:sz w:val="20"/>
                <w:szCs w:val="20"/>
              </w:rPr>
              <w:t>Birth trauma</w:t>
            </w:r>
          </w:p>
        </w:tc>
        <w:tc>
          <w:tcPr>
            <w:tcW w:w="2835" w:type="dxa"/>
            <w:shd w:val="clear" w:color="auto" w:fill="auto"/>
          </w:tcPr>
          <w:p w14:paraId="54C34B18" w14:textId="77777777" w:rsidR="00E90322" w:rsidRPr="00701B25" w:rsidRDefault="00E90322" w:rsidP="00074EFA">
            <w:pPr>
              <w:pStyle w:val="NormalWeb"/>
              <w:spacing w:before="0" w:beforeAutospacing="0" w:after="150" w:afterAutospacing="0" w:line="276" w:lineRule="auto"/>
              <w:rPr>
                <w:rFonts w:ascii="Arial" w:hAnsi="Arial" w:cs="Arial"/>
                <w:color w:val="333333"/>
                <w:sz w:val="20"/>
                <w:szCs w:val="20"/>
              </w:rPr>
            </w:pPr>
            <w:r w:rsidRPr="00701B25">
              <w:rPr>
                <w:rFonts w:ascii="Arial" w:hAnsi="Arial" w:cs="Arial"/>
                <w:color w:val="333333"/>
                <w:sz w:val="20"/>
                <w:szCs w:val="20"/>
              </w:rPr>
              <w:t>Trauma</w:t>
            </w:r>
          </w:p>
          <w:p w14:paraId="6324B2AE" w14:textId="77777777" w:rsidR="00E90322" w:rsidRPr="00701B25" w:rsidRDefault="00E90322" w:rsidP="00074EFA">
            <w:pPr>
              <w:pStyle w:val="NormalWeb"/>
              <w:spacing w:before="0" w:beforeAutospacing="0" w:after="150" w:afterAutospacing="0" w:line="276" w:lineRule="auto"/>
              <w:rPr>
                <w:rFonts w:ascii="Arial" w:hAnsi="Arial" w:cs="Arial"/>
                <w:color w:val="333333"/>
                <w:sz w:val="20"/>
                <w:szCs w:val="20"/>
              </w:rPr>
            </w:pPr>
            <w:r>
              <w:rPr>
                <w:rFonts w:ascii="Arial" w:hAnsi="Arial" w:cs="Arial"/>
                <w:color w:val="333333"/>
                <w:sz w:val="20"/>
                <w:szCs w:val="20"/>
              </w:rPr>
              <w:t xml:space="preserve">Current or previous </w:t>
            </w:r>
            <w:r w:rsidRPr="00701B25">
              <w:rPr>
                <w:rFonts w:ascii="Arial" w:hAnsi="Arial" w:cs="Arial"/>
                <w:color w:val="333333"/>
                <w:sz w:val="20"/>
                <w:szCs w:val="20"/>
              </w:rPr>
              <w:t xml:space="preserve">Infection including </w:t>
            </w:r>
            <w:r>
              <w:rPr>
                <w:rFonts w:ascii="Arial" w:hAnsi="Arial" w:cs="Arial"/>
                <w:color w:val="333333"/>
                <w:sz w:val="20"/>
                <w:szCs w:val="20"/>
              </w:rPr>
              <w:t>m</w:t>
            </w:r>
            <w:r w:rsidRPr="00701B25">
              <w:rPr>
                <w:rFonts w:ascii="Arial" w:hAnsi="Arial" w:cs="Arial"/>
                <w:color w:val="333333"/>
                <w:sz w:val="20"/>
                <w:szCs w:val="20"/>
              </w:rPr>
              <w:t>eningitis/sepsis</w:t>
            </w:r>
          </w:p>
          <w:p w14:paraId="02753B6C" w14:textId="77777777" w:rsidR="00E90322" w:rsidRDefault="00E90322" w:rsidP="00E90322">
            <w:pPr>
              <w:pStyle w:val="NormalWeb"/>
              <w:spacing w:before="0" w:beforeAutospacing="0" w:after="150" w:afterAutospacing="0" w:line="276" w:lineRule="auto"/>
              <w:rPr>
                <w:rFonts w:ascii="Arial" w:hAnsi="Arial" w:cs="Arial"/>
                <w:color w:val="333333"/>
                <w:sz w:val="20"/>
                <w:szCs w:val="20"/>
              </w:rPr>
            </w:pPr>
            <w:r w:rsidRPr="00701B25">
              <w:rPr>
                <w:rFonts w:ascii="Arial" w:hAnsi="Arial" w:cs="Arial"/>
                <w:color w:val="333333"/>
                <w:sz w:val="20"/>
                <w:szCs w:val="20"/>
              </w:rPr>
              <w:t>Seizures</w:t>
            </w:r>
          </w:p>
          <w:p w14:paraId="14CA1F48" w14:textId="54EC25DC" w:rsidR="00E90322" w:rsidRPr="00701B25" w:rsidRDefault="00E90322" w:rsidP="00E90322">
            <w:pPr>
              <w:pStyle w:val="NormalWeb"/>
              <w:spacing w:before="0" w:beforeAutospacing="0" w:after="150" w:afterAutospacing="0" w:line="276" w:lineRule="auto"/>
              <w:rPr>
                <w:rFonts w:ascii="Arial" w:hAnsi="Arial" w:cs="Arial"/>
                <w:color w:val="333333"/>
                <w:sz w:val="20"/>
                <w:szCs w:val="20"/>
              </w:rPr>
            </w:pPr>
            <w:r w:rsidRPr="00701B25">
              <w:rPr>
                <w:rFonts w:ascii="Arial" w:hAnsi="Arial" w:cs="Arial"/>
                <w:color w:val="333333"/>
                <w:sz w:val="20"/>
                <w:szCs w:val="20"/>
              </w:rPr>
              <w:t>Episodes of hypoglycaemia</w:t>
            </w:r>
          </w:p>
        </w:tc>
      </w:tr>
    </w:tbl>
    <w:p w14:paraId="4CE1E075" w14:textId="77777777" w:rsidR="00056EEF" w:rsidRDefault="00056EEF" w:rsidP="00900EEC">
      <w:pPr>
        <w:pStyle w:val="NormalWeb"/>
        <w:shd w:val="clear" w:color="auto" w:fill="FFFFFF"/>
        <w:spacing w:before="0" w:beforeAutospacing="0" w:after="150" w:afterAutospacing="0" w:line="276" w:lineRule="auto"/>
        <w:rPr>
          <w:rFonts w:ascii="Arial" w:hAnsi="Arial" w:cs="Arial"/>
          <w:color w:val="333333"/>
          <w:sz w:val="22"/>
          <w:szCs w:val="22"/>
          <w:u w:val="single"/>
        </w:rPr>
      </w:pPr>
    </w:p>
    <w:p w14:paraId="298DBAB5" w14:textId="6CEFF6F4" w:rsidR="00D83851" w:rsidRPr="001F7748" w:rsidRDefault="00D83851" w:rsidP="00900EEC">
      <w:pPr>
        <w:pStyle w:val="NormalWeb"/>
        <w:shd w:val="clear" w:color="auto" w:fill="FFFFFF"/>
        <w:spacing w:before="0" w:beforeAutospacing="0" w:after="150" w:afterAutospacing="0" w:line="276" w:lineRule="auto"/>
        <w:rPr>
          <w:rFonts w:ascii="Arial" w:hAnsi="Arial" w:cs="Arial"/>
          <w:color w:val="000000" w:themeColor="text1"/>
          <w:sz w:val="22"/>
          <w:szCs w:val="22"/>
        </w:rPr>
      </w:pPr>
      <w:r w:rsidRPr="001F7748">
        <w:rPr>
          <w:rFonts w:ascii="Arial" w:hAnsi="Arial" w:cs="Arial"/>
          <w:color w:val="000000" w:themeColor="text1"/>
          <w:sz w:val="22"/>
          <w:szCs w:val="22"/>
          <w:u w:val="single"/>
        </w:rPr>
        <w:t>Other past medical history:</w:t>
      </w:r>
      <w:r w:rsidRPr="001F7748">
        <w:rPr>
          <w:rFonts w:ascii="Arial" w:hAnsi="Arial" w:cs="Arial"/>
          <w:color w:val="000000" w:themeColor="text1"/>
          <w:sz w:val="22"/>
          <w:szCs w:val="22"/>
        </w:rPr>
        <w:t xml:space="preserve"> co-existing infections (acute or chronic), co-existing chronic conditions (particularly neurological), severe malnutrition</w:t>
      </w:r>
    </w:p>
    <w:p w14:paraId="3D407A5C" w14:textId="77777777" w:rsidR="00D83851" w:rsidRPr="001F7748" w:rsidRDefault="00D83851" w:rsidP="00900EEC">
      <w:pPr>
        <w:pStyle w:val="NormalWeb"/>
        <w:shd w:val="clear" w:color="auto" w:fill="FFFFFF"/>
        <w:spacing w:before="0" w:beforeAutospacing="0" w:after="150" w:afterAutospacing="0" w:line="276" w:lineRule="auto"/>
        <w:rPr>
          <w:rFonts w:ascii="Arial" w:hAnsi="Arial" w:cs="Arial"/>
          <w:color w:val="000000" w:themeColor="text1"/>
          <w:sz w:val="22"/>
          <w:szCs w:val="22"/>
        </w:rPr>
      </w:pPr>
      <w:r w:rsidRPr="001F7748">
        <w:rPr>
          <w:rFonts w:ascii="Arial" w:hAnsi="Arial" w:cs="Arial"/>
          <w:color w:val="000000" w:themeColor="text1"/>
          <w:sz w:val="22"/>
          <w:szCs w:val="22"/>
          <w:u w:val="single"/>
        </w:rPr>
        <w:lastRenderedPageBreak/>
        <w:t>Social history:</w:t>
      </w:r>
      <w:r w:rsidRPr="001F7748">
        <w:rPr>
          <w:rFonts w:ascii="Arial" w:hAnsi="Arial" w:cs="Arial"/>
          <w:color w:val="000000" w:themeColor="text1"/>
          <w:sz w:val="22"/>
          <w:szCs w:val="22"/>
        </w:rPr>
        <w:t xml:space="preserve"> parental consanguinity, familial relationships, environmental stress, neglect, health and development of siblings</w:t>
      </w:r>
    </w:p>
    <w:p w14:paraId="6DA2F5A2" w14:textId="77777777" w:rsidR="00D83851" w:rsidRPr="001F7748" w:rsidRDefault="00D83851" w:rsidP="00900EEC">
      <w:pPr>
        <w:pStyle w:val="NormalWeb"/>
        <w:shd w:val="clear" w:color="auto" w:fill="FFFFFF"/>
        <w:spacing w:before="0" w:beforeAutospacing="0" w:after="150" w:afterAutospacing="0" w:line="276" w:lineRule="auto"/>
        <w:rPr>
          <w:rFonts w:ascii="Arial" w:hAnsi="Arial" w:cs="Arial"/>
          <w:color w:val="000000" w:themeColor="text1"/>
          <w:sz w:val="22"/>
          <w:szCs w:val="22"/>
        </w:rPr>
      </w:pPr>
      <w:r w:rsidRPr="001F7748">
        <w:rPr>
          <w:rFonts w:ascii="Arial" w:hAnsi="Arial" w:cs="Arial"/>
          <w:color w:val="000000" w:themeColor="text1"/>
          <w:sz w:val="22"/>
          <w:szCs w:val="22"/>
          <w:u w:val="single"/>
        </w:rPr>
        <w:t>Family history:</w:t>
      </w:r>
      <w:r w:rsidRPr="001F7748">
        <w:rPr>
          <w:rFonts w:ascii="Arial" w:hAnsi="Arial" w:cs="Arial"/>
          <w:color w:val="000000" w:themeColor="text1"/>
          <w:sz w:val="22"/>
          <w:szCs w:val="22"/>
        </w:rPr>
        <w:t xml:space="preserve"> DD, neurological conditions, learning difficulties, genetic disease</w:t>
      </w:r>
    </w:p>
    <w:p w14:paraId="0BC9F889" w14:textId="613D7075" w:rsidR="00900EEC" w:rsidRPr="00DC590C" w:rsidRDefault="00900EEC" w:rsidP="00900EEC">
      <w:pPr>
        <w:pStyle w:val="Heading2"/>
        <w:spacing w:line="276" w:lineRule="auto"/>
        <w:rPr>
          <w:rFonts w:cs="Arial"/>
          <w:szCs w:val="22"/>
        </w:rPr>
      </w:pPr>
      <w:r w:rsidRPr="00DC590C">
        <w:rPr>
          <w:rFonts w:cs="Arial"/>
          <w:szCs w:val="22"/>
        </w:rPr>
        <w:t xml:space="preserve">Examination </w:t>
      </w:r>
      <w:r w:rsidR="00846BE5">
        <w:rPr>
          <w:rFonts w:cs="Arial"/>
          <w:szCs w:val="22"/>
        </w:rPr>
        <w:t>findings</w:t>
      </w:r>
    </w:p>
    <w:p w14:paraId="5E504F59" w14:textId="77D38787" w:rsidR="00900EEC" w:rsidRPr="00820572" w:rsidRDefault="00900EEC" w:rsidP="00900EEC">
      <w:pPr>
        <w:pStyle w:val="Heading3"/>
      </w:pPr>
      <w:r w:rsidRPr="00820572">
        <w:t>Growth parameters</w:t>
      </w:r>
      <w:r>
        <w:t>:</w:t>
      </w:r>
    </w:p>
    <w:p w14:paraId="4A00F049" w14:textId="77777777" w:rsidR="00900EEC" w:rsidRDefault="00900EEC" w:rsidP="00C62531">
      <w:pPr>
        <w:pStyle w:val="ListParagraph"/>
        <w:numPr>
          <w:ilvl w:val="0"/>
          <w:numId w:val="8"/>
        </w:numPr>
      </w:pPr>
      <w:r>
        <w:t xml:space="preserve">Measure and plot </w:t>
      </w:r>
      <w:r w:rsidRPr="00820572">
        <w:t>head circumference</w:t>
      </w:r>
      <w:r>
        <w:t xml:space="preserve"> on appropriate </w:t>
      </w:r>
      <w:proofErr w:type="spellStart"/>
      <w:r>
        <w:t>standardised</w:t>
      </w:r>
      <w:proofErr w:type="spellEnd"/>
      <w:r>
        <w:t xml:space="preserve"> WHO growth chart. </w:t>
      </w:r>
    </w:p>
    <w:p w14:paraId="210EEA07" w14:textId="77777777" w:rsidR="00900EEC" w:rsidRPr="00820572" w:rsidRDefault="00900EEC" w:rsidP="00C62531">
      <w:pPr>
        <w:pStyle w:val="ListParagraph"/>
        <w:numPr>
          <w:ilvl w:val="0"/>
          <w:numId w:val="8"/>
        </w:numPr>
      </w:pPr>
      <w:r>
        <w:t xml:space="preserve">Measure weight and height/length. Calculate </w:t>
      </w:r>
      <w:r w:rsidRPr="00820572">
        <w:t>weight-for-height Z score</w:t>
      </w:r>
      <w:r>
        <w:t xml:space="preserve"> (WHZ score &lt; -3 = severe acute malnutrition).</w:t>
      </w:r>
    </w:p>
    <w:p w14:paraId="081ADEF3" w14:textId="09034C65" w:rsidR="00900EEC" w:rsidRDefault="00900EEC" w:rsidP="00900EEC">
      <w:pPr>
        <w:pStyle w:val="Heading3"/>
      </w:pPr>
      <w:r>
        <w:t>Thorough developmental assessment:</w:t>
      </w:r>
    </w:p>
    <w:p w14:paraId="09E7B333" w14:textId="60EF0948" w:rsidR="00900EEC" w:rsidRPr="00900EEC" w:rsidRDefault="00900EEC" w:rsidP="00C62531">
      <w:pPr>
        <w:pStyle w:val="ListParagraph"/>
        <w:numPr>
          <w:ilvl w:val="0"/>
          <w:numId w:val="9"/>
        </w:numPr>
      </w:pPr>
      <w:r w:rsidRPr="00900EEC">
        <w:t>Examine all domains (gross motor, fine motor, language, socioemotional and cognitive skills)</w:t>
      </w:r>
      <w:r w:rsidR="001F7748">
        <w:t>.</w:t>
      </w:r>
    </w:p>
    <w:p w14:paraId="18D2515E" w14:textId="77777777" w:rsidR="00900EEC" w:rsidRPr="00900EEC" w:rsidRDefault="00900EEC" w:rsidP="00C62531">
      <w:pPr>
        <w:pStyle w:val="ListParagraph"/>
        <w:numPr>
          <w:ilvl w:val="0"/>
          <w:numId w:val="9"/>
        </w:numPr>
      </w:pPr>
      <w:r w:rsidRPr="00900EEC">
        <w:t xml:space="preserve">If equivocal then follow up every 3-6 months with repeat clinical/dysmorphology and developmental assessments over time </w:t>
      </w:r>
    </w:p>
    <w:p w14:paraId="23D4998F" w14:textId="4DD4AEB6" w:rsidR="00900EEC" w:rsidRPr="00820572" w:rsidRDefault="00900EEC" w:rsidP="00900EEC">
      <w:pPr>
        <w:pStyle w:val="Heading3"/>
      </w:pPr>
      <w:r>
        <w:t>Detailed top-to-toe examination:</w:t>
      </w:r>
    </w:p>
    <w:p w14:paraId="2E13D9B8" w14:textId="77777777" w:rsidR="00900EEC" w:rsidRPr="00900EEC" w:rsidRDefault="00900EEC" w:rsidP="00C62531">
      <w:pPr>
        <w:pStyle w:val="ListParagraph"/>
        <w:numPr>
          <w:ilvl w:val="0"/>
          <w:numId w:val="10"/>
        </w:numPr>
        <w:rPr>
          <w:szCs w:val="22"/>
        </w:rPr>
      </w:pPr>
      <w:r w:rsidRPr="00900EEC">
        <w:rPr>
          <w:szCs w:val="22"/>
        </w:rPr>
        <w:t>Dysmorphism and congenital abnormalities</w:t>
      </w:r>
    </w:p>
    <w:p w14:paraId="4A94285B" w14:textId="77777777" w:rsidR="00900EEC" w:rsidRPr="00900EEC" w:rsidRDefault="00900EEC" w:rsidP="00C62531">
      <w:pPr>
        <w:pStyle w:val="ListParagraph"/>
        <w:numPr>
          <w:ilvl w:val="0"/>
          <w:numId w:val="10"/>
        </w:numPr>
        <w:rPr>
          <w:szCs w:val="22"/>
        </w:rPr>
      </w:pPr>
      <w:r w:rsidRPr="00900EEC">
        <w:rPr>
          <w:szCs w:val="22"/>
        </w:rPr>
        <w:t>Head shape (including fontanelle) and facial features</w:t>
      </w:r>
    </w:p>
    <w:p w14:paraId="30DD13F6" w14:textId="77777777" w:rsidR="00900EEC" w:rsidRPr="00900EEC" w:rsidRDefault="00900EEC" w:rsidP="00C62531">
      <w:pPr>
        <w:pStyle w:val="ListParagraph"/>
        <w:numPr>
          <w:ilvl w:val="0"/>
          <w:numId w:val="10"/>
        </w:numPr>
        <w:rPr>
          <w:szCs w:val="22"/>
        </w:rPr>
      </w:pPr>
      <w:r w:rsidRPr="00900EEC">
        <w:rPr>
          <w:szCs w:val="22"/>
        </w:rPr>
        <w:t xml:space="preserve">Skin and cutaneous stigmata </w:t>
      </w:r>
    </w:p>
    <w:p w14:paraId="2C53833C" w14:textId="77777777" w:rsidR="00900EEC" w:rsidRPr="00900EEC" w:rsidRDefault="00900EEC" w:rsidP="00C62531">
      <w:pPr>
        <w:pStyle w:val="ListParagraph"/>
        <w:numPr>
          <w:ilvl w:val="0"/>
          <w:numId w:val="10"/>
        </w:numPr>
        <w:rPr>
          <w:szCs w:val="22"/>
        </w:rPr>
      </w:pPr>
      <w:r w:rsidRPr="00900EEC">
        <w:rPr>
          <w:szCs w:val="22"/>
        </w:rPr>
        <w:t>Spine</w:t>
      </w:r>
    </w:p>
    <w:p w14:paraId="1ADE577C" w14:textId="77777777" w:rsidR="00900EEC" w:rsidRPr="00900EEC" w:rsidRDefault="00900EEC" w:rsidP="00C62531">
      <w:pPr>
        <w:pStyle w:val="ListParagraph"/>
        <w:numPr>
          <w:ilvl w:val="0"/>
          <w:numId w:val="10"/>
        </w:numPr>
        <w:rPr>
          <w:szCs w:val="22"/>
        </w:rPr>
      </w:pPr>
      <w:r w:rsidRPr="00900EEC">
        <w:rPr>
          <w:szCs w:val="22"/>
        </w:rPr>
        <w:t>Abdomen – check for organomegaly</w:t>
      </w:r>
    </w:p>
    <w:p w14:paraId="5ECEFCD9" w14:textId="77777777" w:rsidR="00900EEC" w:rsidRPr="00900EEC" w:rsidRDefault="00900EEC" w:rsidP="00C62531">
      <w:pPr>
        <w:pStyle w:val="ListParagraph"/>
        <w:numPr>
          <w:ilvl w:val="0"/>
          <w:numId w:val="10"/>
        </w:numPr>
        <w:rPr>
          <w:szCs w:val="22"/>
        </w:rPr>
      </w:pPr>
      <w:r w:rsidRPr="00900EEC">
        <w:rPr>
          <w:szCs w:val="22"/>
        </w:rPr>
        <w:t>Limb abnormalities</w:t>
      </w:r>
    </w:p>
    <w:p w14:paraId="45C6F1A4" w14:textId="77777777" w:rsidR="00900EEC" w:rsidRPr="00900EEC" w:rsidRDefault="00900EEC" w:rsidP="00C62531">
      <w:pPr>
        <w:pStyle w:val="ListParagraph"/>
        <w:numPr>
          <w:ilvl w:val="0"/>
          <w:numId w:val="10"/>
        </w:numPr>
        <w:rPr>
          <w:szCs w:val="22"/>
        </w:rPr>
      </w:pPr>
      <w:r w:rsidRPr="00900EEC">
        <w:rPr>
          <w:szCs w:val="22"/>
        </w:rPr>
        <w:t>Genital abnormalities</w:t>
      </w:r>
    </w:p>
    <w:p w14:paraId="7C30EE20" w14:textId="77777777" w:rsidR="00900EEC" w:rsidRPr="00900EEC" w:rsidRDefault="00900EEC" w:rsidP="00C62531">
      <w:pPr>
        <w:pStyle w:val="ListParagraph"/>
        <w:numPr>
          <w:ilvl w:val="0"/>
          <w:numId w:val="10"/>
        </w:numPr>
        <w:rPr>
          <w:szCs w:val="22"/>
        </w:rPr>
      </w:pPr>
      <w:r w:rsidRPr="00900EEC">
        <w:rPr>
          <w:szCs w:val="22"/>
        </w:rPr>
        <w:t>Abnormal neurological (especially tone) or cardiovascular examination</w:t>
      </w:r>
    </w:p>
    <w:p w14:paraId="7C2C41C0" w14:textId="0A7E3634" w:rsidR="00900EEC" w:rsidRPr="00900EEC" w:rsidRDefault="00900EEC" w:rsidP="00900EEC">
      <w:pPr>
        <w:pStyle w:val="Heading3"/>
      </w:pPr>
      <w:r w:rsidRPr="00900EEC">
        <w:t>Hearing and vision assessment</w:t>
      </w:r>
      <w:r>
        <w:t>:</w:t>
      </w:r>
    </w:p>
    <w:p w14:paraId="48E353F7" w14:textId="0D57F0A6" w:rsidR="00900EEC" w:rsidRDefault="00900EEC" w:rsidP="00900EEC">
      <w:r w:rsidRPr="00900EEC">
        <w:t xml:space="preserve">Identification and correction of sensory deficits are essential and may provide pointers to the underlying </w:t>
      </w:r>
      <w:proofErr w:type="spellStart"/>
      <w:r w:rsidRPr="00900EEC">
        <w:t>aetiology</w:t>
      </w:r>
      <w:proofErr w:type="spellEnd"/>
      <w:r>
        <w:t>.</w:t>
      </w:r>
    </w:p>
    <w:p w14:paraId="43F59A20" w14:textId="44666A79" w:rsidR="005A19AC" w:rsidRDefault="005A19AC" w:rsidP="005A19AC">
      <w:pPr>
        <w:spacing w:after="0"/>
        <w:outlineLvl w:val="9"/>
      </w:pPr>
      <w:r>
        <w:t>The following features are suggestive of:</w:t>
      </w:r>
    </w:p>
    <w:tbl>
      <w:tblPr>
        <w:tblStyle w:val="TableGrid"/>
        <w:tblW w:w="0" w:type="auto"/>
        <w:tblLook w:val="04A0" w:firstRow="1" w:lastRow="0" w:firstColumn="1" w:lastColumn="0" w:noHBand="0" w:noVBand="1"/>
      </w:tblPr>
      <w:tblGrid>
        <w:gridCol w:w="4337"/>
        <w:gridCol w:w="4293"/>
      </w:tblGrid>
      <w:tr w:rsidR="005A19AC" w14:paraId="1E69D0D3" w14:textId="77777777" w:rsidTr="005A19AC">
        <w:tc>
          <w:tcPr>
            <w:tcW w:w="5035" w:type="dxa"/>
            <w:shd w:val="clear" w:color="auto" w:fill="auto"/>
          </w:tcPr>
          <w:p w14:paraId="402695BE" w14:textId="77777777" w:rsidR="005A19AC" w:rsidRPr="00900EEC" w:rsidRDefault="005A19AC" w:rsidP="00074EFA">
            <w:pPr>
              <w:rPr>
                <w:b/>
              </w:rPr>
            </w:pPr>
            <w:r w:rsidRPr="00900EEC">
              <w:rPr>
                <w:b/>
              </w:rPr>
              <w:t>Genetic cause/unifying syndrome</w:t>
            </w:r>
          </w:p>
        </w:tc>
        <w:tc>
          <w:tcPr>
            <w:tcW w:w="5035" w:type="dxa"/>
            <w:shd w:val="clear" w:color="auto" w:fill="auto"/>
          </w:tcPr>
          <w:p w14:paraId="234B64E1" w14:textId="77777777" w:rsidR="005A19AC" w:rsidRPr="00900EEC" w:rsidRDefault="005A19AC" w:rsidP="00074EFA">
            <w:pPr>
              <w:rPr>
                <w:b/>
              </w:rPr>
            </w:pPr>
            <w:r w:rsidRPr="00900EEC">
              <w:rPr>
                <w:b/>
              </w:rPr>
              <w:t>Metabolic condition</w:t>
            </w:r>
          </w:p>
        </w:tc>
      </w:tr>
      <w:tr w:rsidR="005A19AC" w14:paraId="0C8416D9" w14:textId="77777777" w:rsidTr="005A19AC">
        <w:tc>
          <w:tcPr>
            <w:tcW w:w="5035" w:type="dxa"/>
            <w:shd w:val="clear" w:color="auto" w:fill="auto"/>
          </w:tcPr>
          <w:p w14:paraId="5C7CF442" w14:textId="77777777" w:rsidR="005A19AC" w:rsidRPr="00900EEC" w:rsidRDefault="005A19AC" w:rsidP="00C62531">
            <w:pPr>
              <w:pStyle w:val="ListParagraph"/>
              <w:numPr>
                <w:ilvl w:val="0"/>
                <w:numId w:val="11"/>
              </w:numPr>
              <w:ind w:left="360"/>
              <w:rPr>
                <w:sz w:val="20"/>
                <w:szCs w:val="20"/>
              </w:rPr>
            </w:pPr>
            <w:r w:rsidRPr="00900EEC">
              <w:rPr>
                <w:sz w:val="20"/>
                <w:szCs w:val="20"/>
              </w:rPr>
              <w:t>Any</w:t>
            </w:r>
            <w:r w:rsidRPr="00900EEC">
              <w:rPr>
                <w:sz w:val="20"/>
                <w:szCs w:val="20"/>
                <w:lang w:val="en-GB"/>
              </w:rPr>
              <w:t xml:space="preserve"> child with moderate/severe developmental delay of unknown cause. </w:t>
            </w:r>
          </w:p>
          <w:p w14:paraId="40B37E5D" w14:textId="77777777" w:rsidR="005A19AC" w:rsidRPr="00900EEC" w:rsidRDefault="005A19AC" w:rsidP="00C62531">
            <w:pPr>
              <w:pStyle w:val="ListParagraph"/>
              <w:numPr>
                <w:ilvl w:val="0"/>
                <w:numId w:val="11"/>
              </w:numPr>
              <w:ind w:left="360"/>
              <w:rPr>
                <w:sz w:val="20"/>
                <w:szCs w:val="20"/>
              </w:rPr>
            </w:pPr>
            <w:r w:rsidRPr="00900EEC">
              <w:rPr>
                <w:sz w:val="20"/>
                <w:szCs w:val="20"/>
                <w:lang w:val="en-GB"/>
              </w:rPr>
              <w:t>Family history of DD or learning disability.</w:t>
            </w:r>
          </w:p>
          <w:p w14:paraId="41038F53" w14:textId="77777777" w:rsidR="005A19AC" w:rsidRPr="00900EEC" w:rsidRDefault="005A19AC" w:rsidP="00C62531">
            <w:pPr>
              <w:pStyle w:val="ListParagraph"/>
              <w:numPr>
                <w:ilvl w:val="0"/>
                <w:numId w:val="11"/>
              </w:numPr>
              <w:ind w:left="360"/>
              <w:rPr>
                <w:sz w:val="20"/>
                <w:szCs w:val="20"/>
              </w:rPr>
            </w:pPr>
            <w:r w:rsidRPr="00900EEC">
              <w:rPr>
                <w:sz w:val="20"/>
                <w:szCs w:val="20"/>
                <w:lang w:val="en-GB"/>
              </w:rPr>
              <w:t xml:space="preserve">Parental consanguinity Congenital anomalies, unusual facial features or multisystem problems in addition to DD </w:t>
            </w:r>
          </w:p>
          <w:p w14:paraId="409E3F50" w14:textId="77777777" w:rsidR="005A19AC" w:rsidRPr="00900EEC" w:rsidRDefault="005A19AC" w:rsidP="00C62531">
            <w:pPr>
              <w:pStyle w:val="ListParagraph"/>
              <w:numPr>
                <w:ilvl w:val="0"/>
                <w:numId w:val="11"/>
              </w:numPr>
              <w:ind w:left="360"/>
              <w:rPr>
                <w:sz w:val="20"/>
                <w:szCs w:val="20"/>
              </w:rPr>
            </w:pPr>
            <w:r w:rsidRPr="00900EEC">
              <w:rPr>
                <w:sz w:val="20"/>
                <w:szCs w:val="20"/>
                <w:lang w:val="en-GB"/>
              </w:rPr>
              <w:t>Unusual growth parameters e.g. microcephaly or macrocephaly, short or tall stature, failure to thrive or severe obesity.</w:t>
            </w:r>
          </w:p>
          <w:p w14:paraId="11EFC9F0" w14:textId="77777777" w:rsidR="005A19AC" w:rsidRPr="00900EEC" w:rsidRDefault="005A19AC" w:rsidP="00C62531">
            <w:pPr>
              <w:pStyle w:val="ListParagraph"/>
              <w:numPr>
                <w:ilvl w:val="0"/>
                <w:numId w:val="11"/>
              </w:numPr>
              <w:ind w:left="360"/>
              <w:rPr>
                <w:rFonts w:eastAsia="Times New Roman"/>
                <w:sz w:val="20"/>
                <w:szCs w:val="20"/>
                <w:lang w:val="en-GB"/>
              </w:rPr>
            </w:pPr>
            <w:r w:rsidRPr="00900EEC">
              <w:rPr>
                <w:rFonts w:eastAsia="Times New Roman"/>
                <w:sz w:val="20"/>
                <w:szCs w:val="20"/>
                <w:lang w:val="en-GB"/>
              </w:rPr>
              <w:t xml:space="preserve">Sensory problems or odd behaviour </w:t>
            </w:r>
          </w:p>
        </w:tc>
        <w:tc>
          <w:tcPr>
            <w:tcW w:w="5035" w:type="dxa"/>
            <w:shd w:val="clear" w:color="auto" w:fill="auto"/>
          </w:tcPr>
          <w:p w14:paraId="3722C8EA" w14:textId="77777777" w:rsidR="005A19AC" w:rsidRPr="00900EEC" w:rsidRDefault="005A19AC" w:rsidP="00C62531">
            <w:pPr>
              <w:pStyle w:val="ListParagraph"/>
              <w:numPr>
                <w:ilvl w:val="0"/>
                <w:numId w:val="11"/>
              </w:numPr>
              <w:ind w:left="360"/>
              <w:rPr>
                <w:sz w:val="20"/>
                <w:szCs w:val="20"/>
              </w:rPr>
            </w:pPr>
            <w:r w:rsidRPr="00900EEC">
              <w:rPr>
                <w:sz w:val="20"/>
                <w:szCs w:val="20"/>
                <w:lang w:val="en-GB"/>
              </w:rPr>
              <w:t>Family history of DD or learning disability</w:t>
            </w:r>
          </w:p>
          <w:p w14:paraId="4C8292D9" w14:textId="77777777" w:rsidR="005A19AC" w:rsidRPr="00900EEC" w:rsidRDefault="005A19AC" w:rsidP="00C62531">
            <w:pPr>
              <w:pStyle w:val="ListParagraph"/>
              <w:numPr>
                <w:ilvl w:val="0"/>
                <w:numId w:val="11"/>
              </w:numPr>
              <w:ind w:left="360"/>
              <w:rPr>
                <w:sz w:val="20"/>
                <w:szCs w:val="20"/>
              </w:rPr>
            </w:pPr>
            <w:r w:rsidRPr="00900EEC">
              <w:rPr>
                <w:sz w:val="20"/>
                <w:szCs w:val="20"/>
                <w:lang w:val="en-GB"/>
              </w:rPr>
              <w:t>Previous history of sudden infant death</w:t>
            </w:r>
          </w:p>
          <w:p w14:paraId="48486081" w14:textId="77777777" w:rsidR="005A19AC" w:rsidRPr="00900EEC" w:rsidRDefault="005A19AC" w:rsidP="00C62531">
            <w:pPr>
              <w:pStyle w:val="ListParagraph"/>
              <w:numPr>
                <w:ilvl w:val="0"/>
                <w:numId w:val="11"/>
              </w:numPr>
              <w:ind w:left="360"/>
              <w:rPr>
                <w:sz w:val="20"/>
                <w:szCs w:val="20"/>
              </w:rPr>
            </w:pPr>
            <w:r w:rsidRPr="00900EEC">
              <w:rPr>
                <w:sz w:val="20"/>
                <w:szCs w:val="20"/>
                <w:lang w:val="en-GB"/>
              </w:rPr>
              <w:t>Parental consanguinity</w:t>
            </w:r>
          </w:p>
          <w:p w14:paraId="1BAB0E41" w14:textId="77777777" w:rsidR="005A19AC" w:rsidRPr="00900EEC" w:rsidRDefault="005A19AC" w:rsidP="00C62531">
            <w:pPr>
              <w:pStyle w:val="ListParagraph"/>
              <w:numPr>
                <w:ilvl w:val="0"/>
                <w:numId w:val="11"/>
              </w:numPr>
              <w:ind w:left="360"/>
              <w:rPr>
                <w:sz w:val="20"/>
                <w:szCs w:val="20"/>
              </w:rPr>
            </w:pPr>
            <w:r w:rsidRPr="00900EEC">
              <w:rPr>
                <w:sz w:val="20"/>
                <w:szCs w:val="20"/>
                <w:lang w:val="en-GB"/>
              </w:rPr>
              <w:t>Regression</w:t>
            </w:r>
          </w:p>
          <w:p w14:paraId="0C4EA1D8" w14:textId="77777777" w:rsidR="005A19AC" w:rsidRPr="00900EEC" w:rsidRDefault="005A19AC" w:rsidP="00C62531">
            <w:pPr>
              <w:pStyle w:val="ListParagraph"/>
              <w:numPr>
                <w:ilvl w:val="0"/>
                <w:numId w:val="11"/>
              </w:numPr>
              <w:ind w:left="360"/>
              <w:rPr>
                <w:sz w:val="20"/>
                <w:szCs w:val="20"/>
              </w:rPr>
            </w:pPr>
            <w:r w:rsidRPr="00900EEC">
              <w:rPr>
                <w:sz w:val="20"/>
                <w:szCs w:val="20"/>
                <w:lang w:val="en-GB"/>
              </w:rPr>
              <w:t>Abnormal head size</w:t>
            </w:r>
          </w:p>
          <w:p w14:paraId="3FA380DC" w14:textId="77777777" w:rsidR="005A19AC" w:rsidRPr="00900EEC" w:rsidRDefault="005A19AC" w:rsidP="00C62531">
            <w:pPr>
              <w:pStyle w:val="ListParagraph"/>
              <w:numPr>
                <w:ilvl w:val="0"/>
                <w:numId w:val="11"/>
              </w:numPr>
              <w:ind w:left="360"/>
              <w:rPr>
                <w:sz w:val="20"/>
                <w:szCs w:val="20"/>
              </w:rPr>
            </w:pPr>
            <w:r w:rsidRPr="00900EEC">
              <w:rPr>
                <w:sz w:val="20"/>
                <w:szCs w:val="20"/>
                <w:lang w:val="en-GB"/>
              </w:rPr>
              <w:t>Organomegaly</w:t>
            </w:r>
          </w:p>
          <w:p w14:paraId="7E9343E5" w14:textId="77777777" w:rsidR="005A19AC" w:rsidRPr="00900EEC" w:rsidRDefault="005A19AC" w:rsidP="00C62531">
            <w:pPr>
              <w:pStyle w:val="ListParagraph"/>
              <w:numPr>
                <w:ilvl w:val="0"/>
                <w:numId w:val="11"/>
              </w:numPr>
              <w:ind w:left="360"/>
              <w:rPr>
                <w:sz w:val="20"/>
                <w:szCs w:val="20"/>
              </w:rPr>
            </w:pPr>
            <w:r w:rsidRPr="00900EEC">
              <w:rPr>
                <w:sz w:val="20"/>
                <w:szCs w:val="20"/>
                <w:lang w:val="en-GB"/>
              </w:rPr>
              <w:t>Coarse features</w:t>
            </w:r>
          </w:p>
          <w:p w14:paraId="72A0AF6F" w14:textId="77777777" w:rsidR="005A19AC" w:rsidRPr="00900EEC" w:rsidRDefault="005A19AC" w:rsidP="00C62531">
            <w:pPr>
              <w:pStyle w:val="ListParagraph"/>
              <w:numPr>
                <w:ilvl w:val="0"/>
                <w:numId w:val="11"/>
              </w:numPr>
              <w:ind w:left="360"/>
              <w:rPr>
                <w:sz w:val="20"/>
                <w:szCs w:val="20"/>
              </w:rPr>
            </w:pPr>
            <w:r w:rsidRPr="00900EEC">
              <w:rPr>
                <w:sz w:val="20"/>
                <w:szCs w:val="20"/>
              </w:rPr>
              <w:t>Seizures</w:t>
            </w:r>
          </w:p>
          <w:p w14:paraId="19773049" w14:textId="77777777" w:rsidR="005A19AC" w:rsidRPr="00900EEC" w:rsidRDefault="005A19AC" w:rsidP="00C62531">
            <w:pPr>
              <w:pStyle w:val="ListParagraph"/>
              <w:numPr>
                <w:ilvl w:val="0"/>
                <w:numId w:val="11"/>
              </w:numPr>
              <w:ind w:left="360"/>
              <w:rPr>
                <w:sz w:val="20"/>
                <w:szCs w:val="20"/>
              </w:rPr>
            </w:pPr>
            <w:r w:rsidRPr="00900EEC">
              <w:rPr>
                <w:sz w:val="20"/>
                <w:szCs w:val="20"/>
                <w:lang w:val="en-GB"/>
              </w:rPr>
              <w:t>Abnormal neurology including hypotonia or movement disorder</w:t>
            </w:r>
          </w:p>
        </w:tc>
      </w:tr>
    </w:tbl>
    <w:p w14:paraId="3DB865B2" w14:textId="77777777" w:rsidR="00E90322" w:rsidRDefault="00E90322" w:rsidP="00691B78">
      <w:pPr>
        <w:pStyle w:val="Heading2"/>
        <w:spacing w:line="276" w:lineRule="auto"/>
        <w:rPr>
          <w:rFonts w:cs="Arial"/>
          <w:szCs w:val="22"/>
        </w:rPr>
      </w:pPr>
    </w:p>
    <w:p w14:paraId="4BAC4B08" w14:textId="77777777" w:rsidR="00E90322" w:rsidRDefault="00E90322">
      <w:pPr>
        <w:spacing w:after="0"/>
        <w:outlineLvl w:val="9"/>
        <w:rPr>
          <w:b/>
          <w:sz w:val="24"/>
          <w:szCs w:val="22"/>
        </w:rPr>
      </w:pPr>
      <w:r>
        <w:rPr>
          <w:szCs w:val="22"/>
        </w:rPr>
        <w:br w:type="page"/>
      </w:r>
    </w:p>
    <w:p w14:paraId="76427E2D" w14:textId="6622448A" w:rsidR="00691B78" w:rsidRDefault="00691B78" w:rsidP="00691B78">
      <w:pPr>
        <w:pStyle w:val="Heading2"/>
        <w:spacing w:line="276" w:lineRule="auto"/>
        <w:rPr>
          <w:rFonts w:cs="Arial"/>
          <w:szCs w:val="22"/>
        </w:rPr>
      </w:pPr>
      <w:r>
        <w:rPr>
          <w:rFonts w:cs="Arial"/>
          <w:szCs w:val="22"/>
        </w:rPr>
        <w:lastRenderedPageBreak/>
        <w:t>Key principles of management</w:t>
      </w:r>
    </w:p>
    <w:p w14:paraId="4EEE72BC" w14:textId="77777777" w:rsidR="00691B78" w:rsidRDefault="00691B78" w:rsidP="00C62531">
      <w:pPr>
        <w:pStyle w:val="ListParagraph"/>
        <w:numPr>
          <w:ilvl w:val="0"/>
          <w:numId w:val="12"/>
        </w:numPr>
      </w:pPr>
      <w:r>
        <w:t xml:space="preserve">Exclude reversible causes: </w:t>
      </w:r>
    </w:p>
    <w:p w14:paraId="2CB47FB9" w14:textId="77777777" w:rsidR="00691B78" w:rsidRDefault="00691B78" w:rsidP="00C62531">
      <w:pPr>
        <w:pStyle w:val="ListParagraph"/>
        <w:numPr>
          <w:ilvl w:val="1"/>
          <w:numId w:val="12"/>
        </w:numPr>
      </w:pPr>
      <w:r>
        <w:t>Infection (acute or chronic e.g. TB)</w:t>
      </w:r>
    </w:p>
    <w:p w14:paraId="2394A57D" w14:textId="77777777" w:rsidR="00691B78" w:rsidRDefault="00691B78" w:rsidP="00C62531">
      <w:pPr>
        <w:pStyle w:val="ListParagraph"/>
        <w:numPr>
          <w:ilvl w:val="1"/>
          <w:numId w:val="12"/>
        </w:numPr>
      </w:pPr>
      <w:r>
        <w:t>Undernutrition/failure to thrive</w:t>
      </w:r>
    </w:p>
    <w:p w14:paraId="189D789D" w14:textId="77777777" w:rsidR="00691B78" w:rsidRDefault="00691B78" w:rsidP="00C62531">
      <w:pPr>
        <w:pStyle w:val="ListParagraph"/>
        <w:numPr>
          <w:ilvl w:val="1"/>
          <w:numId w:val="12"/>
        </w:numPr>
      </w:pPr>
      <w:r>
        <w:t>Social difficulties e.g. neglect, family isolation, maternal depression</w:t>
      </w:r>
    </w:p>
    <w:p w14:paraId="6C28EE75" w14:textId="77777777" w:rsidR="00691B78" w:rsidRDefault="00691B78" w:rsidP="00C62531">
      <w:pPr>
        <w:pStyle w:val="ListParagraph"/>
        <w:numPr>
          <w:ilvl w:val="1"/>
          <w:numId w:val="12"/>
        </w:numPr>
      </w:pPr>
      <w:r>
        <w:t xml:space="preserve">Iron deficiency </w:t>
      </w:r>
      <w:proofErr w:type="spellStart"/>
      <w:r>
        <w:t>anaemia</w:t>
      </w:r>
      <w:proofErr w:type="spellEnd"/>
      <w:r>
        <w:t xml:space="preserve">, </w:t>
      </w:r>
    </w:p>
    <w:p w14:paraId="7950ED05" w14:textId="77777777" w:rsidR="00691B78" w:rsidRDefault="00691B78" w:rsidP="00C62531">
      <w:pPr>
        <w:pStyle w:val="ListParagraph"/>
        <w:numPr>
          <w:ilvl w:val="1"/>
          <w:numId w:val="12"/>
        </w:numPr>
      </w:pPr>
      <w:r>
        <w:t>Hypothyroidism</w:t>
      </w:r>
    </w:p>
    <w:p w14:paraId="30A1D606" w14:textId="03ED27E9" w:rsidR="00691B78" w:rsidRDefault="00691B78" w:rsidP="00C62531">
      <w:pPr>
        <w:pStyle w:val="ListParagraph"/>
        <w:numPr>
          <w:ilvl w:val="0"/>
          <w:numId w:val="12"/>
        </w:numPr>
      </w:pPr>
      <w:r>
        <w:t>Prevention/amelioration of comorbidities, particularly nutritional.</w:t>
      </w:r>
    </w:p>
    <w:p w14:paraId="4B9C6BBC" w14:textId="4BFE8891" w:rsidR="00691B78" w:rsidRDefault="00691B78" w:rsidP="00C62531">
      <w:pPr>
        <w:pStyle w:val="ListParagraph"/>
        <w:numPr>
          <w:ilvl w:val="0"/>
          <w:numId w:val="12"/>
        </w:numPr>
      </w:pPr>
      <w:r>
        <w:t>Anticipate child needs and initiate multidisciplinary networks early.</w:t>
      </w:r>
    </w:p>
    <w:p w14:paraId="4A36EFBC" w14:textId="5E4AFCB0" w:rsidR="00691B78" w:rsidRDefault="00691B78" w:rsidP="00C62531">
      <w:pPr>
        <w:pStyle w:val="ListParagraph"/>
        <w:numPr>
          <w:ilvl w:val="0"/>
          <w:numId w:val="12"/>
        </w:numPr>
      </w:pPr>
      <w:r>
        <w:t xml:space="preserve">Parental counselling and </w:t>
      </w:r>
      <w:proofErr w:type="spellStart"/>
      <w:r>
        <w:t>pychosocial</w:t>
      </w:r>
      <w:proofErr w:type="spellEnd"/>
      <w:r>
        <w:t xml:space="preserve"> support </w:t>
      </w:r>
      <w:proofErr w:type="gramStart"/>
      <w:r>
        <w:t>is</w:t>
      </w:r>
      <w:proofErr w:type="gramEnd"/>
      <w:r>
        <w:t xml:space="preserve"> very important.</w:t>
      </w:r>
    </w:p>
    <w:p w14:paraId="7DCCD549" w14:textId="6708608F" w:rsidR="00056EEF" w:rsidRDefault="00056EEF" w:rsidP="00C62531">
      <w:pPr>
        <w:pStyle w:val="ListParagraph"/>
        <w:numPr>
          <w:ilvl w:val="0"/>
          <w:numId w:val="12"/>
        </w:numPr>
      </w:pPr>
      <w:r>
        <w:t>Regular follow up and continue monitoring developmental progress/regression.</w:t>
      </w:r>
    </w:p>
    <w:p w14:paraId="7575B4BC" w14:textId="637A2ED4" w:rsidR="005A19AC" w:rsidRDefault="005A19AC" w:rsidP="005A19AC">
      <w:r>
        <w:t>Where tests and treatments are not available at CSD or in Gambia, consider referral to Dakar if the parents are able to afford this (but remember to make it clear when making a diagnosis will not change outcome, as parents may spend their last money on this if they are not properly counselled).</w:t>
      </w:r>
    </w:p>
    <w:p w14:paraId="0F13A4D2" w14:textId="77777777" w:rsidR="00691B78" w:rsidRPr="004755B5" w:rsidRDefault="00691B78" w:rsidP="00691B78">
      <w:pPr>
        <w:pStyle w:val="Heading2"/>
      </w:pPr>
      <w:r w:rsidRPr="00200FD9">
        <w:t>Investigations</w:t>
      </w:r>
    </w:p>
    <w:p w14:paraId="7FA6D437" w14:textId="5B196336" w:rsidR="00691B78" w:rsidRPr="00287277" w:rsidRDefault="00691B78" w:rsidP="00691B78">
      <w:r w:rsidRPr="00287277">
        <w:t>Indications for further investigations</w:t>
      </w:r>
      <w:r>
        <w:t xml:space="preserve"> are:</w:t>
      </w:r>
    </w:p>
    <w:p w14:paraId="3E285092" w14:textId="7E46D49A" w:rsidR="00691B78" w:rsidRDefault="00691B78" w:rsidP="00C62531">
      <w:pPr>
        <w:pStyle w:val="ListParagraph"/>
        <w:numPr>
          <w:ilvl w:val="0"/>
          <w:numId w:val="13"/>
        </w:numPr>
      </w:pPr>
      <w:r>
        <w:t>Severe delay: Development &lt;50% of expected milestones at that chronological age</w:t>
      </w:r>
    </w:p>
    <w:p w14:paraId="2BA7BDFE" w14:textId="75BEEB43" w:rsidR="00691B78" w:rsidRDefault="00691B78" w:rsidP="00C62531">
      <w:pPr>
        <w:pStyle w:val="ListParagraph"/>
        <w:numPr>
          <w:ilvl w:val="0"/>
          <w:numId w:val="13"/>
        </w:numPr>
      </w:pPr>
      <w:r>
        <w:t>Global delay: Significant delay affecting 2 or more domains of development</w:t>
      </w:r>
    </w:p>
    <w:p w14:paraId="5D3081A7" w14:textId="71FCDAFA" w:rsidR="00691B78" w:rsidRDefault="00691B78" w:rsidP="00C62531">
      <w:pPr>
        <w:pStyle w:val="ListParagraph"/>
        <w:numPr>
          <w:ilvl w:val="0"/>
          <w:numId w:val="13"/>
        </w:numPr>
      </w:pPr>
      <w:r>
        <w:t>Any plateauing or regression of development</w:t>
      </w:r>
    </w:p>
    <w:p w14:paraId="0C69922C" w14:textId="67D5136E" w:rsidR="00691B78" w:rsidRDefault="00691B78" w:rsidP="00691B78">
      <w:pPr>
        <w:pStyle w:val="Heading3"/>
      </w:pPr>
      <w:r>
        <w:t>First line investigations:</w:t>
      </w:r>
    </w:p>
    <w:tbl>
      <w:tblPr>
        <w:tblStyle w:val="TableGrid"/>
        <w:tblW w:w="0" w:type="auto"/>
        <w:tblLook w:val="04A0" w:firstRow="1" w:lastRow="0" w:firstColumn="1" w:lastColumn="0" w:noHBand="0" w:noVBand="1"/>
      </w:tblPr>
      <w:tblGrid>
        <w:gridCol w:w="1555"/>
        <w:gridCol w:w="7075"/>
      </w:tblGrid>
      <w:tr w:rsidR="005A19AC" w14:paraId="3373A62A" w14:textId="77777777" w:rsidTr="005A19AC">
        <w:tc>
          <w:tcPr>
            <w:tcW w:w="1555" w:type="dxa"/>
          </w:tcPr>
          <w:p w14:paraId="413F95E0" w14:textId="6D4CCC7E" w:rsidR="005A19AC" w:rsidRPr="001F7748" w:rsidRDefault="005A19AC" w:rsidP="00691B78">
            <w:pPr>
              <w:rPr>
                <w:i/>
              </w:rPr>
            </w:pPr>
            <w:r w:rsidRPr="001F7748">
              <w:rPr>
                <w:i/>
              </w:rPr>
              <w:t>Bloods</w:t>
            </w:r>
          </w:p>
        </w:tc>
        <w:tc>
          <w:tcPr>
            <w:tcW w:w="7075" w:type="dxa"/>
          </w:tcPr>
          <w:p w14:paraId="534F8845" w14:textId="687A037F" w:rsidR="005A19AC" w:rsidRPr="00C62531" w:rsidRDefault="005A19AC" w:rsidP="005A19AC">
            <w:pPr>
              <w:rPr>
                <w:sz w:val="20"/>
                <w:szCs w:val="20"/>
              </w:rPr>
            </w:pPr>
            <w:r w:rsidRPr="00C62531">
              <w:rPr>
                <w:sz w:val="20"/>
                <w:szCs w:val="20"/>
              </w:rPr>
              <w:t>FBC, Urea and creatinine, Electrolytes including HCO</w:t>
            </w:r>
            <w:r w:rsidRPr="00455E28">
              <w:rPr>
                <w:sz w:val="20"/>
                <w:szCs w:val="20"/>
                <w:vertAlign w:val="superscript"/>
              </w:rPr>
              <w:t>3</w:t>
            </w:r>
            <w:r w:rsidRPr="00C62531">
              <w:rPr>
                <w:sz w:val="20"/>
                <w:szCs w:val="20"/>
              </w:rPr>
              <w:t xml:space="preserve"> </w:t>
            </w:r>
          </w:p>
          <w:p w14:paraId="2D2B990F" w14:textId="1B5AAB8D" w:rsidR="005A19AC" w:rsidRPr="00C62531" w:rsidRDefault="005A19AC" w:rsidP="00C62531">
            <w:pPr>
              <w:pStyle w:val="ListParagraph"/>
              <w:numPr>
                <w:ilvl w:val="0"/>
                <w:numId w:val="14"/>
              </w:numPr>
              <w:rPr>
                <w:sz w:val="20"/>
                <w:szCs w:val="20"/>
              </w:rPr>
            </w:pPr>
            <w:r w:rsidRPr="00C62531">
              <w:rPr>
                <w:sz w:val="20"/>
                <w:szCs w:val="20"/>
              </w:rPr>
              <w:t xml:space="preserve">Calculate anion gap (Na + </w:t>
            </w:r>
            <w:r w:rsidR="001F7748">
              <w:rPr>
                <w:sz w:val="20"/>
                <w:szCs w:val="20"/>
              </w:rPr>
              <w:t>K</w:t>
            </w:r>
            <w:r w:rsidRPr="00C62531">
              <w:rPr>
                <w:sz w:val="20"/>
                <w:szCs w:val="20"/>
              </w:rPr>
              <w:t xml:space="preserve"> – Cl – HCO</w:t>
            </w:r>
            <w:r w:rsidRPr="00455E28">
              <w:rPr>
                <w:sz w:val="20"/>
                <w:szCs w:val="20"/>
                <w:vertAlign w:val="superscript"/>
              </w:rPr>
              <w:t>3</w:t>
            </w:r>
            <w:r w:rsidRPr="00C62531">
              <w:rPr>
                <w:sz w:val="20"/>
                <w:szCs w:val="20"/>
              </w:rPr>
              <w:t xml:space="preserve">) </w:t>
            </w:r>
            <w:r w:rsidRPr="00C62531">
              <w:rPr>
                <w:sz w:val="20"/>
                <w:szCs w:val="20"/>
              </w:rPr>
              <w:sym w:font="Wingdings" w:char="F0E0"/>
            </w:r>
            <w:r w:rsidRPr="00C62531">
              <w:rPr>
                <w:sz w:val="20"/>
                <w:szCs w:val="20"/>
              </w:rPr>
              <w:t xml:space="preserve"> normal anion gap is 8-16 </w:t>
            </w:r>
            <w:proofErr w:type="spellStart"/>
            <w:r w:rsidRPr="00C62531">
              <w:rPr>
                <w:sz w:val="20"/>
                <w:szCs w:val="20"/>
              </w:rPr>
              <w:t>mEq</w:t>
            </w:r>
            <w:proofErr w:type="spellEnd"/>
            <w:r w:rsidRPr="00C62531">
              <w:rPr>
                <w:sz w:val="20"/>
                <w:szCs w:val="20"/>
              </w:rPr>
              <w:t>/L</w:t>
            </w:r>
          </w:p>
          <w:p w14:paraId="7C9B8DB1" w14:textId="77777777" w:rsidR="005A19AC" w:rsidRPr="00C62531" w:rsidRDefault="005A19AC" w:rsidP="00C62531">
            <w:pPr>
              <w:pStyle w:val="ListParagraph"/>
              <w:numPr>
                <w:ilvl w:val="0"/>
                <w:numId w:val="14"/>
              </w:numPr>
              <w:rPr>
                <w:sz w:val="20"/>
                <w:szCs w:val="20"/>
              </w:rPr>
            </w:pPr>
            <w:r w:rsidRPr="00C62531">
              <w:rPr>
                <w:sz w:val="20"/>
                <w:szCs w:val="20"/>
              </w:rPr>
              <w:t xml:space="preserve">If the anion gap is </w:t>
            </w:r>
            <w:proofErr w:type="gramStart"/>
            <w:r w:rsidRPr="00C62531">
              <w:rPr>
                <w:sz w:val="20"/>
                <w:szCs w:val="20"/>
              </w:rPr>
              <w:t>high</w:t>
            </w:r>
            <w:proofErr w:type="gramEnd"/>
            <w:r w:rsidRPr="00C62531">
              <w:rPr>
                <w:sz w:val="20"/>
                <w:szCs w:val="20"/>
              </w:rPr>
              <w:t xml:space="preserve"> then consider </w:t>
            </w:r>
            <w:r w:rsidRPr="001F7748">
              <w:rPr>
                <w:sz w:val="20"/>
                <w:szCs w:val="20"/>
                <w:u w:val="single"/>
              </w:rPr>
              <w:t>metabolic acidosis</w:t>
            </w:r>
            <w:r w:rsidRPr="00C62531">
              <w:rPr>
                <w:sz w:val="20"/>
                <w:szCs w:val="20"/>
              </w:rPr>
              <w:t xml:space="preserve"> (+/- underlying metabolic disorders)</w:t>
            </w:r>
          </w:p>
          <w:p w14:paraId="3EBFD1DB" w14:textId="5AFC551B" w:rsidR="005A19AC" w:rsidRPr="00C62531" w:rsidRDefault="005A19AC" w:rsidP="005A19AC">
            <w:pPr>
              <w:rPr>
                <w:sz w:val="20"/>
                <w:szCs w:val="20"/>
              </w:rPr>
            </w:pPr>
            <w:r w:rsidRPr="00C62531">
              <w:rPr>
                <w:sz w:val="20"/>
                <w:szCs w:val="20"/>
              </w:rPr>
              <w:t>Fasting blood glucose, AST, ALT, bone profile, uric acid, lipid profile, creatine kinase (CK)</w:t>
            </w:r>
          </w:p>
          <w:p w14:paraId="5FE29433" w14:textId="77777777" w:rsidR="005A19AC" w:rsidRPr="00C62531" w:rsidRDefault="005A19AC" w:rsidP="005A19AC">
            <w:pPr>
              <w:rPr>
                <w:sz w:val="20"/>
                <w:szCs w:val="20"/>
              </w:rPr>
            </w:pPr>
            <w:r w:rsidRPr="00C62531">
              <w:rPr>
                <w:sz w:val="20"/>
                <w:szCs w:val="20"/>
              </w:rPr>
              <w:t>Thyroid function tests: TSH, free T4</w:t>
            </w:r>
          </w:p>
          <w:p w14:paraId="3F657CDB" w14:textId="47DDCC4D" w:rsidR="005A19AC" w:rsidRPr="00C62531" w:rsidRDefault="005A19AC" w:rsidP="005A19AC">
            <w:pPr>
              <w:rPr>
                <w:sz w:val="20"/>
                <w:szCs w:val="20"/>
              </w:rPr>
            </w:pPr>
            <w:r w:rsidRPr="00C62531">
              <w:rPr>
                <w:sz w:val="20"/>
                <w:szCs w:val="20"/>
              </w:rPr>
              <w:t>Other tests not available at CSD: Vitamin B12, lead level, lactate, iron studies</w:t>
            </w:r>
          </w:p>
        </w:tc>
      </w:tr>
      <w:tr w:rsidR="005A19AC" w:rsidRPr="005A19AC" w14:paraId="39397208" w14:textId="77777777" w:rsidTr="005A19AC">
        <w:tc>
          <w:tcPr>
            <w:tcW w:w="1555" w:type="dxa"/>
          </w:tcPr>
          <w:p w14:paraId="76BA7378" w14:textId="1858412A" w:rsidR="005A19AC" w:rsidRPr="001F7748" w:rsidRDefault="005A19AC" w:rsidP="005A19AC">
            <w:pPr>
              <w:tabs>
                <w:tab w:val="left" w:pos="1065"/>
              </w:tabs>
              <w:rPr>
                <w:i/>
              </w:rPr>
            </w:pPr>
            <w:r w:rsidRPr="001F7748">
              <w:rPr>
                <w:i/>
                <w:szCs w:val="22"/>
              </w:rPr>
              <w:t>Serology for congenital infections</w:t>
            </w:r>
          </w:p>
        </w:tc>
        <w:tc>
          <w:tcPr>
            <w:tcW w:w="7075" w:type="dxa"/>
          </w:tcPr>
          <w:p w14:paraId="06E058BA" w14:textId="77777777" w:rsidR="005A19AC" w:rsidRPr="00C62531" w:rsidRDefault="005A19AC" w:rsidP="005A19AC">
            <w:pPr>
              <w:rPr>
                <w:sz w:val="20"/>
                <w:szCs w:val="20"/>
                <w:lang w:val="en-GB"/>
              </w:rPr>
            </w:pPr>
            <w:r w:rsidRPr="00C62531">
              <w:rPr>
                <w:sz w:val="20"/>
                <w:szCs w:val="20"/>
              </w:rPr>
              <w:t>Syphilis</w:t>
            </w:r>
            <w:r w:rsidRPr="00C62531">
              <w:rPr>
                <w:sz w:val="20"/>
                <w:szCs w:val="20"/>
                <w:lang w:val="en-GB"/>
              </w:rPr>
              <w:t xml:space="preserve"> (RPR/TPHA) and HIV1+2</w:t>
            </w:r>
          </w:p>
          <w:p w14:paraId="69ECB71B" w14:textId="5DFC83FD" w:rsidR="005A19AC" w:rsidRPr="00C62531" w:rsidRDefault="005A19AC" w:rsidP="005A19AC">
            <w:pPr>
              <w:rPr>
                <w:sz w:val="20"/>
                <w:szCs w:val="20"/>
              </w:rPr>
            </w:pPr>
            <w:r w:rsidRPr="00C62531">
              <w:rPr>
                <w:sz w:val="20"/>
                <w:szCs w:val="20"/>
              </w:rPr>
              <w:t xml:space="preserve">Other tests not available at CSD: </w:t>
            </w:r>
            <w:r w:rsidRPr="00C62531">
              <w:rPr>
                <w:rFonts w:eastAsia="Times New Roman"/>
                <w:sz w:val="20"/>
                <w:szCs w:val="20"/>
                <w:lang w:val="en-GB"/>
              </w:rPr>
              <w:t>Toxoplasm</w:t>
            </w:r>
            <w:r w:rsidR="001F7748">
              <w:rPr>
                <w:rFonts w:eastAsia="Times New Roman"/>
                <w:sz w:val="20"/>
                <w:szCs w:val="20"/>
                <w:lang w:val="en-GB"/>
              </w:rPr>
              <w:t>a</w:t>
            </w:r>
            <w:r w:rsidRPr="00C62531">
              <w:rPr>
                <w:rFonts w:eastAsia="Times New Roman"/>
                <w:sz w:val="20"/>
                <w:szCs w:val="20"/>
                <w:lang w:val="en-GB"/>
              </w:rPr>
              <w:t>, cytomegalovirus, rubella</w:t>
            </w:r>
          </w:p>
        </w:tc>
      </w:tr>
    </w:tbl>
    <w:p w14:paraId="7457646F" w14:textId="57B4F1BB" w:rsidR="00691B78" w:rsidRDefault="00691B78" w:rsidP="00691B78"/>
    <w:p w14:paraId="5C48C2DD" w14:textId="77777777" w:rsidR="005A19AC" w:rsidRDefault="005A19AC">
      <w:pPr>
        <w:spacing w:after="0"/>
        <w:outlineLvl w:val="9"/>
        <w:rPr>
          <w:rFonts w:eastAsia="Times New Roman" w:cs="Times New Roman"/>
          <w:b/>
          <w:bCs/>
          <w:szCs w:val="26"/>
          <w:u w:val="single"/>
        </w:rPr>
      </w:pPr>
      <w:r>
        <w:br w:type="page"/>
      </w:r>
    </w:p>
    <w:p w14:paraId="33531679" w14:textId="38004686" w:rsidR="005A19AC" w:rsidRDefault="005A19AC" w:rsidP="005A19AC">
      <w:pPr>
        <w:pStyle w:val="Heading3"/>
      </w:pPr>
      <w:r>
        <w:lastRenderedPageBreak/>
        <w:t>Second line investigations:</w:t>
      </w:r>
    </w:p>
    <w:p w14:paraId="4F4983C5" w14:textId="3705B16C" w:rsidR="00691B78" w:rsidRDefault="005A19AC" w:rsidP="005A19AC">
      <w:r>
        <w:t>These depend on clinical assessment and availability.</w:t>
      </w:r>
      <w:r w:rsidR="007C1270">
        <w:t xml:space="preserve"> Tests in bold are currently available in CSD.</w:t>
      </w:r>
    </w:p>
    <w:tbl>
      <w:tblPr>
        <w:tblStyle w:val="TableGrid"/>
        <w:tblW w:w="8642" w:type="dxa"/>
        <w:tblLook w:val="04A0" w:firstRow="1" w:lastRow="0" w:firstColumn="1" w:lastColumn="0" w:noHBand="0" w:noVBand="1"/>
      </w:tblPr>
      <w:tblGrid>
        <w:gridCol w:w="1378"/>
        <w:gridCol w:w="7264"/>
      </w:tblGrid>
      <w:tr w:rsidR="007C1270" w:rsidRPr="00EF3020" w14:paraId="7B75C6AE" w14:textId="77777777" w:rsidTr="007C1270">
        <w:tc>
          <w:tcPr>
            <w:tcW w:w="1378" w:type="dxa"/>
          </w:tcPr>
          <w:p w14:paraId="4B2E66B4" w14:textId="77777777" w:rsidR="007C1270" w:rsidRPr="001F7748" w:rsidRDefault="007C1270" w:rsidP="00074EFA">
            <w:pPr>
              <w:spacing w:line="276" w:lineRule="auto"/>
              <w:rPr>
                <w:i/>
                <w:szCs w:val="22"/>
              </w:rPr>
            </w:pPr>
            <w:r w:rsidRPr="001F7748">
              <w:rPr>
                <w:i/>
                <w:szCs w:val="22"/>
              </w:rPr>
              <w:t xml:space="preserve">Special blood tests (if </w:t>
            </w:r>
          </w:p>
          <w:p w14:paraId="4E26E8CC" w14:textId="77777777" w:rsidR="007C1270" w:rsidRPr="001F7748" w:rsidRDefault="007C1270" w:rsidP="00074EFA">
            <w:pPr>
              <w:spacing w:line="276" w:lineRule="auto"/>
              <w:rPr>
                <w:i/>
                <w:szCs w:val="22"/>
              </w:rPr>
            </w:pPr>
            <w:r w:rsidRPr="001F7748">
              <w:rPr>
                <w:i/>
                <w:szCs w:val="22"/>
              </w:rPr>
              <w:t>available)</w:t>
            </w:r>
          </w:p>
        </w:tc>
        <w:tc>
          <w:tcPr>
            <w:tcW w:w="7264" w:type="dxa"/>
          </w:tcPr>
          <w:p w14:paraId="45BDB90B" w14:textId="77777777" w:rsidR="007C1270" w:rsidRDefault="007C1270" w:rsidP="00074EFA">
            <w:pPr>
              <w:spacing w:line="276" w:lineRule="auto"/>
              <w:rPr>
                <w:sz w:val="20"/>
                <w:szCs w:val="20"/>
              </w:rPr>
            </w:pPr>
            <w:r w:rsidRPr="00EF3020">
              <w:rPr>
                <w:sz w:val="20"/>
                <w:szCs w:val="20"/>
              </w:rPr>
              <w:t>Genetic tests: Karyotype and microarray</w:t>
            </w:r>
          </w:p>
          <w:p w14:paraId="1A70BA28" w14:textId="77777777" w:rsidR="007C1270" w:rsidRDefault="007C1270" w:rsidP="00074EFA">
            <w:pPr>
              <w:spacing w:line="276" w:lineRule="auto"/>
              <w:rPr>
                <w:sz w:val="20"/>
                <w:szCs w:val="20"/>
              </w:rPr>
            </w:pPr>
            <w:r>
              <w:rPr>
                <w:sz w:val="20"/>
                <w:szCs w:val="20"/>
              </w:rPr>
              <w:t>Metabolic tests (in addition to 1</w:t>
            </w:r>
            <w:r w:rsidRPr="00820572">
              <w:rPr>
                <w:sz w:val="20"/>
                <w:szCs w:val="20"/>
                <w:vertAlign w:val="superscript"/>
              </w:rPr>
              <w:t>st</w:t>
            </w:r>
            <w:r>
              <w:rPr>
                <w:sz w:val="20"/>
                <w:szCs w:val="20"/>
              </w:rPr>
              <w:t xml:space="preserve"> line above): </w:t>
            </w:r>
          </w:p>
          <w:p w14:paraId="71A25E3B" w14:textId="77777777" w:rsidR="007C1270" w:rsidRDefault="007C1270" w:rsidP="00C62531">
            <w:pPr>
              <w:pStyle w:val="ListParagraph"/>
              <w:numPr>
                <w:ilvl w:val="0"/>
                <w:numId w:val="16"/>
              </w:numPr>
              <w:spacing w:line="276" w:lineRule="auto"/>
              <w:rPr>
                <w:sz w:val="20"/>
                <w:szCs w:val="20"/>
              </w:rPr>
            </w:pPr>
            <w:r>
              <w:rPr>
                <w:sz w:val="20"/>
                <w:szCs w:val="20"/>
              </w:rPr>
              <w:t>Blood: a</w:t>
            </w:r>
            <w:r w:rsidRPr="00820572">
              <w:rPr>
                <w:sz w:val="20"/>
                <w:szCs w:val="20"/>
              </w:rPr>
              <w:t>mmonia</w:t>
            </w:r>
            <w:r>
              <w:rPr>
                <w:sz w:val="20"/>
                <w:szCs w:val="20"/>
              </w:rPr>
              <w:t>,</w:t>
            </w:r>
            <w:r w:rsidRPr="00820572">
              <w:rPr>
                <w:sz w:val="20"/>
                <w:szCs w:val="20"/>
              </w:rPr>
              <w:t xml:space="preserve"> </w:t>
            </w:r>
            <w:r>
              <w:rPr>
                <w:sz w:val="20"/>
                <w:szCs w:val="20"/>
              </w:rPr>
              <w:t>s</w:t>
            </w:r>
            <w:r w:rsidRPr="00820572">
              <w:rPr>
                <w:sz w:val="20"/>
                <w:szCs w:val="20"/>
              </w:rPr>
              <w:t xml:space="preserve">erum amino acids, VLCFA, white cell enzymes </w:t>
            </w:r>
          </w:p>
          <w:p w14:paraId="7D05E522" w14:textId="77777777" w:rsidR="007C1270" w:rsidRDefault="007C1270" w:rsidP="00C62531">
            <w:pPr>
              <w:pStyle w:val="ListParagraph"/>
              <w:numPr>
                <w:ilvl w:val="0"/>
                <w:numId w:val="16"/>
              </w:numPr>
              <w:spacing w:line="276" w:lineRule="auto"/>
              <w:rPr>
                <w:sz w:val="20"/>
                <w:szCs w:val="20"/>
              </w:rPr>
            </w:pPr>
            <w:r>
              <w:rPr>
                <w:sz w:val="20"/>
                <w:szCs w:val="20"/>
              </w:rPr>
              <w:t>U</w:t>
            </w:r>
            <w:r w:rsidRPr="00820572">
              <w:rPr>
                <w:sz w:val="20"/>
                <w:szCs w:val="20"/>
              </w:rPr>
              <w:t>rine</w:t>
            </w:r>
            <w:r>
              <w:rPr>
                <w:sz w:val="20"/>
                <w:szCs w:val="20"/>
              </w:rPr>
              <w:t xml:space="preserve">: </w:t>
            </w:r>
            <w:r w:rsidRPr="00820572">
              <w:rPr>
                <w:sz w:val="20"/>
                <w:szCs w:val="20"/>
              </w:rPr>
              <w:t xml:space="preserve">organic acids, </w:t>
            </w:r>
            <w:proofErr w:type="spellStart"/>
            <w:r w:rsidRPr="00820572">
              <w:rPr>
                <w:sz w:val="20"/>
                <w:szCs w:val="20"/>
              </w:rPr>
              <w:t>glycosaminoclycans</w:t>
            </w:r>
            <w:proofErr w:type="spellEnd"/>
            <w:r w:rsidRPr="00820572">
              <w:rPr>
                <w:sz w:val="20"/>
                <w:szCs w:val="20"/>
              </w:rPr>
              <w:t xml:space="preserve"> (MPS screen)</w:t>
            </w:r>
          </w:p>
          <w:p w14:paraId="6634322D" w14:textId="77777777" w:rsidR="007C1270" w:rsidRPr="00820572" w:rsidRDefault="007C1270" w:rsidP="00074EFA">
            <w:pPr>
              <w:spacing w:line="276" w:lineRule="auto"/>
              <w:rPr>
                <w:sz w:val="20"/>
                <w:szCs w:val="20"/>
              </w:rPr>
            </w:pPr>
            <w:r w:rsidRPr="000D33BF">
              <w:rPr>
                <w:b/>
                <w:sz w:val="20"/>
                <w:szCs w:val="20"/>
              </w:rPr>
              <w:t>Infection screen:</w:t>
            </w:r>
            <w:r>
              <w:rPr>
                <w:sz w:val="20"/>
                <w:szCs w:val="20"/>
              </w:rPr>
              <w:t xml:space="preserve"> ESR, microbiology if suspect chronic infection, TB investigations (if +</w:t>
            </w:r>
            <w:proofErr w:type="spellStart"/>
            <w:r>
              <w:rPr>
                <w:sz w:val="20"/>
                <w:szCs w:val="20"/>
              </w:rPr>
              <w:t>ve</w:t>
            </w:r>
            <w:proofErr w:type="spellEnd"/>
            <w:r>
              <w:rPr>
                <w:sz w:val="20"/>
                <w:szCs w:val="20"/>
              </w:rPr>
              <w:t xml:space="preserve"> history)</w:t>
            </w:r>
          </w:p>
        </w:tc>
      </w:tr>
      <w:tr w:rsidR="007C1270" w:rsidRPr="00EF3020" w14:paraId="3D72B420" w14:textId="77777777" w:rsidTr="007C1270">
        <w:tc>
          <w:tcPr>
            <w:tcW w:w="1378" w:type="dxa"/>
          </w:tcPr>
          <w:p w14:paraId="7053F559" w14:textId="77777777" w:rsidR="007C1270" w:rsidRPr="001F7748" w:rsidRDefault="007C1270" w:rsidP="00074EFA">
            <w:pPr>
              <w:spacing w:line="276" w:lineRule="auto"/>
              <w:rPr>
                <w:i/>
                <w:szCs w:val="22"/>
              </w:rPr>
            </w:pPr>
            <w:r w:rsidRPr="001F7748">
              <w:rPr>
                <w:i/>
                <w:szCs w:val="22"/>
              </w:rPr>
              <w:t>Plain imaging (X Rays)</w:t>
            </w:r>
          </w:p>
        </w:tc>
        <w:tc>
          <w:tcPr>
            <w:tcW w:w="7264" w:type="dxa"/>
          </w:tcPr>
          <w:p w14:paraId="5FF84626" w14:textId="77777777" w:rsidR="007C1270" w:rsidRDefault="007C1270" w:rsidP="00074EFA">
            <w:pPr>
              <w:spacing w:line="276" w:lineRule="auto"/>
              <w:rPr>
                <w:sz w:val="20"/>
                <w:szCs w:val="20"/>
              </w:rPr>
            </w:pPr>
            <w:r w:rsidRPr="000D33BF">
              <w:rPr>
                <w:b/>
                <w:sz w:val="20"/>
                <w:szCs w:val="20"/>
              </w:rPr>
              <w:t>C</w:t>
            </w:r>
            <w:r>
              <w:rPr>
                <w:b/>
                <w:sz w:val="20"/>
                <w:szCs w:val="20"/>
              </w:rPr>
              <w:t xml:space="preserve">hest </w:t>
            </w:r>
            <w:r w:rsidRPr="000D33BF">
              <w:rPr>
                <w:b/>
                <w:sz w:val="20"/>
                <w:szCs w:val="20"/>
              </w:rPr>
              <w:t>XR:</w:t>
            </w:r>
            <w:r>
              <w:rPr>
                <w:sz w:val="20"/>
                <w:szCs w:val="20"/>
              </w:rPr>
              <w:t xml:space="preserve"> if chronic infection or malignancy suspected</w:t>
            </w:r>
          </w:p>
          <w:p w14:paraId="52A81285" w14:textId="77777777" w:rsidR="007C1270" w:rsidRDefault="007C1270" w:rsidP="00074EFA">
            <w:pPr>
              <w:spacing w:line="276" w:lineRule="auto"/>
              <w:rPr>
                <w:sz w:val="20"/>
                <w:szCs w:val="20"/>
              </w:rPr>
            </w:pPr>
            <w:r w:rsidRPr="000D33BF">
              <w:rPr>
                <w:b/>
                <w:sz w:val="20"/>
                <w:szCs w:val="20"/>
              </w:rPr>
              <w:t>Limb XR</w:t>
            </w:r>
            <w:r>
              <w:rPr>
                <w:sz w:val="20"/>
                <w:szCs w:val="20"/>
              </w:rPr>
              <w:t>: useful if the child has limb abnormalities</w:t>
            </w:r>
          </w:p>
          <w:p w14:paraId="14DB55AE" w14:textId="77777777" w:rsidR="007C1270" w:rsidRPr="00EF3020" w:rsidRDefault="007C1270" w:rsidP="00074EFA">
            <w:pPr>
              <w:spacing w:line="276" w:lineRule="auto"/>
              <w:rPr>
                <w:sz w:val="20"/>
                <w:szCs w:val="20"/>
              </w:rPr>
            </w:pPr>
            <w:r w:rsidRPr="000D33BF">
              <w:rPr>
                <w:b/>
                <w:sz w:val="20"/>
                <w:szCs w:val="20"/>
              </w:rPr>
              <w:t>Skull XR:</w:t>
            </w:r>
            <w:r w:rsidRPr="00EF3020">
              <w:rPr>
                <w:sz w:val="20"/>
                <w:szCs w:val="20"/>
              </w:rPr>
              <w:t xml:space="preserve"> Useful if abnormal sutures and cranial shape suspected (e.g. craniosynostosis)</w:t>
            </w:r>
          </w:p>
        </w:tc>
      </w:tr>
      <w:tr w:rsidR="007C1270" w:rsidRPr="00EF3020" w14:paraId="0175FF76" w14:textId="77777777" w:rsidTr="007C1270">
        <w:trPr>
          <w:trHeight w:val="1975"/>
        </w:trPr>
        <w:tc>
          <w:tcPr>
            <w:tcW w:w="1378" w:type="dxa"/>
          </w:tcPr>
          <w:p w14:paraId="489FCFE9" w14:textId="12853AB1" w:rsidR="007C1270" w:rsidRPr="001F7748" w:rsidRDefault="007C1270" w:rsidP="00074EFA">
            <w:pPr>
              <w:spacing w:line="276" w:lineRule="auto"/>
              <w:rPr>
                <w:i/>
                <w:szCs w:val="22"/>
              </w:rPr>
            </w:pPr>
            <w:r w:rsidRPr="001F7748">
              <w:rPr>
                <w:i/>
                <w:szCs w:val="22"/>
              </w:rPr>
              <w:t>Neuro-imaging</w:t>
            </w:r>
          </w:p>
        </w:tc>
        <w:tc>
          <w:tcPr>
            <w:tcW w:w="7264" w:type="dxa"/>
          </w:tcPr>
          <w:p w14:paraId="35F803C6" w14:textId="77777777" w:rsidR="007C1270" w:rsidRDefault="007C1270" w:rsidP="00074EFA">
            <w:pPr>
              <w:spacing w:line="276" w:lineRule="auto"/>
              <w:rPr>
                <w:color w:val="333333"/>
                <w:sz w:val="20"/>
                <w:szCs w:val="20"/>
                <w:shd w:val="clear" w:color="auto" w:fill="FFFFFF"/>
              </w:rPr>
            </w:pPr>
            <w:r w:rsidRPr="00EF3020">
              <w:rPr>
                <w:sz w:val="20"/>
                <w:szCs w:val="20"/>
              </w:rPr>
              <w:t xml:space="preserve">Neuroimaging should be done if </w:t>
            </w:r>
            <w:r w:rsidRPr="00EF3020">
              <w:rPr>
                <w:color w:val="333333"/>
                <w:sz w:val="20"/>
                <w:szCs w:val="20"/>
                <w:shd w:val="clear" w:color="auto" w:fill="FFFFFF"/>
              </w:rPr>
              <w:t>abnormal head circumference (microcephaly, non-familial macrocephaly, rapid change in head circumference), focal neurological signs, seizures</w:t>
            </w:r>
          </w:p>
          <w:p w14:paraId="06B58C83" w14:textId="77777777" w:rsidR="007C1270" w:rsidRDefault="007C1270" w:rsidP="00C62531">
            <w:pPr>
              <w:pStyle w:val="ListParagraph"/>
              <w:numPr>
                <w:ilvl w:val="0"/>
                <w:numId w:val="17"/>
              </w:numPr>
              <w:spacing w:line="276" w:lineRule="auto"/>
              <w:rPr>
                <w:color w:val="333333"/>
                <w:sz w:val="20"/>
                <w:szCs w:val="20"/>
                <w:shd w:val="clear" w:color="auto" w:fill="FFFFFF"/>
              </w:rPr>
            </w:pPr>
            <w:r w:rsidRPr="00820572">
              <w:rPr>
                <w:color w:val="333333"/>
                <w:sz w:val="20"/>
                <w:szCs w:val="20"/>
                <w:shd w:val="clear" w:color="auto" w:fill="FFFFFF"/>
              </w:rPr>
              <w:t xml:space="preserve">MRI brain: gold standard </w:t>
            </w:r>
          </w:p>
          <w:p w14:paraId="7DDC3F4C" w14:textId="77777777" w:rsidR="007C1270" w:rsidRPr="00820572" w:rsidRDefault="007C1270" w:rsidP="00C62531">
            <w:pPr>
              <w:pStyle w:val="ListParagraph"/>
              <w:numPr>
                <w:ilvl w:val="0"/>
                <w:numId w:val="17"/>
              </w:numPr>
              <w:spacing w:line="276" w:lineRule="auto"/>
              <w:rPr>
                <w:color w:val="333333"/>
                <w:sz w:val="20"/>
                <w:szCs w:val="20"/>
                <w:shd w:val="clear" w:color="auto" w:fill="FFFFFF"/>
              </w:rPr>
            </w:pPr>
            <w:r w:rsidRPr="000D33BF">
              <w:rPr>
                <w:b/>
                <w:sz w:val="20"/>
                <w:szCs w:val="20"/>
              </w:rPr>
              <w:t>Cranial ultrasound:</w:t>
            </w:r>
            <w:r w:rsidRPr="00820572">
              <w:rPr>
                <w:sz w:val="20"/>
                <w:szCs w:val="20"/>
              </w:rPr>
              <w:t xml:space="preserve"> may be useful to assess intracranial pathology in an infant (if anterior fontanelles not closed) </w:t>
            </w:r>
          </w:p>
          <w:p w14:paraId="05755248" w14:textId="77777777" w:rsidR="007C1270" w:rsidRDefault="007C1270" w:rsidP="00C62531">
            <w:pPr>
              <w:pStyle w:val="ListParagraph"/>
              <w:numPr>
                <w:ilvl w:val="0"/>
                <w:numId w:val="17"/>
              </w:numPr>
              <w:spacing w:line="276" w:lineRule="auto"/>
              <w:rPr>
                <w:sz w:val="20"/>
                <w:szCs w:val="20"/>
              </w:rPr>
            </w:pPr>
            <w:r>
              <w:rPr>
                <w:sz w:val="20"/>
                <w:szCs w:val="20"/>
              </w:rPr>
              <w:t xml:space="preserve">CT head: only request </w:t>
            </w:r>
            <w:r w:rsidRPr="00820572">
              <w:rPr>
                <w:sz w:val="20"/>
                <w:szCs w:val="20"/>
              </w:rPr>
              <w:t>if intracranial calcifications suspected (Toxoplasmosis</w:t>
            </w:r>
            <w:r>
              <w:rPr>
                <w:sz w:val="20"/>
                <w:szCs w:val="20"/>
              </w:rPr>
              <w:t>, CMV)</w:t>
            </w:r>
          </w:p>
          <w:p w14:paraId="00E23774" w14:textId="77777777" w:rsidR="007C1270" w:rsidRPr="00EF3020" w:rsidRDefault="007C1270" w:rsidP="00C62531">
            <w:pPr>
              <w:pStyle w:val="ListParagraph"/>
              <w:numPr>
                <w:ilvl w:val="0"/>
                <w:numId w:val="17"/>
              </w:numPr>
              <w:spacing w:line="276" w:lineRule="auto"/>
              <w:rPr>
                <w:sz w:val="20"/>
                <w:szCs w:val="20"/>
              </w:rPr>
            </w:pPr>
            <w:r w:rsidRPr="00EF3020">
              <w:rPr>
                <w:sz w:val="20"/>
                <w:szCs w:val="20"/>
              </w:rPr>
              <w:t>EEG</w:t>
            </w:r>
            <w:r>
              <w:rPr>
                <w:sz w:val="20"/>
                <w:szCs w:val="20"/>
              </w:rPr>
              <w:t>:</w:t>
            </w:r>
            <w:r w:rsidRPr="00EF3020">
              <w:rPr>
                <w:sz w:val="20"/>
                <w:szCs w:val="20"/>
              </w:rPr>
              <w:t xml:space="preserve"> If seizures, speech regression, neurodegeneration/regression</w:t>
            </w:r>
          </w:p>
        </w:tc>
      </w:tr>
      <w:tr w:rsidR="007C1270" w:rsidRPr="00EF3020" w14:paraId="43266566" w14:textId="77777777" w:rsidTr="007C1270">
        <w:tc>
          <w:tcPr>
            <w:tcW w:w="1378" w:type="dxa"/>
          </w:tcPr>
          <w:p w14:paraId="26D60CB0" w14:textId="77777777" w:rsidR="007C1270" w:rsidRPr="001F7748" w:rsidRDefault="007C1270" w:rsidP="00074EFA">
            <w:pPr>
              <w:spacing w:line="276" w:lineRule="auto"/>
              <w:rPr>
                <w:i/>
                <w:szCs w:val="22"/>
              </w:rPr>
            </w:pPr>
            <w:r w:rsidRPr="001F7748">
              <w:rPr>
                <w:i/>
                <w:szCs w:val="22"/>
              </w:rPr>
              <w:t xml:space="preserve">Ultrasound </w:t>
            </w:r>
          </w:p>
        </w:tc>
        <w:tc>
          <w:tcPr>
            <w:tcW w:w="7264" w:type="dxa"/>
          </w:tcPr>
          <w:p w14:paraId="7CB19176" w14:textId="77777777" w:rsidR="007C1270" w:rsidRPr="00EF3020" w:rsidRDefault="007C1270" w:rsidP="00074EFA">
            <w:pPr>
              <w:spacing w:line="276" w:lineRule="auto"/>
              <w:rPr>
                <w:sz w:val="20"/>
                <w:szCs w:val="20"/>
              </w:rPr>
            </w:pPr>
            <w:r w:rsidRPr="000D33BF">
              <w:rPr>
                <w:b/>
                <w:sz w:val="20"/>
                <w:szCs w:val="20"/>
              </w:rPr>
              <w:t>Abdominal ultrasound</w:t>
            </w:r>
            <w:r>
              <w:rPr>
                <w:sz w:val="20"/>
                <w:szCs w:val="20"/>
              </w:rPr>
              <w:t xml:space="preserve"> is useful if</w:t>
            </w:r>
            <w:r w:rsidRPr="00EF3020">
              <w:rPr>
                <w:sz w:val="20"/>
                <w:szCs w:val="20"/>
              </w:rPr>
              <w:t xml:space="preserve"> multiple congenital abnormalities or hepatosplenomegaly on examination</w:t>
            </w:r>
            <w:r>
              <w:rPr>
                <w:sz w:val="20"/>
                <w:szCs w:val="20"/>
              </w:rPr>
              <w:t xml:space="preserve"> to </w:t>
            </w:r>
            <w:r w:rsidRPr="00EF3020">
              <w:rPr>
                <w:sz w:val="20"/>
                <w:szCs w:val="20"/>
              </w:rPr>
              <w:t>exclude intraabdominal organ abnormality</w:t>
            </w:r>
          </w:p>
        </w:tc>
      </w:tr>
      <w:tr w:rsidR="007C1270" w:rsidRPr="00EF3020" w14:paraId="6A714E24" w14:textId="77777777" w:rsidTr="007C1270">
        <w:tc>
          <w:tcPr>
            <w:tcW w:w="1378" w:type="dxa"/>
          </w:tcPr>
          <w:p w14:paraId="330CD026" w14:textId="77777777" w:rsidR="007C1270" w:rsidRPr="001F7748" w:rsidRDefault="007C1270" w:rsidP="00074EFA">
            <w:pPr>
              <w:spacing w:line="276" w:lineRule="auto"/>
              <w:rPr>
                <w:i/>
                <w:szCs w:val="22"/>
              </w:rPr>
            </w:pPr>
            <w:r w:rsidRPr="001F7748">
              <w:rPr>
                <w:i/>
                <w:sz w:val="20"/>
                <w:szCs w:val="20"/>
              </w:rPr>
              <w:t>ECHO</w:t>
            </w:r>
          </w:p>
        </w:tc>
        <w:tc>
          <w:tcPr>
            <w:tcW w:w="7264" w:type="dxa"/>
          </w:tcPr>
          <w:p w14:paraId="0D9A1055" w14:textId="77777777" w:rsidR="007C1270" w:rsidRPr="00EF3020" w:rsidRDefault="007C1270" w:rsidP="00074EFA">
            <w:pPr>
              <w:spacing w:line="276" w:lineRule="auto"/>
              <w:rPr>
                <w:sz w:val="20"/>
                <w:szCs w:val="20"/>
              </w:rPr>
            </w:pPr>
            <w:r w:rsidRPr="000D33BF">
              <w:rPr>
                <w:b/>
                <w:sz w:val="20"/>
                <w:szCs w:val="20"/>
              </w:rPr>
              <w:t xml:space="preserve">ECHO </w:t>
            </w:r>
            <w:r>
              <w:rPr>
                <w:sz w:val="20"/>
                <w:szCs w:val="20"/>
              </w:rPr>
              <w:t>i</w:t>
            </w:r>
            <w:r w:rsidRPr="00EF3020">
              <w:rPr>
                <w:sz w:val="20"/>
                <w:szCs w:val="20"/>
              </w:rPr>
              <w:t>f multiple congenital abnormalities or dysmorphic features to exclude cardiac lesion</w:t>
            </w:r>
          </w:p>
        </w:tc>
      </w:tr>
    </w:tbl>
    <w:p w14:paraId="2A949C13" w14:textId="3D53F4E0" w:rsidR="005A19AC" w:rsidRDefault="005A19AC" w:rsidP="007C1270">
      <w:pPr>
        <w:tabs>
          <w:tab w:val="left" w:pos="945"/>
        </w:tabs>
      </w:pPr>
    </w:p>
    <w:p w14:paraId="09E5E50E" w14:textId="46133557" w:rsidR="007C1270" w:rsidRDefault="007C1270" w:rsidP="007C1270">
      <w:pPr>
        <w:pStyle w:val="Heading2"/>
      </w:pPr>
      <w:r>
        <w:t>Management</w:t>
      </w:r>
      <w:r w:rsidRPr="008261CF">
        <w:t xml:space="preserve"> of co-morbidities</w:t>
      </w:r>
    </w:p>
    <w:p w14:paraId="53911324" w14:textId="594867E9" w:rsidR="007C1270" w:rsidRDefault="007C1270" w:rsidP="007C1270">
      <w:r w:rsidRPr="007C1270">
        <w:rPr>
          <w:b/>
          <w:u w:val="single"/>
        </w:rPr>
        <w:t>Congenital abnormalities:</w:t>
      </w:r>
      <w:r>
        <w:t xml:space="preserve"> see details of cleft surgical and </w:t>
      </w:r>
      <w:proofErr w:type="spellStart"/>
      <w:r>
        <w:t>orthopaedic</w:t>
      </w:r>
      <w:proofErr w:type="spellEnd"/>
      <w:r>
        <w:t xml:space="preserve"> teams below.</w:t>
      </w:r>
    </w:p>
    <w:p w14:paraId="0B861373" w14:textId="77777777" w:rsidR="007C1270" w:rsidRDefault="007C1270" w:rsidP="007C1270">
      <w:r w:rsidRPr="007C1270">
        <w:rPr>
          <w:b/>
          <w:u w:val="single"/>
        </w:rPr>
        <w:t>Sensory abnormalities</w:t>
      </w:r>
      <w:r w:rsidRPr="007C1270">
        <w:rPr>
          <w:b/>
        </w:rPr>
        <w:t xml:space="preserve"> (hearing and vision):</w:t>
      </w:r>
      <w:r>
        <w:t xml:space="preserve"> see contact details below</w:t>
      </w:r>
    </w:p>
    <w:p w14:paraId="1EAD6B67" w14:textId="49C72AD6" w:rsidR="007C1270" w:rsidRPr="00820572" w:rsidRDefault="007C1270" w:rsidP="007C1270">
      <w:r w:rsidRPr="007C1270">
        <w:rPr>
          <w:b/>
          <w:u w:val="single"/>
        </w:rPr>
        <w:t>Contractures/hypotonia:</w:t>
      </w:r>
      <w:r>
        <w:t xml:space="preserve"> </w:t>
      </w:r>
      <w:r w:rsidRPr="00820572">
        <w:t>consider diazepam</w:t>
      </w:r>
      <w:r>
        <w:t xml:space="preserve"> usually before bedtime (will help with discomfort)</w:t>
      </w:r>
      <w:r w:rsidRPr="00820572">
        <w:t xml:space="preserve">, </w:t>
      </w:r>
      <w:r>
        <w:t xml:space="preserve">refer for </w:t>
      </w:r>
      <w:r w:rsidRPr="00820572">
        <w:t xml:space="preserve">physiotherapy support </w:t>
      </w:r>
      <w:r>
        <w:t>at Banjul, EFSTH.</w:t>
      </w:r>
    </w:p>
    <w:p w14:paraId="197547FF" w14:textId="162506F5" w:rsidR="007C1270" w:rsidRDefault="007C1270" w:rsidP="007C1270">
      <w:r w:rsidRPr="007C1270">
        <w:rPr>
          <w:b/>
          <w:u w:val="single"/>
        </w:rPr>
        <w:t>Seizures</w:t>
      </w:r>
      <w:r w:rsidRPr="007C1270">
        <w:rPr>
          <w:b/>
        </w:rPr>
        <w:t>:</w:t>
      </w:r>
      <w:r>
        <w:t xml:space="preserve"> consider starting anti-epileptic medications e.g. </w:t>
      </w:r>
      <w:proofErr w:type="spellStart"/>
      <w:r>
        <w:t>carbamezapine</w:t>
      </w:r>
      <w:proofErr w:type="spellEnd"/>
      <w:r>
        <w:t xml:space="preserve"> or sodium valproate (avoid in women of child bearing age), refer to epilepsy guideline MeG-CLS-056.</w:t>
      </w:r>
    </w:p>
    <w:p w14:paraId="454F6559" w14:textId="77777777" w:rsidR="007C1270" w:rsidRDefault="007C1270">
      <w:pPr>
        <w:spacing w:after="0"/>
        <w:outlineLvl w:val="9"/>
        <w:rPr>
          <w:b/>
          <w:u w:val="single"/>
        </w:rPr>
      </w:pPr>
      <w:r>
        <w:rPr>
          <w:b/>
          <w:u w:val="single"/>
        </w:rPr>
        <w:br w:type="page"/>
      </w:r>
    </w:p>
    <w:p w14:paraId="1A2A4469" w14:textId="44928D9C" w:rsidR="007C1270" w:rsidRDefault="007C1270" w:rsidP="007C1270">
      <w:r w:rsidRPr="007C1270">
        <w:rPr>
          <w:b/>
          <w:u w:val="single"/>
        </w:rPr>
        <w:lastRenderedPageBreak/>
        <w:t>Malnutrition</w:t>
      </w:r>
      <w:r>
        <w:t xml:space="preserve"> (including obesity) or failure to thrive:</w:t>
      </w:r>
    </w:p>
    <w:p w14:paraId="628F40D7" w14:textId="77777777" w:rsidR="007C1270" w:rsidRDefault="007C1270" w:rsidP="00C62531">
      <w:pPr>
        <w:pStyle w:val="ListParagraph"/>
        <w:numPr>
          <w:ilvl w:val="0"/>
          <w:numId w:val="18"/>
        </w:numPr>
      </w:pPr>
      <w:r>
        <w:t>Dietary advice should be given to parents</w:t>
      </w:r>
    </w:p>
    <w:p w14:paraId="2CB769FF" w14:textId="77777777" w:rsidR="007C1270" w:rsidRDefault="007C1270" w:rsidP="00C62531">
      <w:pPr>
        <w:pStyle w:val="ListParagraph"/>
        <w:numPr>
          <w:ilvl w:val="0"/>
          <w:numId w:val="18"/>
        </w:numPr>
      </w:pPr>
      <w:r>
        <w:t>If severe acute malnutrition (WHZ score &lt; -3): refer to WHO malnutrition guidelines including supplementation and antibiotics; may need admission</w:t>
      </w:r>
    </w:p>
    <w:p w14:paraId="136A3913" w14:textId="77777777" w:rsidR="007C1270" w:rsidRDefault="007C1270" w:rsidP="00C62531">
      <w:pPr>
        <w:pStyle w:val="ListParagraph"/>
        <w:numPr>
          <w:ilvl w:val="0"/>
          <w:numId w:val="18"/>
        </w:numPr>
      </w:pPr>
      <w:r>
        <w:t>If undernourished but not SAM, give dietary advice and r</w:t>
      </w:r>
      <w:r w:rsidRPr="00843B34">
        <w:t>efer to local clinics for nutritional support</w:t>
      </w:r>
    </w:p>
    <w:p w14:paraId="72ED7669" w14:textId="4222601D" w:rsidR="007C1270" w:rsidRDefault="007C1270" w:rsidP="007C1270">
      <w:r w:rsidRPr="001C717F">
        <w:t xml:space="preserve">Ensure </w:t>
      </w:r>
      <w:r w:rsidRPr="007C1270">
        <w:rPr>
          <w:b/>
          <w:u w:val="single"/>
        </w:rPr>
        <w:t>vaccinations</w:t>
      </w:r>
      <w:r w:rsidRPr="001C717F">
        <w:t xml:space="preserve"> up to date and regular anti-worming treatment</w:t>
      </w:r>
      <w:r w:rsidR="000A42AA">
        <w:t>.</w:t>
      </w:r>
      <w:r w:rsidRPr="001C717F">
        <w:t xml:space="preserve"> </w:t>
      </w:r>
    </w:p>
    <w:p w14:paraId="42CC50E8" w14:textId="77777777" w:rsidR="007C1270" w:rsidRDefault="007C1270" w:rsidP="007C1270">
      <w:pPr>
        <w:rPr>
          <w:b/>
          <w:u w:val="single"/>
        </w:rPr>
      </w:pPr>
      <w:r w:rsidRPr="007C1270">
        <w:rPr>
          <w:b/>
          <w:u w:val="single"/>
        </w:rPr>
        <w:t>Gastro-</w:t>
      </w:r>
      <w:proofErr w:type="spellStart"/>
      <w:r w:rsidRPr="007C1270">
        <w:rPr>
          <w:b/>
          <w:u w:val="single"/>
        </w:rPr>
        <w:t>oesophageal</w:t>
      </w:r>
      <w:proofErr w:type="spellEnd"/>
      <w:r w:rsidRPr="007C1270">
        <w:rPr>
          <w:b/>
          <w:u w:val="single"/>
        </w:rPr>
        <w:t xml:space="preserve"> reflux</w:t>
      </w:r>
      <w:r>
        <w:rPr>
          <w:b/>
          <w:u w:val="single"/>
        </w:rPr>
        <w:t>:</w:t>
      </w:r>
    </w:p>
    <w:p w14:paraId="2A56E439" w14:textId="600769AF" w:rsidR="007C1270" w:rsidRDefault="007C1270" w:rsidP="000A42AA">
      <w:pPr>
        <w:pStyle w:val="ListParagraph"/>
        <w:numPr>
          <w:ilvl w:val="0"/>
          <w:numId w:val="23"/>
        </w:numPr>
      </w:pPr>
      <w:r>
        <w:t xml:space="preserve">High index of suspicion if poor swallow evident (e.g. ++ mouth secretions), neurological abnormalities, recurrent vomiting especially post feeds, recurrent chest </w:t>
      </w:r>
      <w:r w:rsidRPr="001C717F">
        <w:t>infections</w:t>
      </w:r>
      <w:r>
        <w:t>.</w:t>
      </w:r>
    </w:p>
    <w:p w14:paraId="627E22AA" w14:textId="6EB4A082" w:rsidR="007C1270" w:rsidRDefault="007C1270" w:rsidP="000A42AA">
      <w:pPr>
        <w:pStyle w:val="ListParagraph"/>
        <w:numPr>
          <w:ilvl w:val="0"/>
          <w:numId w:val="23"/>
        </w:numPr>
      </w:pPr>
      <w:r>
        <w:t>Consider Omeprazole +/- Ranitidine PO (refer to BNF</w:t>
      </w:r>
      <w:r w:rsidR="00056EEF">
        <w:t xml:space="preserve"> for children</w:t>
      </w:r>
      <w:r>
        <w:t xml:space="preserve"> for doses).</w:t>
      </w:r>
    </w:p>
    <w:p w14:paraId="1C04CA4C" w14:textId="586668A2" w:rsidR="007C1270" w:rsidRDefault="007C1270" w:rsidP="000A42AA">
      <w:pPr>
        <w:pStyle w:val="ListParagraph"/>
        <w:numPr>
          <w:ilvl w:val="0"/>
          <w:numId w:val="23"/>
        </w:numPr>
      </w:pPr>
      <w:r>
        <w:t xml:space="preserve">Consider aspiration </w:t>
      </w:r>
      <w:r w:rsidRPr="00FD750B">
        <w:t xml:space="preserve">pneumonia </w:t>
      </w:r>
      <w:r>
        <w:t>as a differential for children with DD and poor swallow presenting with infective LRI symptoms.</w:t>
      </w:r>
    </w:p>
    <w:p w14:paraId="013A3201" w14:textId="0E730871" w:rsidR="00056EEF" w:rsidRPr="00056EEF" w:rsidRDefault="00056EEF" w:rsidP="007C1270">
      <w:pPr>
        <w:rPr>
          <w:b/>
          <w:u w:val="single"/>
        </w:rPr>
      </w:pPr>
      <w:r w:rsidRPr="00056EEF">
        <w:rPr>
          <w:b/>
          <w:u w:val="single"/>
        </w:rPr>
        <w:t>Neurodevelopmental support:</w:t>
      </w:r>
    </w:p>
    <w:p w14:paraId="6E179A2F" w14:textId="76562E8F" w:rsidR="00056EEF" w:rsidRDefault="00056EEF" w:rsidP="007C1270">
      <w:r>
        <w:t>There is little medical support available in the Gambia, but if parents can afford referral to Dakar, then the following criteria should be used to guide this:</w:t>
      </w:r>
    </w:p>
    <w:tbl>
      <w:tblPr>
        <w:tblStyle w:val="TableGrid"/>
        <w:tblW w:w="9493" w:type="dxa"/>
        <w:tblLook w:val="04A0" w:firstRow="1" w:lastRow="0" w:firstColumn="1" w:lastColumn="0" w:noHBand="0" w:noVBand="1"/>
      </w:tblPr>
      <w:tblGrid>
        <w:gridCol w:w="1838"/>
        <w:gridCol w:w="7655"/>
      </w:tblGrid>
      <w:tr w:rsidR="00056EEF" w14:paraId="4561A7EA" w14:textId="77777777" w:rsidTr="000A42AA">
        <w:tc>
          <w:tcPr>
            <w:tcW w:w="1838" w:type="dxa"/>
          </w:tcPr>
          <w:p w14:paraId="55227004" w14:textId="7A0C9250" w:rsidR="00056EEF" w:rsidRPr="00056EEF" w:rsidRDefault="00056EEF" w:rsidP="00056EEF">
            <w:pPr>
              <w:tabs>
                <w:tab w:val="left" w:pos="1485"/>
              </w:tabs>
              <w:rPr>
                <w:szCs w:val="22"/>
              </w:rPr>
            </w:pPr>
            <w:r w:rsidRPr="00056EEF">
              <w:rPr>
                <w:rFonts w:eastAsia="Times New Roman"/>
                <w:b/>
                <w:color w:val="333333"/>
                <w:szCs w:val="22"/>
                <w:lang w:val="en-GB"/>
              </w:rPr>
              <w:t>Features in the history</w:t>
            </w:r>
          </w:p>
        </w:tc>
        <w:tc>
          <w:tcPr>
            <w:tcW w:w="7655" w:type="dxa"/>
          </w:tcPr>
          <w:p w14:paraId="5B9A9D2B" w14:textId="77777777" w:rsidR="00056EEF" w:rsidRPr="000A42AA" w:rsidRDefault="00056EEF" w:rsidP="000A42AA">
            <w:pPr>
              <w:pStyle w:val="ListParagraph"/>
              <w:numPr>
                <w:ilvl w:val="0"/>
                <w:numId w:val="24"/>
              </w:numPr>
              <w:spacing w:after="0"/>
              <w:outlineLvl w:val="9"/>
              <w:rPr>
                <w:rFonts w:eastAsia="Times New Roman"/>
                <w:color w:val="333333"/>
                <w:sz w:val="20"/>
                <w:szCs w:val="20"/>
                <w:lang w:val="en-GB"/>
              </w:rPr>
            </w:pPr>
            <w:r w:rsidRPr="000A42AA">
              <w:rPr>
                <w:rFonts w:eastAsia="Times New Roman"/>
                <w:color w:val="333333"/>
                <w:sz w:val="20"/>
                <w:szCs w:val="20"/>
                <w:lang w:val="en-GB"/>
              </w:rPr>
              <w:t>Regression or possible regression including significant change in behaviour</w:t>
            </w:r>
          </w:p>
          <w:p w14:paraId="558C5103" w14:textId="77777777" w:rsidR="00056EEF" w:rsidRPr="000A42AA" w:rsidRDefault="00056EEF" w:rsidP="000A42AA">
            <w:pPr>
              <w:pStyle w:val="ListParagraph"/>
              <w:numPr>
                <w:ilvl w:val="0"/>
                <w:numId w:val="24"/>
              </w:numPr>
              <w:spacing w:after="0"/>
              <w:outlineLvl w:val="9"/>
              <w:rPr>
                <w:rFonts w:eastAsia="Times New Roman"/>
                <w:color w:val="333333"/>
                <w:sz w:val="20"/>
                <w:szCs w:val="20"/>
                <w:lang w:val="en-GB"/>
              </w:rPr>
            </w:pPr>
            <w:r w:rsidRPr="000A42AA">
              <w:rPr>
                <w:rFonts w:eastAsia="Times New Roman"/>
                <w:color w:val="333333"/>
                <w:sz w:val="20"/>
                <w:szCs w:val="20"/>
                <w:lang w:val="en-GB"/>
              </w:rPr>
              <w:t>Possible or definite seizures</w:t>
            </w:r>
          </w:p>
          <w:p w14:paraId="030CCA7E" w14:textId="77777777" w:rsidR="00056EEF" w:rsidRPr="000A42AA" w:rsidRDefault="00056EEF" w:rsidP="000A42AA">
            <w:pPr>
              <w:pStyle w:val="ListParagraph"/>
              <w:numPr>
                <w:ilvl w:val="0"/>
                <w:numId w:val="24"/>
              </w:numPr>
              <w:spacing w:after="0"/>
              <w:outlineLvl w:val="9"/>
              <w:rPr>
                <w:rFonts w:eastAsia="Times New Roman"/>
                <w:color w:val="333333"/>
                <w:sz w:val="20"/>
                <w:szCs w:val="20"/>
                <w:lang w:val="en-GB"/>
              </w:rPr>
            </w:pPr>
            <w:r w:rsidRPr="000A42AA">
              <w:rPr>
                <w:rFonts w:eastAsia="Times New Roman"/>
                <w:color w:val="333333"/>
                <w:sz w:val="20"/>
                <w:szCs w:val="20"/>
                <w:lang w:val="en-GB"/>
              </w:rPr>
              <w:t>Movement disorder: continuous or paroxysmal</w:t>
            </w:r>
          </w:p>
          <w:p w14:paraId="1CC0F48E" w14:textId="77777777" w:rsidR="00056EEF" w:rsidRPr="000A42AA" w:rsidRDefault="00056EEF" w:rsidP="000A42AA">
            <w:pPr>
              <w:pStyle w:val="ListParagraph"/>
              <w:numPr>
                <w:ilvl w:val="0"/>
                <w:numId w:val="24"/>
              </w:numPr>
              <w:spacing w:after="0"/>
              <w:outlineLvl w:val="9"/>
              <w:rPr>
                <w:rFonts w:eastAsia="Times New Roman"/>
                <w:color w:val="333333"/>
                <w:sz w:val="20"/>
                <w:szCs w:val="20"/>
                <w:lang w:val="en-GB"/>
              </w:rPr>
            </w:pPr>
            <w:r w:rsidRPr="000A42AA">
              <w:rPr>
                <w:rFonts w:eastAsia="Times New Roman"/>
                <w:color w:val="333333"/>
                <w:sz w:val="20"/>
                <w:szCs w:val="20"/>
                <w:lang w:val="en-GB"/>
              </w:rPr>
              <w:t>Muscle pain/fatigue</w:t>
            </w:r>
          </w:p>
          <w:p w14:paraId="3172A895" w14:textId="53D584C6" w:rsidR="00056EEF" w:rsidRPr="000A42AA" w:rsidRDefault="00056EEF" w:rsidP="000A42AA">
            <w:pPr>
              <w:pStyle w:val="ListParagraph"/>
              <w:numPr>
                <w:ilvl w:val="0"/>
                <w:numId w:val="24"/>
              </w:numPr>
              <w:spacing w:after="0"/>
              <w:outlineLvl w:val="9"/>
              <w:rPr>
                <w:rFonts w:eastAsia="Times New Roman"/>
                <w:color w:val="333333"/>
                <w:sz w:val="20"/>
                <w:szCs w:val="20"/>
                <w:lang w:val="en-GB"/>
              </w:rPr>
            </w:pPr>
            <w:r w:rsidRPr="000A42AA">
              <w:rPr>
                <w:rFonts w:eastAsia="Times New Roman"/>
                <w:color w:val="333333"/>
                <w:sz w:val="20"/>
                <w:szCs w:val="20"/>
                <w:lang w:val="en-GB"/>
              </w:rPr>
              <w:t>New onset sensory impairment</w:t>
            </w:r>
            <w:r w:rsidR="000A42AA">
              <w:rPr>
                <w:rFonts w:eastAsia="Times New Roman"/>
                <w:color w:val="333333"/>
                <w:sz w:val="20"/>
                <w:szCs w:val="20"/>
                <w:lang w:val="en-GB"/>
              </w:rPr>
              <w:t xml:space="preserve"> e.g.</w:t>
            </w:r>
            <w:r w:rsidRPr="000A42AA">
              <w:rPr>
                <w:rFonts w:eastAsia="Times New Roman"/>
                <w:color w:val="333333"/>
                <w:sz w:val="20"/>
                <w:szCs w:val="20"/>
                <w:lang w:val="en-GB"/>
              </w:rPr>
              <w:t xml:space="preserve"> significant decline in visual acuity</w:t>
            </w:r>
          </w:p>
          <w:p w14:paraId="253034AD" w14:textId="16BA2111" w:rsidR="00056EEF" w:rsidRDefault="00056EEF" w:rsidP="000A42AA">
            <w:pPr>
              <w:pStyle w:val="ListParagraph"/>
              <w:numPr>
                <w:ilvl w:val="0"/>
                <w:numId w:val="24"/>
              </w:numPr>
            </w:pPr>
            <w:r w:rsidRPr="000A42AA">
              <w:rPr>
                <w:rFonts w:eastAsia="Times New Roman"/>
                <w:color w:val="333333"/>
                <w:sz w:val="20"/>
                <w:szCs w:val="20"/>
                <w:lang w:val="en-GB"/>
              </w:rPr>
              <w:t>Cognitive decline/behavioural change in a child with epilepsy or ASD</w:t>
            </w:r>
          </w:p>
        </w:tc>
      </w:tr>
      <w:tr w:rsidR="00056EEF" w14:paraId="73777988" w14:textId="77777777" w:rsidTr="000A42AA">
        <w:tc>
          <w:tcPr>
            <w:tcW w:w="1838" w:type="dxa"/>
          </w:tcPr>
          <w:p w14:paraId="4E739865" w14:textId="6EE07138" w:rsidR="00056EEF" w:rsidRPr="00056EEF" w:rsidRDefault="00056EEF" w:rsidP="007C1270">
            <w:pPr>
              <w:rPr>
                <w:szCs w:val="22"/>
              </w:rPr>
            </w:pPr>
            <w:r w:rsidRPr="00056EEF">
              <w:rPr>
                <w:rFonts w:eastAsia="Times New Roman"/>
                <w:b/>
                <w:color w:val="333333"/>
                <w:szCs w:val="22"/>
                <w:lang w:val="en-GB"/>
              </w:rPr>
              <w:t>Examination findings</w:t>
            </w:r>
          </w:p>
        </w:tc>
        <w:tc>
          <w:tcPr>
            <w:tcW w:w="7655" w:type="dxa"/>
          </w:tcPr>
          <w:p w14:paraId="37ECDA09" w14:textId="77777777" w:rsidR="00056EEF" w:rsidRPr="000A42AA" w:rsidRDefault="00056EEF" w:rsidP="000A42AA">
            <w:pPr>
              <w:pStyle w:val="ListParagraph"/>
              <w:numPr>
                <w:ilvl w:val="0"/>
                <w:numId w:val="24"/>
              </w:numPr>
              <w:spacing w:after="0"/>
              <w:outlineLvl w:val="9"/>
              <w:rPr>
                <w:rFonts w:eastAsia="Times New Roman"/>
                <w:color w:val="333333"/>
                <w:sz w:val="20"/>
                <w:szCs w:val="20"/>
                <w:lang w:val="en-GB"/>
              </w:rPr>
            </w:pPr>
            <w:r w:rsidRPr="000A42AA">
              <w:rPr>
                <w:rFonts w:eastAsia="Times New Roman"/>
                <w:color w:val="333333"/>
                <w:sz w:val="20"/>
                <w:szCs w:val="20"/>
                <w:lang w:val="en-GB"/>
              </w:rPr>
              <w:t>Neurological signs: dystonia, ataxia, movement disorder, for example, chorea, focal signs, cranial nerve signs, muscle weakness/signs of a peripheral neuropathy, arthrogryposis/joint contractures, CP picture without a clear cause/history</w:t>
            </w:r>
          </w:p>
          <w:p w14:paraId="7ED70A0A" w14:textId="77777777" w:rsidR="00056EEF" w:rsidRPr="000A42AA" w:rsidRDefault="00056EEF" w:rsidP="000A42AA">
            <w:pPr>
              <w:pStyle w:val="ListParagraph"/>
              <w:numPr>
                <w:ilvl w:val="0"/>
                <w:numId w:val="24"/>
              </w:numPr>
              <w:spacing w:after="0"/>
              <w:outlineLvl w:val="9"/>
              <w:rPr>
                <w:rFonts w:eastAsia="Times New Roman"/>
                <w:color w:val="333333"/>
                <w:sz w:val="20"/>
                <w:szCs w:val="20"/>
                <w:lang w:val="en-GB"/>
              </w:rPr>
            </w:pPr>
            <w:r w:rsidRPr="000A42AA">
              <w:rPr>
                <w:rFonts w:eastAsia="Times New Roman"/>
                <w:color w:val="333333"/>
                <w:sz w:val="20"/>
                <w:szCs w:val="20"/>
                <w:lang w:val="en-GB"/>
              </w:rPr>
              <w:t>Other signs: sensorineural deafness</w:t>
            </w:r>
          </w:p>
          <w:p w14:paraId="43B3BBE0" w14:textId="66F0F023" w:rsidR="00056EEF" w:rsidRPr="000A42AA" w:rsidRDefault="00056EEF" w:rsidP="000A42AA">
            <w:pPr>
              <w:pStyle w:val="ListParagraph"/>
              <w:numPr>
                <w:ilvl w:val="0"/>
                <w:numId w:val="24"/>
              </w:numPr>
              <w:spacing w:after="0"/>
              <w:outlineLvl w:val="9"/>
              <w:rPr>
                <w:rFonts w:eastAsia="Times New Roman"/>
                <w:color w:val="333333"/>
                <w:sz w:val="20"/>
                <w:szCs w:val="20"/>
                <w:lang w:val="en-GB"/>
              </w:rPr>
            </w:pPr>
            <w:r w:rsidRPr="000A42AA">
              <w:rPr>
                <w:rFonts w:eastAsia="Times New Roman"/>
                <w:color w:val="333333"/>
                <w:sz w:val="20"/>
                <w:szCs w:val="20"/>
                <w:lang w:val="en-GB"/>
              </w:rPr>
              <w:t>Neurocutaneous features</w:t>
            </w:r>
          </w:p>
          <w:p w14:paraId="0CBC4B12" w14:textId="77777777" w:rsidR="00056EEF" w:rsidRPr="000A42AA" w:rsidRDefault="00056EEF" w:rsidP="000A42AA">
            <w:pPr>
              <w:pStyle w:val="ListParagraph"/>
              <w:numPr>
                <w:ilvl w:val="0"/>
                <w:numId w:val="24"/>
              </w:numPr>
              <w:spacing w:after="0"/>
              <w:outlineLvl w:val="9"/>
              <w:rPr>
                <w:rFonts w:eastAsia="Times New Roman"/>
                <w:color w:val="333333"/>
                <w:sz w:val="20"/>
                <w:szCs w:val="20"/>
                <w:lang w:val="en-GB"/>
              </w:rPr>
            </w:pPr>
            <w:r w:rsidRPr="000A42AA">
              <w:rPr>
                <w:rFonts w:eastAsia="Times New Roman"/>
                <w:color w:val="333333"/>
                <w:sz w:val="20"/>
                <w:szCs w:val="20"/>
                <w:lang w:val="en-GB"/>
              </w:rPr>
              <w:t>Organomegaly/cardiomegaly</w:t>
            </w:r>
          </w:p>
          <w:p w14:paraId="766FB7F2" w14:textId="2E98A192" w:rsidR="00056EEF" w:rsidRPr="000A42AA" w:rsidRDefault="00056EEF" w:rsidP="000A42AA">
            <w:pPr>
              <w:pStyle w:val="ListParagraph"/>
              <w:numPr>
                <w:ilvl w:val="0"/>
                <w:numId w:val="24"/>
              </w:numPr>
              <w:spacing w:after="0"/>
              <w:outlineLvl w:val="9"/>
              <w:rPr>
                <w:rFonts w:eastAsia="Times New Roman"/>
                <w:color w:val="333333"/>
                <w:sz w:val="20"/>
                <w:szCs w:val="20"/>
                <w:lang w:val="en-GB"/>
              </w:rPr>
            </w:pPr>
            <w:r w:rsidRPr="000A42AA">
              <w:rPr>
                <w:rFonts w:eastAsia="Times New Roman"/>
                <w:color w:val="333333"/>
                <w:sz w:val="20"/>
                <w:szCs w:val="20"/>
                <w:lang w:val="en-GB"/>
              </w:rPr>
              <w:t>Course or dysmorphic facial features</w:t>
            </w:r>
          </w:p>
          <w:p w14:paraId="43AA331B" w14:textId="36F0AE7C" w:rsidR="00056EEF" w:rsidRDefault="00056EEF" w:rsidP="000A42AA">
            <w:pPr>
              <w:pStyle w:val="ListParagraph"/>
              <w:numPr>
                <w:ilvl w:val="0"/>
                <w:numId w:val="24"/>
              </w:numPr>
            </w:pPr>
            <w:r w:rsidRPr="000A42AA">
              <w:rPr>
                <w:rFonts w:eastAsia="Times New Roman"/>
                <w:color w:val="333333"/>
                <w:sz w:val="20"/>
                <w:szCs w:val="20"/>
                <w:lang w:val="en-GB"/>
              </w:rPr>
              <w:t>Cerebral palsy</w:t>
            </w:r>
          </w:p>
        </w:tc>
      </w:tr>
    </w:tbl>
    <w:p w14:paraId="164BFDBE" w14:textId="77777777" w:rsidR="00056EEF" w:rsidRDefault="00056EEF" w:rsidP="007C1270"/>
    <w:p w14:paraId="58E5FB48" w14:textId="7E643E18" w:rsidR="007C1270" w:rsidRDefault="007C1270" w:rsidP="007C1270">
      <w:pPr>
        <w:pStyle w:val="Heading2"/>
      </w:pPr>
      <w:r>
        <w:t>Multi-disciplinary care and services</w:t>
      </w:r>
    </w:p>
    <w:p w14:paraId="0A68C1AB" w14:textId="4D81A91A" w:rsidR="007C1270" w:rsidRPr="00820572" w:rsidRDefault="007C1270" w:rsidP="007C1270">
      <w:r w:rsidRPr="00820572">
        <w:t>All referrals should be made on headed MRC paper (or from an MRC email)</w:t>
      </w:r>
      <w:r w:rsidR="00096991">
        <w:t>:</w:t>
      </w:r>
    </w:p>
    <w:p w14:paraId="044CB1A5" w14:textId="697ED56C" w:rsidR="007C1270" w:rsidRPr="007C1270" w:rsidRDefault="007C1270" w:rsidP="00C62531">
      <w:pPr>
        <w:pStyle w:val="ListParagraph"/>
        <w:numPr>
          <w:ilvl w:val="0"/>
          <w:numId w:val="19"/>
        </w:numPr>
      </w:pPr>
      <w:r w:rsidRPr="00096991">
        <w:rPr>
          <w:u w:val="single"/>
        </w:rPr>
        <w:t>Epilepsy support</w:t>
      </w:r>
      <w:r>
        <w:t xml:space="preserve">: </w:t>
      </w:r>
      <w:r w:rsidRPr="007C1270">
        <w:t xml:space="preserve">Support for children with epilepsy: The Gambia Epilepsy Association, </w:t>
      </w:r>
      <w:hyperlink r:id="rId8" w:history="1">
        <w:r w:rsidRPr="007C1270">
          <w:rPr>
            <w:rStyle w:val="Hyperlink"/>
          </w:rPr>
          <w:t>gambiaepilepsy@yahoo.co.uk</w:t>
        </w:r>
      </w:hyperlink>
      <w:r w:rsidRPr="007C1270">
        <w:t>, +220 994 9034/ 995 5418</w:t>
      </w:r>
    </w:p>
    <w:p w14:paraId="0D47B9AC" w14:textId="77777777" w:rsidR="007C1270" w:rsidRPr="007C1270" w:rsidRDefault="007C1270" w:rsidP="00C62531">
      <w:pPr>
        <w:pStyle w:val="ListParagraph"/>
        <w:numPr>
          <w:ilvl w:val="0"/>
          <w:numId w:val="19"/>
        </w:numPr>
      </w:pPr>
      <w:r w:rsidRPr="00096991">
        <w:rPr>
          <w:u w:val="single"/>
        </w:rPr>
        <w:t>Cleft team</w:t>
      </w:r>
      <w:r w:rsidRPr="007C1270">
        <w:t xml:space="preserve">: Smile Train charity offers free cleft surgery annually at the polyclinic EFSTH, Banjul, contact Dr Okafor +220 999 6487, </w:t>
      </w:r>
      <w:proofErr w:type="spellStart"/>
      <w:r w:rsidRPr="007C1270">
        <w:t>Papis</w:t>
      </w:r>
      <w:proofErr w:type="spellEnd"/>
      <w:r w:rsidRPr="007C1270">
        <w:t xml:space="preserve"> Sanneh +220 993 1506, </w:t>
      </w:r>
      <w:proofErr w:type="spellStart"/>
      <w:r w:rsidRPr="007C1270">
        <w:t>Perannans</w:t>
      </w:r>
      <w:proofErr w:type="spellEnd"/>
      <w:r w:rsidRPr="007C1270">
        <w:t xml:space="preserve"> +220 715 1055</w:t>
      </w:r>
    </w:p>
    <w:p w14:paraId="15DBC6FB" w14:textId="77777777" w:rsidR="007C1270" w:rsidRPr="007C1270" w:rsidRDefault="007C1270" w:rsidP="00C62531">
      <w:pPr>
        <w:pStyle w:val="ListParagraph"/>
        <w:numPr>
          <w:ilvl w:val="0"/>
          <w:numId w:val="19"/>
        </w:numPr>
      </w:pPr>
      <w:r w:rsidRPr="00096991">
        <w:rPr>
          <w:u w:val="single"/>
        </w:rPr>
        <w:t>Dental team</w:t>
      </w:r>
      <w:r w:rsidRPr="007C1270">
        <w:t>: polyclinic EFSTH, Banjul</w:t>
      </w:r>
    </w:p>
    <w:p w14:paraId="1C7C235E" w14:textId="737F7512" w:rsidR="007C1270" w:rsidRPr="007C1270" w:rsidRDefault="007C1270" w:rsidP="00C62531">
      <w:pPr>
        <w:pStyle w:val="ListParagraph"/>
        <w:numPr>
          <w:ilvl w:val="0"/>
          <w:numId w:val="19"/>
        </w:numPr>
      </w:pPr>
      <w:proofErr w:type="spellStart"/>
      <w:r w:rsidRPr="00096991">
        <w:rPr>
          <w:u w:val="single"/>
        </w:rPr>
        <w:t>Orthopaedic</w:t>
      </w:r>
      <w:proofErr w:type="spellEnd"/>
      <w:r w:rsidRPr="00096991">
        <w:rPr>
          <w:u w:val="single"/>
        </w:rPr>
        <w:t xml:space="preserve"> team</w:t>
      </w:r>
      <w:r w:rsidRPr="007C1270">
        <w:t>: Outpatient department EFSTH, Banjul. Clinic is</w:t>
      </w:r>
      <w:r w:rsidR="000A42AA">
        <w:t xml:space="preserve"> usually</w:t>
      </w:r>
      <w:r w:rsidRPr="007C1270">
        <w:t xml:space="preserve"> held on Wednesday mornings</w:t>
      </w:r>
      <w:r w:rsidR="000A42AA">
        <w:t>.</w:t>
      </w:r>
    </w:p>
    <w:p w14:paraId="7D3CBBF3" w14:textId="39733F96" w:rsidR="007C1270" w:rsidRPr="007C1270" w:rsidRDefault="007C1270" w:rsidP="00C62531">
      <w:pPr>
        <w:pStyle w:val="ListParagraph"/>
        <w:numPr>
          <w:ilvl w:val="0"/>
          <w:numId w:val="19"/>
        </w:numPr>
      </w:pPr>
      <w:r w:rsidRPr="00096991">
        <w:rPr>
          <w:u w:val="single"/>
        </w:rPr>
        <w:lastRenderedPageBreak/>
        <w:t>Physiotherapy</w:t>
      </w:r>
      <w:r w:rsidRPr="007C1270">
        <w:t>: E</w:t>
      </w:r>
      <w:r>
        <w:t>F</w:t>
      </w:r>
      <w:r w:rsidRPr="007C1270">
        <w:t xml:space="preserve">STH </w:t>
      </w:r>
      <w:proofErr w:type="spellStart"/>
      <w:r w:rsidRPr="007C1270">
        <w:t>paediatric</w:t>
      </w:r>
      <w:proofErr w:type="spellEnd"/>
      <w:r w:rsidRPr="007C1270">
        <w:t xml:space="preserve"> </w:t>
      </w:r>
      <w:r w:rsidR="00096991">
        <w:t xml:space="preserve">daily </w:t>
      </w:r>
      <w:r w:rsidRPr="007C1270">
        <w:t>outpatient clinics (they will liaise with Department of Social welfare who provide support from occupational therapy e.g. provision of mobility aids, wheelchairs)</w:t>
      </w:r>
    </w:p>
    <w:p w14:paraId="1E034FBE" w14:textId="77777777" w:rsidR="007C1270" w:rsidRPr="007C1270" w:rsidRDefault="007C1270" w:rsidP="00C62531">
      <w:pPr>
        <w:pStyle w:val="ListParagraph"/>
        <w:numPr>
          <w:ilvl w:val="0"/>
          <w:numId w:val="19"/>
        </w:numPr>
      </w:pPr>
      <w:r w:rsidRPr="00096991">
        <w:rPr>
          <w:u w:val="single"/>
        </w:rPr>
        <w:t>Schools:</w:t>
      </w:r>
      <w:r w:rsidRPr="007C1270">
        <w:t xml:space="preserve"> encourage parents to enroll children into educational system (either mainstream or special needs depending on level of disability)</w:t>
      </w:r>
    </w:p>
    <w:p w14:paraId="098BB789" w14:textId="7BD2BED8" w:rsidR="007C1270" w:rsidRPr="007C1270" w:rsidRDefault="007C1270" w:rsidP="00C62531">
      <w:pPr>
        <w:pStyle w:val="ListParagraph"/>
        <w:numPr>
          <w:ilvl w:val="1"/>
          <w:numId w:val="19"/>
        </w:numPr>
      </w:pPr>
      <w:r w:rsidRPr="007C1270">
        <w:t xml:space="preserve">Respite care home/school for children with learning difficulties (Eastern Gambia): Hart Foundation, </w:t>
      </w:r>
      <w:proofErr w:type="spellStart"/>
      <w:r w:rsidRPr="007C1270">
        <w:t>Serrekunda</w:t>
      </w:r>
      <w:proofErr w:type="spellEnd"/>
      <w:r w:rsidRPr="007C1270">
        <w:t xml:space="preserve">, </w:t>
      </w:r>
      <w:hyperlink r:id="rId9" w:history="1">
        <w:r w:rsidRPr="007C1270">
          <w:rPr>
            <w:rStyle w:val="Hyperlink"/>
          </w:rPr>
          <w:t>geoffharthouse@yahoo.com</w:t>
        </w:r>
      </w:hyperlink>
      <w:r w:rsidRPr="007C1270">
        <w:t>, +220 9926258</w:t>
      </w:r>
    </w:p>
    <w:p w14:paraId="148FD902" w14:textId="5EF05024" w:rsidR="007C1270" w:rsidRPr="007C1270" w:rsidRDefault="007C1270" w:rsidP="00C62531">
      <w:pPr>
        <w:pStyle w:val="ListParagraph"/>
        <w:numPr>
          <w:ilvl w:val="1"/>
          <w:numId w:val="19"/>
        </w:numPr>
      </w:pPr>
      <w:r w:rsidRPr="007C1270">
        <w:t xml:space="preserve">Rural support organization for the disabled, Basse, +220 566 8101, </w:t>
      </w:r>
      <w:hyperlink r:id="rId10" w:history="1">
        <w:r w:rsidRPr="007C1270">
          <w:rPr>
            <w:rStyle w:val="Hyperlink"/>
          </w:rPr>
          <w:t>rsodgambian@gmail.com</w:t>
        </w:r>
      </w:hyperlink>
    </w:p>
    <w:p w14:paraId="657CECCD" w14:textId="4BE01DC0" w:rsidR="007C1270" w:rsidRPr="007C1270" w:rsidRDefault="007C1270" w:rsidP="00C62531">
      <w:pPr>
        <w:pStyle w:val="ListParagraph"/>
        <w:numPr>
          <w:ilvl w:val="0"/>
          <w:numId w:val="19"/>
        </w:numPr>
      </w:pPr>
      <w:r w:rsidRPr="00096991">
        <w:rPr>
          <w:u w:val="single"/>
        </w:rPr>
        <w:t>Support for children with physical disabilities</w:t>
      </w:r>
      <w:r w:rsidRPr="007C1270">
        <w:t xml:space="preserve">: Gambia Association of the Physically disabled; also organizes sports activities and support groups – contact </w:t>
      </w:r>
      <w:hyperlink r:id="rId11" w:history="1">
        <w:r w:rsidRPr="007C1270">
          <w:rPr>
            <w:rStyle w:val="Hyperlink"/>
          </w:rPr>
          <w:t>gambiadisabledsports@yahoo.co.uk</w:t>
        </w:r>
      </w:hyperlink>
      <w:r w:rsidRPr="007C1270">
        <w:t>, +220 992 3377/ 7790158/ 9983480</w:t>
      </w:r>
    </w:p>
    <w:p w14:paraId="602F2EC1" w14:textId="5A157775" w:rsidR="00056EEF" w:rsidRDefault="00056EEF" w:rsidP="00C62531">
      <w:pPr>
        <w:pStyle w:val="ListParagraph"/>
        <w:numPr>
          <w:ilvl w:val="0"/>
          <w:numId w:val="19"/>
        </w:numPr>
      </w:pPr>
      <w:r w:rsidRPr="00096991">
        <w:rPr>
          <w:u w:val="single"/>
        </w:rPr>
        <w:t>H</w:t>
      </w:r>
      <w:r w:rsidR="007C1270" w:rsidRPr="00096991">
        <w:rPr>
          <w:u w:val="single"/>
        </w:rPr>
        <w:t>earing difficulties</w:t>
      </w:r>
      <w:r w:rsidR="007C1270" w:rsidRPr="007C1270">
        <w:t xml:space="preserve">: </w:t>
      </w:r>
    </w:p>
    <w:p w14:paraId="58365EAB" w14:textId="0E9F5609" w:rsidR="00056EEF" w:rsidRDefault="00096991" w:rsidP="00C62531">
      <w:pPr>
        <w:pStyle w:val="ListParagraph"/>
        <w:numPr>
          <w:ilvl w:val="1"/>
          <w:numId w:val="19"/>
        </w:numPr>
      </w:pPr>
      <w:r>
        <w:t>A</w:t>
      </w:r>
      <w:r w:rsidR="00056EEF">
        <w:t>udiology at the polyclinic at EFSTH, Banjul</w:t>
      </w:r>
    </w:p>
    <w:p w14:paraId="747BE496" w14:textId="0494B6D3" w:rsidR="007C1270" w:rsidRPr="007C1270" w:rsidRDefault="007C1270" w:rsidP="00C62531">
      <w:pPr>
        <w:pStyle w:val="ListParagraph"/>
        <w:numPr>
          <w:ilvl w:val="1"/>
          <w:numId w:val="19"/>
        </w:numPr>
      </w:pPr>
      <w:r w:rsidRPr="007C1270">
        <w:t xml:space="preserve">St John’s School For the Deaf, </w:t>
      </w:r>
      <w:proofErr w:type="spellStart"/>
      <w:r w:rsidRPr="007C1270">
        <w:t>Kanifing</w:t>
      </w:r>
      <w:proofErr w:type="spellEnd"/>
      <w:r w:rsidRPr="007C1270">
        <w:t xml:space="preserve"> </w:t>
      </w:r>
      <w:hyperlink r:id="rId12" w:history="1">
        <w:r w:rsidRPr="007C1270">
          <w:rPr>
            <w:rStyle w:val="Hyperlink"/>
          </w:rPr>
          <w:t>stjohnsdeafgambia@hotmail.com</w:t>
        </w:r>
      </w:hyperlink>
      <w:r w:rsidRPr="007C1270">
        <w:t>, Daniel Mendy on +220 779 0286</w:t>
      </w:r>
    </w:p>
    <w:p w14:paraId="22072D11" w14:textId="08BAB5CE" w:rsidR="00056EEF" w:rsidRDefault="00056EEF" w:rsidP="00C62531">
      <w:pPr>
        <w:pStyle w:val="ListParagraph"/>
        <w:numPr>
          <w:ilvl w:val="0"/>
          <w:numId w:val="19"/>
        </w:numPr>
      </w:pPr>
      <w:r w:rsidRPr="00096991">
        <w:rPr>
          <w:u w:val="single"/>
        </w:rPr>
        <w:t>Visual</w:t>
      </w:r>
      <w:r w:rsidR="007C1270" w:rsidRPr="00096991">
        <w:rPr>
          <w:u w:val="single"/>
        </w:rPr>
        <w:t xml:space="preserve"> difficulties</w:t>
      </w:r>
      <w:r w:rsidR="007C1270" w:rsidRPr="007C1270">
        <w:t>:</w:t>
      </w:r>
    </w:p>
    <w:p w14:paraId="2C3FB35A" w14:textId="77777777" w:rsidR="00056EEF" w:rsidRDefault="00056EEF" w:rsidP="00C62531">
      <w:pPr>
        <w:pStyle w:val="ListParagraph"/>
        <w:numPr>
          <w:ilvl w:val="1"/>
          <w:numId w:val="19"/>
        </w:numPr>
      </w:pPr>
      <w:r>
        <w:t xml:space="preserve">Sheikh Zayed Eye care </w:t>
      </w:r>
      <w:proofErr w:type="spellStart"/>
      <w:r>
        <w:t>centre</w:t>
      </w:r>
      <w:proofErr w:type="spellEnd"/>
      <w:r>
        <w:t xml:space="preserve">, </w:t>
      </w:r>
      <w:proofErr w:type="spellStart"/>
      <w:r>
        <w:t>Kanifing</w:t>
      </w:r>
      <w:proofErr w:type="spellEnd"/>
      <w:r>
        <w:t xml:space="preserve"> +220 996 7049/ 208 8707 (includes 2 visits per year by ophthalmology NGO Eye Care Gambia </w:t>
      </w:r>
      <w:hyperlink r:id="rId13" w:history="1">
        <w:r w:rsidRPr="002D6603">
          <w:rPr>
            <w:rStyle w:val="Hyperlink"/>
          </w:rPr>
          <w:t>www.eyecaregambia.com</w:t>
        </w:r>
      </w:hyperlink>
      <w:r>
        <w:t>)</w:t>
      </w:r>
    </w:p>
    <w:p w14:paraId="22D04DCD" w14:textId="77777777" w:rsidR="00056EEF" w:rsidRDefault="00056EEF" w:rsidP="00C62531">
      <w:pPr>
        <w:pStyle w:val="ListParagraph"/>
        <w:numPr>
          <w:ilvl w:val="1"/>
          <w:numId w:val="19"/>
        </w:numPr>
      </w:pPr>
      <w:r>
        <w:t xml:space="preserve">Fresh Start Foundation, </w:t>
      </w:r>
      <w:proofErr w:type="spellStart"/>
      <w:r>
        <w:t>Brikama</w:t>
      </w:r>
      <w:proofErr w:type="spellEnd"/>
      <w:r>
        <w:t xml:space="preserve">, </w:t>
      </w:r>
      <w:hyperlink r:id="rId14" w:history="1">
        <w:r w:rsidRPr="002D6603">
          <w:rPr>
            <w:rStyle w:val="Hyperlink"/>
          </w:rPr>
          <w:t>info@fsfgambia.org</w:t>
        </w:r>
      </w:hyperlink>
    </w:p>
    <w:p w14:paraId="7DDD4226" w14:textId="5FACBE77" w:rsidR="00056EEF" w:rsidRDefault="00056EEF" w:rsidP="00C62531">
      <w:pPr>
        <w:pStyle w:val="ListParagraph"/>
        <w:numPr>
          <w:ilvl w:val="1"/>
          <w:numId w:val="19"/>
        </w:numPr>
      </w:pPr>
      <w:proofErr w:type="spellStart"/>
      <w:r>
        <w:t>Sightsavers</w:t>
      </w:r>
      <w:proofErr w:type="spellEnd"/>
      <w:r w:rsidR="00C62531">
        <w:t>,</w:t>
      </w:r>
      <w:r>
        <w:t xml:space="preserve"> </w:t>
      </w:r>
      <w:proofErr w:type="spellStart"/>
      <w:r>
        <w:t>Kairaba</w:t>
      </w:r>
      <w:proofErr w:type="spellEnd"/>
      <w:r>
        <w:t xml:space="preserve"> Avenue</w:t>
      </w:r>
    </w:p>
    <w:p w14:paraId="4FFD4374" w14:textId="19D4A7D9" w:rsidR="007C1270" w:rsidRPr="007C1270" w:rsidRDefault="007C1270" w:rsidP="00C62531">
      <w:pPr>
        <w:pStyle w:val="ListParagraph"/>
        <w:numPr>
          <w:ilvl w:val="1"/>
          <w:numId w:val="19"/>
        </w:numPr>
      </w:pPr>
      <w:r w:rsidRPr="007C1270">
        <w:t xml:space="preserve">Gambia </w:t>
      </w:r>
      <w:proofErr w:type="spellStart"/>
      <w:r w:rsidRPr="007C1270">
        <w:t>Organisation</w:t>
      </w:r>
      <w:proofErr w:type="spellEnd"/>
      <w:r w:rsidRPr="007C1270">
        <w:t xml:space="preserve"> For </w:t>
      </w:r>
      <w:proofErr w:type="gramStart"/>
      <w:r w:rsidRPr="007C1270">
        <w:t>The</w:t>
      </w:r>
      <w:proofErr w:type="gramEnd"/>
      <w:r w:rsidRPr="007C1270">
        <w:t xml:space="preserve"> Visual Impaired (GOVI) and School For th</w:t>
      </w:r>
      <w:r w:rsidR="00056EEF">
        <w:t>e</w:t>
      </w:r>
      <w:r w:rsidRPr="007C1270">
        <w:t xml:space="preserve"> Blind, </w:t>
      </w:r>
      <w:proofErr w:type="spellStart"/>
      <w:r w:rsidRPr="007C1270">
        <w:t>Kanifing</w:t>
      </w:r>
      <w:proofErr w:type="spellEnd"/>
    </w:p>
    <w:p w14:paraId="4211A7CF" w14:textId="20CB32B7" w:rsidR="007C1270" w:rsidRPr="007C1270" w:rsidRDefault="00056EEF" w:rsidP="00056EEF">
      <w:pPr>
        <w:pStyle w:val="Heading2"/>
      </w:pPr>
      <w:r>
        <w:t>Psychosocial support</w:t>
      </w:r>
    </w:p>
    <w:p w14:paraId="14807C0C" w14:textId="46BF02CE" w:rsidR="00056EEF" w:rsidRDefault="00056EEF" w:rsidP="00056EEF">
      <w:r w:rsidRPr="001256B4">
        <w:t>Prepare, educate and support parent</w:t>
      </w:r>
      <w:r>
        <w:t>s. It is</w:t>
      </w:r>
      <w:r w:rsidRPr="001256B4">
        <w:t xml:space="preserve"> important to tackle </w:t>
      </w:r>
      <w:r>
        <w:t xml:space="preserve">concerns around stigma and misunderstanding </w:t>
      </w:r>
      <w:r w:rsidR="00096991">
        <w:t>of</w:t>
      </w:r>
      <w:r>
        <w:t xml:space="preserve"> </w:t>
      </w:r>
      <w:proofErr w:type="spellStart"/>
      <w:r>
        <w:t>aetiology</w:t>
      </w:r>
      <w:proofErr w:type="spellEnd"/>
      <w:r>
        <w:t xml:space="preserve"> of disease (e.g. supernatural causes).</w:t>
      </w:r>
    </w:p>
    <w:p w14:paraId="20238E16" w14:textId="77777777" w:rsidR="00056EEF" w:rsidRPr="00096991" w:rsidRDefault="00056EEF" w:rsidP="00056EEF">
      <w:pPr>
        <w:rPr>
          <w:b/>
          <w:sz w:val="24"/>
          <w:u w:val="single"/>
        </w:rPr>
      </w:pPr>
      <w:r w:rsidRPr="00096991">
        <w:rPr>
          <w:u w:val="single"/>
          <w:lang w:val="en-GB"/>
        </w:rPr>
        <w:t>Counselling:</w:t>
      </w:r>
    </w:p>
    <w:p w14:paraId="0F0E9E8A" w14:textId="05838E84" w:rsidR="00056EEF" w:rsidRPr="00056EEF" w:rsidRDefault="00056EEF" w:rsidP="00C62531">
      <w:pPr>
        <w:pStyle w:val="ListParagraph"/>
        <w:numPr>
          <w:ilvl w:val="0"/>
          <w:numId w:val="20"/>
        </w:numPr>
        <w:rPr>
          <w:b/>
          <w:sz w:val="24"/>
        </w:rPr>
      </w:pPr>
      <w:r w:rsidRPr="00056EEF">
        <w:rPr>
          <w:lang w:val="en-GB"/>
        </w:rPr>
        <w:t>Discuss parental concerns and expectations (refer to support organisations above)</w:t>
      </w:r>
      <w:r w:rsidR="00096991">
        <w:rPr>
          <w:lang w:val="en-GB"/>
        </w:rPr>
        <w:t>.</w:t>
      </w:r>
    </w:p>
    <w:p w14:paraId="3EE4BE9E" w14:textId="52A34AC6" w:rsidR="00056EEF" w:rsidRPr="00056EEF" w:rsidRDefault="00056EEF" w:rsidP="00C62531">
      <w:pPr>
        <w:pStyle w:val="ListParagraph"/>
        <w:numPr>
          <w:ilvl w:val="0"/>
          <w:numId w:val="20"/>
        </w:numPr>
        <w:rPr>
          <w:b/>
          <w:sz w:val="24"/>
        </w:rPr>
      </w:pPr>
      <w:r w:rsidRPr="00056EEF">
        <w:rPr>
          <w:lang w:val="en-GB"/>
        </w:rPr>
        <w:t xml:space="preserve">If </w:t>
      </w:r>
      <w:r w:rsidR="00096991">
        <w:rPr>
          <w:lang w:val="en-GB"/>
        </w:rPr>
        <w:t>suspected</w:t>
      </w:r>
      <w:r w:rsidRPr="00056EEF">
        <w:rPr>
          <w:lang w:val="en-GB"/>
        </w:rPr>
        <w:t xml:space="preserve"> genetic or metabolic disease – discuss likely recurrence risk for future pregnancy</w:t>
      </w:r>
      <w:r w:rsidR="00096991">
        <w:rPr>
          <w:lang w:val="en-GB"/>
        </w:rPr>
        <w:t xml:space="preserve"> (+/- family planning options).</w:t>
      </w:r>
    </w:p>
    <w:p w14:paraId="68718CDC" w14:textId="4A66DD50" w:rsidR="00056EEF" w:rsidRPr="00056EEF" w:rsidRDefault="00056EEF" w:rsidP="00C62531">
      <w:pPr>
        <w:pStyle w:val="ListParagraph"/>
        <w:numPr>
          <w:ilvl w:val="0"/>
          <w:numId w:val="20"/>
        </w:numPr>
        <w:rPr>
          <w:b/>
          <w:sz w:val="24"/>
        </w:rPr>
      </w:pPr>
      <w:r w:rsidRPr="00056EEF">
        <w:rPr>
          <w:lang w:val="en-GB"/>
        </w:rPr>
        <w:t>Children with disabilities and DD often cannot communicate their pain or problems in the same ways as children without DD, therefore, advise parents to have a low threshold for seeking medical review (especially if unsettled/discomfort/pain/infective symptoms)</w:t>
      </w:r>
    </w:p>
    <w:p w14:paraId="674520F3" w14:textId="7FC9D41E" w:rsidR="00056EEF" w:rsidRPr="00096991" w:rsidRDefault="00056EEF" w:rsidP="00056EEF">
      <w:pPr>
        <w:rPr>
          <w:u w:val="single"/>
        </w:rPr>
      </w:pPr>
      <w:r w:rsidRPr="00096991">
        <w:rPr>
          <w:u w:val="single"/>
        </w:rPr>
        <w:t>Support for literate parents:</w:t>
      </w:r>
    </w:p>
    <w:p w14:paraId="0BBDB9F4" w14:textId="77777777" w:rsidR="00C62531" w:rsidRPr="00C62531" w:rsidRDefault="000845DD" w:rsidP="00C62531">
      <w:pPr>
        <w:pStyle w:val="ListParagraph"/>
        <w:numPr>
          <w:ilvl w:val="0"/>
          <w:numId w:val="21"/>
        </w:numPr>
        <w:rPr>
          <w:rStyle w:val="Hyperlink"/>
          <w:rFonts w:cs="Times New Roman"/>
          <w:b/>
          <w:color w:val="auto"/>
          <w:sz w:val="24"/>
          <w:szCs w:val="28"/>
          <w:u w:val="none"/>
        </w:rPr>
      </w:pPr>
      <w:hyperlink r:id="rId15" w:history="1">
        <w:r w:rsidR="00056EEF" w:rsidRPr="00C62531">
          <w:rPr>
            <w:rStyle w:val="Hyperlink"/>
            <w:szCs w:val="22"/>
          </w:rPr>
          <w:t>https://www.parentcenterhub.org/dd/</w:t>
        </w:r>
      </w:hyperlink>
    </w:p>
    <w:p w14:paraId="2F1BDEF9" w14:textId="024AD443" w:rsidR="00056EEF" w:rsidRDefault="000845DD" w:rsidP="00C62531">
      <w:pPr>
        <w:pStyle w:val="ListParagraph"/>
        <w:numPr>
          <w:ilvl w:val="0"/>
          <w:numId w:val="21"/>
        </w:numPr>
      </w:pPr>
      <w:hyperlink r:id="rId16" w:history="1">
        <w:r w:rsidR="00056EEF" w:rsidRPr="00141929">
          <w:rPr>
            <w:rStyle w:val="Hyperlink"/>
          </w:rPr>
          <w:t>https://parent2parent.org.nz/developmental-delay-dd-diagnosis-and-prognosis/</w:t>
        </w:r>
      </w:hyperlink>
    </w:p>
    <w:p w14:paraId="7CDB880B" w14:textId="06CEBF27" w:rsidR="00056EEF" w:rsidRPr="00056EEF" w:rsidRDefault="000845DD" w:rsidP="00C62531">
      <w:pPr>
        <w:pStyle w:val="ListParagraph"/>
        <w:numPr>
          <w:ilvl w:val="0"/>
          <w:numId w:val="21"/>
        </w:numPr>
      </w:pPr>
      <w:hyperlink r:id="rId17" w:history="1">
        <w:r w:rsidR="00056EEF" w:rsidRPr="00141929">
          <w:rPr>
            <w:rStyle w:val="Hyperlink"/>
          </w:rPr>
          <w:t>https://specialneedsjungle.com/help-parents-worried-childs-development/</w:t>
        </w:r>
      </w:hyperlink>
    </w:p>
    <w:p w14:paraId="3301F87D" w14:textId="77777777" w:rsidR="00C62531" w:rsidRDefault="00C62531">
      <w:pPr>
        <w:spacing w:after="0"/>
        <w:outlineLvl w:val="9"/>
        <w:rPr>
          <w:rFonts w:cs="Times New Roman"/>
          <w:b/>
          <w:sz w:val="24"/>
          <w:szCs w:val="28"/>
        </w:rPr>
      </w:pPr>
      <w:r>
        <w:br w:type="page"/>
      </w:r>
    </w:p>
    <w:p w14:paraId="2B32BAED" w14:textId="01A1B0A2" w:rsidR="00F03F25" w:rsidRDefault="00056EEF" w:rsidP="00056EEF">
      <w:pPr>
        <w:pStyle w:val="Heading2"/>
      </w:pPr>
      <w:r>
        <w:lastRenderedPageBreak/>
        <w:t>Follow up</w:t>
      </w:r>
    </w:p>
    <w:p w14:paraId="2EFDC5AA" w14:textId="77777777" w:rsidR="00C62531" w:rsidRDefault="00056EEF" w:rsidP="00056EEF">
      <w:r w:rsidRPr="00843B34">
        <w:t>Every 3-6 months depending on clinical need</w:t>
      </w:r>
      <w:r>
        <w:t xml:space="preserve">. </w:t>
      </w:r>
    </w:p>
    <w:p w14:paraId="0846DF17" w14:textId="6DA6B1BE" w:rsidR="00056EEF" w:rsidRPr="00843B34" w:rsidRDefault="00056EEF" w:rsidP="00C62531">
      <w:pPr>
        <w:pStyle w:val="ListParagraph"/>
        <w:numPr>
          <w:ilvl w:val="0"/>
          <w:numId w:val="22"/>
        </w:numPr>
      </w:pPr>
      <w:r w:rsidRPr="00843B34">
        <w:t xml:space="preserve">Aim to repeat developmental assessment </w:t>
      </w:r>
      <w:r>
        <w:t>at every visit to monitor progress/regression</w:t>
      </w:r>
    </w:p>
    <w:p w14:paraId="21E921CA" w14:textId="77777777" w:rsidR="00056EEF" w:rsidRPr="00843B34" w:rsidRDefault="00056EEF" w:rsidP="00C62531">
      <w:pPr>
        <w:pStyle w:val="ListParagraph"/>
        <w:numPr>
          <w:ilvl w:val="0"/>
          <w:numId w:val="22"/>
        </w:numPr>
      </w:pPr>
      <w:r w:rsidRPr="00843B34">
        <w:t>Detailed history and examination including head circumference and other growth parameters (ensure plotted on WHO growth charts)</w:t>
      </w:r>
    </w:p>
    <w:p w14:paraId="07C21136" w14:textId="77777777" w:rsidR="00056EEF" w:rsidRPr="00843B34" w:rsidRDefault="00056EEF" w:rsidP="00C62531">
      <w:pPr>
        <w:pStyle w:val="ListParagraph"/>
        <w:numPr>
          <w:ilvl w:val="0"/>
          <w:numId w:val="22"/>
        </w:numPr>
      </w:pPr>
      <w:r w:rsidRPr="00843B34">
        <w:t>Assess for other comorbidities (may need medications e.g. for seizures or hypertonia)</w:t>
      </w:r>
    </w:p>
    <w:p w14:paraId="3B1AFB64" w14:textId="77777777" w:rsidR="00056EEF" w:rsidRPr="00843B34" w:rsidRDefault="00056EEF" w:rsidP="00C62531">
      <w:pPr>
        <w:pStyle w:val="ListParagraph"/>
        <w:numPr>
          <w:ilvl w:val="0"/>
          <w:numId w:val="22"/>
        </w:numPr>
      </w:pPr>
      <w:r w:rsidRPr="00843B34">
        <w:t>Clarify baseline at each appointment to check progress/deterioration</w:t>
      </w:r>
    </w:p>
    <w:p w14:paraId="152AFCB4" w14:textId="77777777" w:rsidR="00056EEF" w:rsidRPr="00843B34" w:rsidRDefault="00056EEF" w:rsidP="00C62531">
      <w:pPr>
        <w:pStyle w:val="ListParagraph"/>
        <w:numPr>
          <w:ilvl w:val="0"/>
          <w:numId w:val="22"/>
        </w:numPr>
      </w:pPr>
      <w:r w:rsidRPr="00843B34">
        <w:t>Explore parental ideas, concerns and expectations</w:t>
      </w:r>
    </w:p>
    <w:p w14:paraId="5439F2A2" w14:textId="77777777" w:rsidR="00F03F25" w:rsidRPr="003C0800" w:rsidRDefault="00F03F25" w:rsidP="000C0540">
      <w:pPr>
        <w:pStyle w:val="Heading2"/>
        <w:spacing w:after="120"/>
        <w:rPr>
          <w:rFonts w:cs="Arial"/>
          <w:szCs w:val="22"/>
        </w:rPr>
      </w:pPr>
      <w:r w:rsidRPr="003C0800">
        <w:rPr>
          <w:rFonts w:cs="Arial"/>
          <w:szCs w:val="22"/>
        </w:rPr>
        <w:t>Key Issues for Nursing care</w:t>
      </w:r>
    </w:p>
    <w:p w14:paraId="1FB5DFBF" w14:textId="1C051E7E" w:rsidR="005A19AC" w:rsidRPr="005A19AC" w:rsidRDefault="005A19AC" w:rsidP="00C62531">
      <w:pPr>
        <w:pStyle w:val="ListParagraph"/>
        <w:numPr>
          <w:ilvl w:val="0"/>
          <w:numId w:val="15"/>
        </w:numPr>
        <w:rPr>
          <w:b/>
        </w:rPr>
      </w:pPr>
      <w:r>
        <w:t>Be sensitive to looking after a child with disability or developmental delay and aware of potential limitations to movement and communication.</w:t>
      </w:r>
    </w:p>
    <w:p w14:paraId="1F556AC5" w14:textId="3FCA411F" w:rsidR="005A19AC" w:rsidRPr="005A19AC" w:rsidRDefault="005A19AC" w:rsidP="00C62531">
      <w:pPr>
        <w:pStyle w:val="ListParagraph"/>
        <w:numPr>
          <w:ilvl w:val="0"/>
          <w:numId w:val="15"/>
        </w:numPr>
        <w:rPr>
          <w:b/>
        </w:rPr>
      </w:pPr>
      <w:r w:rsidRPr="00820572">
        <w:t xml:space="preserve">Clarify baseline at the start of admission so that any change or deterioration can be easily </w:t>
      </w:r>
      <w:proofErr w:type="spellStart"/>
      <w:r w:rsidRPr="00820572">
        <w:t>recognised</w:t>
      </w:r>
      <w:proofErr w:type="spellEnd"/>
      <w:r w:rsidRPr="00820572">
        <w:t xml:space="preserve"> (</w:t>
      </w:r>
      <w:r w:rsidR="00A02B0F">
        <w:t>note</w:t>
      </w:r>
      <w:r w:rsidR="007C1270">
        <w:t xml:space="preserve"> that</w:t>
      </w:r>
      <w:r w:rsidRPr="00820572">
        <w:t xml:space="preserve"> children with DD may not be verbal and may convey any pain or discomfort in an unusual way)</w:t>
      </w:r>
      <w:r>
        <w:t>.</w:t>
      </w:r>
    </w:p>
    <w:p w14:paraId="39112838" w14:textId="77777777" w:rsidR="00B41483" w:rsidRDefault="00B41483">
      <w:pPr>
        <w:spacing w:after="0"/>
        <w:outlineLvl w:val="9"/>
        <w:rPr>
          <w:b/>
          <w:sz w:val="24"/>
          <w:szCs w:val="22"/>
        </w:rPr>
      </w:pPr>
      <w:r>
        <w:rPr>
          <w:szCs w:val="22"/>
        </w:rPr>
        <w:br w:type="page"/>
      </w:r>
    </w:p>
    <w:p w14:paraId="736D045F" w14:textId="221274A2" w:rsidR="00F03F25" w:rsidRPr="003C0800" w:rsidRDefault="00F03F25" w:rsidP="00F03F25">
      <w:pPr>
        <w:pStyle w:val="Heading2"/>
        <w:rPr>
          <w:rFonts w:cs="Arial"/>
          <w:szCs w:val="22"/>
        </w:rPr>
      </w:pPr>
      <w:r>
        <w:rPr>
          <w:rFonts w:cs="Arial"/>
          <w:szCs w:val="22"/>
        </w:rPr>
        <w:lastRenderedPageBreak/>
        <w:t>References</w:t>
      </w:r>
    </w:p>
    <w:p w14:paraId="1FFBED1B" w14:textId="77777777" w:rsidR="007C1270" w:rsidRPr="00B41483" w:rsidRDefault="007C1270" w:rsidP="007C1270">
      <w:pPr>
        <w:rPr>
          <w:sz w:val="20"/>
          <w:szCs w:val="20"/>
          <w:lang w:val="en-GB"/>
        </w:rPr>
      </w:pPr>
      <w:r w:rsidRPr="00B41483">
        <w:rPr>
          <w:sz w:val="20"/>
          <w:szCs w:val="20"/>
          <w:shd w:val="clear" w:color="auto" w:fill="FFFFFF"/>
          <w:lang w:val="en-GB"/>
        </w:rPr>
        <w:t xml:space="preserve">American Academy of </w:t>
      </w:r>
      <w:proofErr w:type="spellStart"/>
      <w:r w:rsidRPr="00B41483">
        <w:rPr>
          <w:sz w:val="20"/>
          <w:szCs w:val="20"/>
          <w:shd w:val="clear" w:color="auto" w:fill="FFFFFF"/>
          <w:lang w:val="en-GB"/>
        </w:rPr>
        <w:t>Pediatrics</w:t>
      </w:r>
      <w:proofErr w:type="spellEnd"/>
      <w:r w:rsidRPr="00B41483">
        <w:rPr>
          <w:sz w:val="20"/>
          <w:szCs w:val="20"/>
          <w:shd w:val="clear" w:color="auto" w:fill="FFFFFF"/>
          <w:lang w:val="en-GB"/>
        </w:rPr>
        <w:t xml:space="preserve">, Council on Children with Disabilities, Section on Developmental and </w:t>
      </w:r>
      <w:proofErr w:type="spellStart"/>
      <w:r w:rsidRPr="00B41483">
        <w:rPr>
          <w:sz w:val="20"/>
          <w:szCs w:val="20"/>
          <w:shd w:val="clear" w:color="auto" w:fill="FFFFFF"/>
          <w:lang w:val="en-GB"/>
        </w:rPr>
        <w:t>Behavioral</w:t>
      </w:r>
      <w:proofErr w:type="spellEnd"/>
      <w:r w:rsidRPr="00B41483">
        <w:rPr>
          <w:sz w:val="20"/>
          <w:szCs w:val="20"/>
          <w:shd w:val="clear" w:color="auto" w:fill="FFFFFF"/>
          <w:lang w:val="en-GB"/>
        </w:rPr>
        <w:t xml:space="preserve"> </w:t>
      </w:r>
      <w:proofErr w:type="spellStart"/>
      <w:r w:rsidRPr="00B41483">
        <w:rPr>
          <w:sz w:val="20"/>
          <w:szCs w:val="20"/>
          <w:shd w:val="clear" w:color="auto" w:fill="FFFFFF"/>
          <w:lang w:val="en-GB"/>
        </w:rPr>
        <w:t>Pediatrics</w:t>
      </w:r>
      <w:proofErr w:type="spellEnd"/>
      <w:r w:rsidRPr="00B41483">
        <w:rPr>
          <w:sz w:val="20"/>
          <w:szCs w:val="20"/>
          <w:shd w:val="clear" w:color="auto" w:fill="FFFFFF"/>
          <w:lang w:val="en-GB"/>
        </w:rPr>
        <w:t>. Identifying infants and young children with developmental disorder in the medical home: an algorithm for developmental surveillance and screening. </w:t>
      </w:r>
      <w:r w:rsidRPr="00B41483">
        <w:rPr>
          <w:sz w:val="20"/>
          <w:szCs w:val="20"/>
          <w:lang w:val="en-GB"/>
        </w:rPr>
        <w:t>Pediatrics</w:t>
      </w:r>
      <w:proofErr w:type="gramStart"/>
      <w:r w:rsidRPr="00B41483">
        <w:rPr>
          <w:sz w:val="20"/>
          <w:szCs w:val="20"/>
          <w:bdr w:val="none" w:sz="0" w:space="0" w:color="auto" w:frame="1"/>
          <w:shd w:val="clear" w:color="auto" w:fill="FFFFFF"/>
          <w:lang w:val="en-GB"/>
        </w:rPr>
        <w:t>2006</w:t>
      </w:r>
      <w:r w:rsidRPr="00B41483">
        <w:rPr>
          <w:sz w:val="20"/>
          <w:szCs w:val="20"/>
          <w:shd w:val="clear" w:color="auto" w:fill="FFFFFF"/>
          <w:lang w:val="en-GB"/>
        </w:rPr>
        <w:t>;</w:t>
      </w:r>
      <w:r w:rsidRPr="00B41483">
        <w:rPr>
          <w:sz w:val="20"/>
          <w:szCs w:val="20"/>
          <w:bdr w:val="none" w:sz="0" w:space="0" w:color="auto" w:frame="1"/>
          <w:shd w:val="clear" w:color="auto" w:fill="FFFFFF"/>
          <w:lang w:val="en-GB"/>
        </w:rPr>
        <w:t>118</w:t>
      </w:r>
      <w:r w:rsidRPr="00B41483">
        <w:rPr>
          <w:sz w:val="20"/>
          <w:szCs w:val="20"/>
          <w:shd w:val="clear" w:color="auto" w:fill="FFFFFF"/>
          <w:lang w:val="en-GB"/>
        </w:rPr>
        <w:t>:</w:t>
      </w:r>
      <w:r w:rsidRPr="00B41483">
        <w:rPr>
          <w:sz w:val="20"/>
          <w:szCs w:val="20"/>
          <w:bdr w:val="none" w:sz="0" w:space="0" w:color="auto" w:frame="1"/>
          <w:shd w:val="clear" w:color="auto" w:fill="FFFFFF"/>
          <w:lang w:val="en-GB"/>
        </w:rPr>
        <w:t>405</w:t>
      </w:r>
      <w:proofErr w:type="gramEnd"/>
      <w:r w:rsidRPr="00B41483">
        <w:rPr>
          <w:sz w:val="20"/>
          <w:szCs w:val="20"/>
          <w:shd w:val="clear" w:color="auto" w:fill="FFFFFF"/>
          <w:lang w:val="en-GB"/>
        </w:rPr>
        <w:t>-20.</w:t>
      </w:r>
    </w:p>
    <w:p w14:paraId="5BEE0770" w14:textId="77777777" w:rsidR="007C1270" w:rsidRPr="00B41483" w:rsidRDefault="007C1270" w:rsidP="007C1270">
      <w:pPr>
        <w:rPr>
          <w:sz w:val="20"/>
          <w:szCs w:val="20"/>
          <w:lang w:val="en-GB"/>
        </w:rPr>
      </w:pPr>
      <w:r w:rsidRPr="00B41483">
        <w:rPr>
          <w:sz w:val="20"/>
          <w:szCs w:val="20"/>
          <w:lang w:val="en-GB"/>
        </w:rPr>
        <w:t>Bellman M, Byrne O, Sege R. Developmental assessment of children. BMJ 2013;</w:t>
      </w:r>
      <w:proofErr w:type="gramStart"/>
      <w:r w:rsidRPr="00B41483">
        <w:rPr>
          <w:sz w:val="20"/>
          <w:szCs w:val="20"/>
          <w:lang w:val="en-GB"/>
        </w:rPr>
        <w:t>346:e</w:t>
      </w:r>
      <w:proofErr w:type="gramEnd"/>
      <w:r w:rsidRPr="00B41483">
        <w:rPr>
          <w:sz w:val="20"/>
          <w:szCs w:val="20"/>
          <w:lang w:val="en-GB"/>
        </w:rPr>
        <w:t>8687</w:t>
      </w:r>
    </w:p>
    <w:p w14:paraId="7F5DEA6C" w14:textId="77777777" w:rsidR="007C1270" w:rsidRPr="00B41483" w:rsidRDefault="007C1270" w:rsidP="007C1270">
      <w:pPr>
        <w:rPr>
          <w:sz w:val="20"/>
          <w:szCs w:val="20"/>
        </w:rPr>
      </w:pPr>
      <w:proofErr w:type="spellStart"/>
      <w:r w:rsidRPr="00B41483">
        <w:rPr>
          <w:sz w:val="20"/>
          <w:szCs w:val="20"/>
          <w:lang w:val="en-GB"/>
        </w:rPr>
        <w:t>Bundey</w:t>
      </w:r>
      <w:proofErr w:type="spellEnd"/>
      <w:r w:rsidRPr="00B41483">
        <w:rPr>
          <w:sz w:val="20"/>
          <w:szCs w:val="20"/>
          <w:lang w:val="en-GB"/>
        </w:rPr>
        <w:t xml:space="preserve"> S, Aslam H. A five-year prospective study of the health of children in different ethnic groups, with </w:t>
      </w:r>
      <w:proofErr w:type="gramStart"/>
      <w:r w:rsidRPr="00B41483">
        <w:rPr>
          <w:sz w:val="20"/>
          <w:szCs w:val="20"/>
          <w:lang w:val="en-GB"/>
        </w:rPr>
        <w:t>particular reference</w:t>
      </w:r>
      <w:proofErr w:type="gramEnd"/>
      <w:r w:rsidRPr="00B41483">
        <w:rPr>
          <w:sz w:val="20"/>
          <w:szCs w:val="20"/>
          <w:lang w:val="en-GB"/>
        </w:rPr>
        <w:t xml:space="preserve"> to the effect of inbreeding. Eur J Hum Genet </w:t>
      </w:r>
      <w:proofErr w:type="gramStart"/>
      <w:r w:rsidRPr="00B41483">
        <w:rPr>
          <w:sz w:val="20"/>
          <w:szCs w:val="20"/>
          <w:lang w:val="en-GB"/>
        </w:rPr>
        <w:t>1993;1:206</w:t>
      </w:r>
      <w:proofErr w:type="gramEnd"/>
      <w:r w:rsidRPr="00B41483">
        <w:rPr>
          <w:sz w:val="20"/>
          <w:szCs w:val="20"/>
          <w:lang w:val="en-GB"/>
        </w:rPr>
        <w:t xml:space="preserve">-219 </w:t>
      </w:r>
    </w:p>
    <w:p w14:paraId="380AB205" w14:textId="77777777" w:rsidR="007C1270" w:rsidRPr="00B41483" w:rsidRDefault="007C1270" w:rsidP="007C1270">
      <w:pPr>
        <w:rPr>
          <w:sz w:val="20"/>
          <w:szCs w:val="20"/>
          <w:lang w:val="en-GB"/>
        </w:rPr>
      </w:pPr>
      <w:r w:rsidRPr="00B41483">
        <w:rPr>
          <w:sz w:val="20"/>
          <w:szCs w:val="20"/>
          <w:lang w:val="en-GB"/>
        </w:rPr>
        <w:t xml:space="preserve">Buch S. Investigation of Global Developmental Delay. Shropshire Community health NHS Trust guideline. </w:t>
      </w:r>
      <w:hyperlink r:id="rId18" w:history="1">
        <w:r w:rsidRPr="00B41483">
          <w:rPr>
            <w:rStyle w:val="Hyperlink"/>
            <w:sz w:val="20"/>
            <w:szCs w:val="20"/>
            <w:lang w:val="en-GB"/>
          </w:rPr>
          <w:t>http://www.shropscommunityhealth.nhs.uk/content/doclib/12052.pdf</w:t>
        </w:r>
      </w:hyperlink>
      <w:r w:rsidRPr="00B41483">
        <w:rPr>
          <w:sz w:val="20"/>
          <w:szCs w:val="20"/>
          <w:lang w:val="en-GB"/>
        </w:rPr>
        <w:t>. Accessed 22</w:t>
      </w:r>
      <w:r w:rsidRPr="00B41483">
        <w:rPr>
          <w:sz w:val="20"/>
          <w:szCs w:val="20"/>
          <w:vertAlign w:val="superscript"/>
          <w:lang w:val="en-GB"/>
        </w:rPr>
        <w:t>nd</w:t>
      </w:r>
      <w:r w:rsidRPr="00B41483">
        <w:rPr>
          <w:sz w:val="20"/>
          <w:szCs w:val="20"/>
          <w:lang w:val="en-GB"/>
        </w:rPr>
        <w:t xml:space="preserve"> November 2018.</w:t>
      </w:r>
    </w:p>
    <w:p w14:paraId="2920643F" w14:textId="77777777" w:rsidR="007C1270" w:rsidRPr="00B41483" w:rsidRDefault="007C1270" w:rsidP="007C1270">
      <w:pPr>
        <w:rPr>
          <w:sz w:val="20"/>
          <w:szCs w:val="20"/>
          <w:lang w:val="en-GB"/>
        </w:rPr>
      </w:pPr>
      <w:r w:rsidRPr="00B41483">
        <w:rPr>
          <w:sz w:val="20"/>
          <w:szCs w:val="20"/>
          <w:lang w:val="en-GB"/>
        </w:rPr>
        <w:t xml:space="preserve">Collins PY, Pringle B, Alexander C, Darmstadt GL, </w:t>
      </w:r>
      <w:proofErr w:type="spellStart"/>
      <w:r w:rsidRPr="00B41483">
        <w:rPr>
          <w:sz w:val="20"/>
          <w:szCs w:val="20"/>
          <w:lang w:val="en-GB"/>
        </w:rPr>
        <w:t>Heymann</w:t>
      </w:r>
      <w:proofErr w:type="spellEnd"/>
      <w:r w:rsidRPr="00B41483">
        <w:rPr>
          <w:sz w:val="20"/>
          <w:szCs w:val="20"/>
          <w:lang w:val="en-GB"/>
        </w:rPr>
        <w:t xml:space="preserve"> J, Huebner G, et al. (2017) Global services and support for children with developmental delays and disabilities: Bridging research and policy gaps. </w:t>
      </w:r>
      <w:proofErr w:type="spellStart"/>
      <w:r w:rsidRPr="00B41483">
        <w:rPr>
          <w:sz w:val="20"/>
          <w:szCs w:val="20"/>
          <w:lang w:val="en-GB"/>
        </w:rPr>
        <w:t>PLoS</w:t>
      </w:r>
      <w:proofErr w:type="spellEnd"/>
      <w:r w:rsidRPr="00B41483">
        <w:rPr>
          <w:sz w:val="20"/>
          <w:szCs w:val="20"/>
          <w:lang w:val="en-GB"/>
        </w:rPr>
        <w:t xml:space="preserve"> Med 14(9): e1002393. </w:t>
      </w:r>
      <w:hyperlink r:id="rId19" w:history="1">
        <w:r w:rsidRPr="00B41483">
          <w:rPr>
            <w:rStyle w:val="Hyperlink"/>
            <w:sz w:val="20"/>
            <w:szCs w:val="20"/>
            <w:lang w:val="en-GB"/>
          </w:rPr>
          <w:t>https://doi.org/10.1371/journal.pmed.1002393</w:t>
        </w:r>
      </w:hyperlink>
    </w:p>
    <w:p w14:paraId="0E8C1942" w14:textId="77777777" w:rsidR="007C1270" w:rsidRPr="00B41483" w:rsidRDefault="007C1270" w:rsidP="007C1270">
      <w:pPr>
        <w:rPr>
          <w:sz w:val="20"/>
          <w:szCs w:val="20"/>
          <w:lang w:val="en-GB"/>
        </w:rPr>
      </w:pPr>
      <w:r w:rsidRPr="00B41483">
        <w:rPr>
          <w:sz w:val="20"/>
          <w:szCs w:val="20"/>
          <w:lang w:val="en-GB"/>
        </w:rPr>
        <w:t xml:space="preserve">Community Children’s Health Partnership. Developmental delay pathway. </w:t>
      </w:r>
      <w:hyperlink r:id="rId20" w:history="1">
        <w:r w:rsidRPr="00B41483">
          <w:rPr>
            <w:rStyle w:val="Hyperlink"/>
            <w:sz w:val="20"/>
            <w:szCs w:val="20"/>
            <w:lang w:val="en-GB"/>
          </w:rPr>
          <w:t>https://cchp.nhs.uk/sites/default/files/Care%20Pathway%20for%20Development%20Delay%20(2010).pdf</w:t>
        </w:r>
      </w:hyperlink>
      <w:r w:rsidRPr="00B41483">
        <w:rPr>
          <w:sz w:val="20"/>
          <w:szCs w:val="20"/>
          <w:lang w:val="en-GB"/>
        </w:rPr>
        <w:t xml:space="preserve"> Accessed 22</w:t>
      </w:r>
      <w:r w:rsidRPr="00B41483">
        <w:rPr>
          <w:sz w:val="20"/>
          <w:szCs w:val="20"/>
          <w:vertAlign w:val="superscript"/>
          <w:lang w:val="en-GB"/>
        </w:rPr>
        <w:t>nd</w:t>
      </w:r>
      <w:r w:rsidRPr="00B41483">
        <w:rPr>
          <w:sz w:val="20"/>
          <w:szCs w:val="20"/>
          <w:lang w:val="en-GB"/>
        </w:rPr>
        <w:t xml:space="preserve"> November 2018.</w:t>
      </w:r>
    </w:p>
    <w:p w14:paraId="4F933FE8" w14:textId="77777777" w:rsidR="007C1270" w:rsidRPr="00B41483" w:rsidRDefault="007C1270" w:rsidP="007C1270">
      <w:pPr>
        <w:rPr>
          <w:sz w:val="20"/>
          <w:szCs w:val="20"/>
          <w:lang w:val="en-GB"/>
        </w:rPr>
      </w:pPr>
      <w:r w:rsidRPr="00B41483">
        <w:rPr>
          <w:sz w:val="20"/>
          <w:szCs w:val="20"/>
          <w:lang w:val="en-GB"/>
        </w:rPr>
        <w:t xml:space="preserve">Engle PL, Fernald LC, Alderman H, Behrman J, O’Gara C, Yousafzai A, et al. Strategies for reducing inequalities and improving developmental outcomes for young children in low-income and middle-income countries. Lancet </w:t>
      </w:r>
      <w:proofErr w:type="gramStart"/>
      <w:r w:rsidRPr="00B41483">
        <w:rPr>
          <w:sz w:val="20"/>
          <w:szCs w:val="20"/>
          <w:lang w:val="en-GB"/>
        </w:rPr>
        <w:t>2011;378:1339</w:t>
      </w:r>
      <w:proofErr w:type="gramEnd"/>
      <w:r w:rsidRPr="00B41483">
        <w:rPr>
          <w:sz w:val="20"/>
          <w:szCs w:val="20"/>
          <w:lang w:val="en-GB"/>
        </w:rPr>
        <w:t>-53.</w:t>
      </w:r>
    </w:p>
    <w:p w14:paraId="3CA6C2CE" w14:textId="77777777" w:rsidR="007C1270" w:rsidRPr="00B41483" w:rsidRDefault="007C1270" w:rsidP="007C1270">
      <w:pPr>
        <w:rPr>
          <w:sz w:val="20"/>
          <w:szCs w:val="20"/>
          <w:lang w:val="en-GB"/>
        </w:rPr>
      </w:pPr>
      <w:r w:rsidRPr="00B41483">
        <w:rPr>
          <w:sz w:val="20"/>
          <w:szCs w:val="20"/>
          <w:lang w:val="en-GB"/>
        </w:rPr>
        <w:t xml:space="preserve">Horridge KA. Assessment and investigation of the child with disordered development. Arch Dis Child </w:t>
      </w:r>
      <w:proofErr w:type="spellStart"/>
      <w:r w:rsidRPr="00B41483">
        <w:rPr>
          <w:sz w:val="20"/>
          <w:szCs w:val="20"/>
          <w:lang w:val="en-GB"/>
        </w:rPr>
        <w:t>Educ</w:t>
      </w:r>
      <w:proofErr w:type="spellEnd"/>
      <w:r w:rsidRPr="00B41483">
        <w:rPr>
          <w:sz w:val="20"/>
          <w:szCs w:val="20"/>
          <w:lang w:val="en-GB"/>
        </w:rPr>
        <w:t xml:space="preserve"> </w:t>
      </w:r>
      <w:proofErr w:type="spellStart"/>
      <w:r w:rsidRPr="00B41483">
        <w:rPr>
          <w:sz w:val="20"/>
          <w:szCs w:val="20"/>
          <w:lang w:val="en-GB"/>
        </w:rPr>
        <w:t>Pract</w:t>
      </w:r>
      <w:proofErr w:type="spellEnd"/>
      <w:r w:rsidRPr="00B41483">
        <w:rPr>
          <w:sz w:val="20"/>
          <w:szCs w:val="20"/>
          <w:lang w:val="en-GB"/>
        </w:rPr>
        <w:t xml:space="preserve"> Ed</w:t>
      </w:r>
      <w:proofErr w:type="gramStart"/>
      <w:r w:rsidRPr="00B41483">
        <w:rPr>
          <w:sz w:val="20"/>
          <w:szCs w:val="20"/>
          <w:lang w:val="en-GB"/>
        </w:rPr>
        <w:t>2011;96:9</w:t>
      </w:r>
      <w:proofErr w:type="gramEnd"/>
      <w:r w:rsidRPr="00B41483">
        <w:rPr>
          <w:sz w:val="20"/>
          <w:szCs w:val="20"/>
          <w:lang w:val="en-GB"/>
        </w:rPr>
        <w:t>-20</w:t>
      </w:r>
    </w:p>
    <w:p w14:paraId="7377F1E2" w14:textId="77777777" w:rsidR="007C1270" w:rsidRPr="00B41483" w:rsidRDefault="007C1270" w:rsidP="007C1270">
      <w:pPr>
        <w:rPr>
          <w:sz w:val="20"/>
          <w:szCs w:val="20"/>
          <w:lang w:val="en-GB"/>
        </w:rPr>
      </w:pPr>
      <w:proofErr w:type="spellStart"/>
      <w:r w:rsidRPr="00B41483">
        <w:rPr>
          <w:sz w:val="20"/>
          <w:szCs w:val="20"/>
          <w:lang w:val="en-GB"/>
        </w:rPr>
        <w:t>Mithyantha</w:t>
      </w:r>
      <w:proofErr w:type="spellEnd"/>
      <w:r w:rsidRPr="00B41483">
        <w:rPr>
          <w:sz w:val="20"/>
          <w:szCs w:val="20"/>
          <w:lang w:val="en-GB"/>
        </w:rPr>
        <w:t xml:space="preserve"> R, </w:t>
      </w:r>
      <w:proofErr w:type="spellStart"/>
      <w:r w:rsidRPr="00B41483">
        <w:rPr>
          <w:sz w:val="20"/>
          <w:szCs w:val="20"/>
          <w:lang w:val="en-GB"/>
        </w:rPr>
        <w:t>Kneen</w:t>
      </w:r>
      <w:proofErr w:type="spellEnd"/>
      <w:r w:rsidRPr="00B41483">
        <w:rPr>
          <w:sz w:val="20"/>
          <w:szCs w:val="20"/>
          <w:lang w:val="en-GB"/>
        </w:rPr>
        <w:t xml:space="preserve"> R, McCann E, et al Current evidence-based recommendations on investigating children with global developmental delay Archives of Disease in Childhood 2017;102:1071-1076.</w:t>
      </w:r>
    </w:p>
    <w:p w14:paraId="76433476" w14:textId="77777777" w:rsidR="007C1270" w:rsidRPr="00B41483" w:rsidRDefault="007C1270" w:rsidP="007C1270">
      <w:pPr>
        <w:rPr>
          <w:sz w:val="20"/>
          <w:szCs w:val="20"/>
          <w:lang w:val="en-GB"/>
        </w:rPr>
      </w:pPr>
      <w:r w:rsidRPr="00B41483">
        <w:rPr>
          <w:sz w:val="20"/>
          <w:szCs w:val="20"/>
          <w:lang w:val="en-GB"/>
        </w:rPr>
        <w:t xml:space="preserve">Turner G, Partington M. Recurrence risks in undiagnosed mental retardation. J Med Genet </w:t>
      </w:r>
      <w:proofErr w:type="gramStart"/>
      <w:r w:rsidRPr="00B41483">
        <w:rPr>
          <w:sz w:val="20"/>
          <w:szCs w:val="20"/>
          <w:lang w:val="en-GB"/>
        </w:rPr>
        <w:t>2000:37:E</w:t>
      </w:r>
      <w:proofErr w:type="gramEnd"/>
      <w:r w:rsidRPr="00B41483">
        <w:rPr>
          <w:sz w:val="20"/>
          <w:szCs w:val="20"/>
          <w:lang w:val="en-GB"/>
        </w:rPr>
        <w:t>45</w:t>
      </w:r>
    </w:p>
    <w:p w14:paraId="44DBA7F1" w14:textId="77777777" w:rsidR="007C1270" w:rsidRPr="00B41483" w:rsidRDefault="007C1270" w:rsidP="007C1270">
      <w:pPr>
        <w:rPr>
          <w:sz w:val="20"/>
          <w:szCs w:val="20"/>
          <w:lang w:val="en-GB"/>
        </w:rPr>
      </w:pPr>
      <w:proofErr w:type="gramStart"/>
      <w:r w:rsidRPr="00B41483">
        <w:rPr>
          <w:sz w:val="20"/>
          <w:szCs w:val="20"/>
          <w:lang w:val="en-GB"/>
        </w:rPr>
        <w:t>WHO.</w:t>
      </w:r>
      <w:proofErr w:type="gramEnd"/>
      <w:r w:rsidRPr="00B41483">
        <w:rPr>
          <w:sz w:val="20"/>
          <w:szCs w:val="20"/>
          <w:lang w:val="en-GB"/>
        </w:rPr>
        <w:t xml:space="preserve"> Developmental difficulties in early childhood. Prevention, early identification, assessment and intervention in low- and middle-income countries: A Review. 2012.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306D7B16" w14:textId="77777777" w:rsidTr="00515546">
        <w:trPr>
          <w:trHeight w:val="20"/>
        </w:trPr>
        <w:tc>
          <w:tcPr>
            <w:tcW w:w="2139" w:type="dxa"/>
            <w:shd w:val="clear" w:color="auto" w:fill="auto"/>
            <w:vAlign w:val="bottom"/>
          </w:tcPr>
          <w:p w14:paraId="16B4BED4" w14:textId="77777777" w:rsidR="004C4442" w:rsidRPr="00515546" w:rsidRDefault="004C4442" w:rsidP="00522C6C">
            <w:pPr>
              <w:spacing w:after="0"/>
              <w:rPr>
                <w:b/>
                <w:szCs w:val="22"/>
              </w:rPr>
            </w:pPr>
            <w:r w:rsidRPr="00515546">
              <w:rPr>
                <w:b/>
                <w:szCs w:val="22"/>
              </w:rPr>
              <w:t>Written by:</w:t>
            </w:r>
          </w:p>
        </w:tc>
        <w:tc>
          <w:tcPr>
            <w:tcW w:w="3622" w:type="dxa"/>
            <w:shd w:val="clear" w:color="auto" w:fill="auto"/>
            <w:vAlign w:val="bottom"/>
          </w:tcPr>
          <w:p w14:paraId="2F097C3F" w14:textId="7CEA576B" w:rsidR="004C4442" w:rsidRPr="00515546" w:rsidRDefault="004C4442" w:rsidP="00522C6C">
            <w:pPr>
              <w:spacing w:after="0"/>
              <w:rPr>
                <w:szCs w:val="22"/>
              </w:rPr>
            </w:pPr>
            <w:r w:rsidRPr="00515546">
              <w:rPr>
                <w:szCs w:val="22"/>
              </w:rPr>
              <w:t>Name</w:t>
            </w:r>
            <w:r w:rsidR="005638D0">
              <w:rPr>
                <w:szCs w:val="22"/>
              </w:rPr>
              <w:t xml:space="preserve">: </w:t>
            </w:r>
            <w:r w:rsidR="007C1270">
              <w:rPr>
                <w:szCs w:val="22"/>
              </w:rPr>
              <w:t xml:space="preserve">Anja </w:t>
            </w:r>
            <w:proofErr w:type="spellStart"/>
            <w:r w:rsidR="007C1270">
              <w:rPr>
                <w:szCs w:val="22"/>
              </w:rPr>
              <w:t>Saso</w:t>
            </w:r>
            <w:proofErr w:type="spellEnd"/>
          </w:p>
        </w:tc>
        <w:tc>
          <w:tcPr>
            <w:tcW w:w="2869" w:type="dxa"/>
            <w:shd w:val="clear" w:color="auto" w:fill="auto"/>
            <w:vAlign w:val="bottom"/>
          </w:tcPr>
          <w:p w14:paraId="19F03D54" w14:textId="62AD37A7" w:rsidR="004C4442" w:rsidRPr="00515546" w:rsidRDefault="004C4442" w:rsidP="00522C6C">
            <w:pPr>
              <w:spacing w:after="0"/>
              <w:rPr>
                <w:szCs w:val="22"/>
              </w:rPr>
            </w:pPr>
            <w:r w:rsidRPr="00515546">
              <w:rPr>
                <w:szCs w:val="22"/>
              </w:rPr>
              <w:t xml:space="preserve">Date: </w:t>
            </w:r>
            <w:r w:rsidR="007C1270">
              <w:rPr>
                <w:szCs w:val="22"/>
              </w:rPr>
              <w:t>30 November 201</w:t>
            </w:r>
            <w:r w:rsidR="00B14AB6">
              <w:rPr>
                <w:szCs w:val="22"/>
              </w:rPr>
              <w:t>8</w:t>
            </w:r>
          </w:p>
        </w:tc>
      </w:tr>
      <w:tr w:rsidR="004C4442" w:rsidRPr="00515546" w14:paraId="2D911DDD" w14:textId="77777777" w:rsidTr="00515546">
        <w:trPr>
          <w:trHeight w:val="20"/>
        </w:trPr>
        <w:tc>
          <w:tcPr>
            <w:tcW w:w="2139" w:type="dxa"/>
            <w:shd w:val="clear" w:color="auto" w:fill="auto"/>
            <w:vAlign w:val="bottom"/>
          </w:tcPr>
          <w:p w14:paraId="7317BDFA" w14:textId="77777777" w:rsidR="004C4442" w:rsidRPr="00515546" w:rsidRDefault="004C4442" w:rsidP="00522C6C">
            <w:pPr>
              <w:spacing w:after="0"/>
              <w:rPr>
                <w:b/>
                <w:szCs w:val="22"/>
              </w:rPr>
            </w:pPr>
            <w:r w:rsidRPr="00515546">
              <w:rPr>
                <w:b/>
                <w:szCs w:val="22"/>
              </w:rPr>
              <w:t>Reviewed by:</w:t>
            </w:r>
          </w:p>
        </w:tc>
        <w:tc>
          <w:tcPr>
            <w:tcW w:w="3622" w:type="dxa"/>
            <w:shd w:val="clear" w:color="auto" w:fill="auto"/>
            <w:vAlign w:val="bottom"/>
          </w:tcPr>
          <w:p w14:paraId="70E0087E" w14:textId="2DD02C98" w:rsidR="004C4442" w:rsidRPr="00515546" w:rsidRDefault="004C4442" w:rsidP="00522C6C">
            <w:pPr>
              <w:spacing w:after="0"/>
              <w:rPr>
                <w:szCs w:val="22"/>
              </w:rPr>
            </w:pPr>
            <w:r w:rsidRPr="00515546">
              <w:rPr>
                <w:szCs w:val="22"/>
              </w:rPr>
              <w:t xml:space="preserve">Name: </w:t>
            </w:r>
            <w:r w:rsidR="00B41483">
              <w:rPr>
                <w:szCs w:val="22"/>
              </w:rPr>
              <w:t>Baderinwa Abatan</w:t>
            </w:r>
          </w:p>
        </w:tc>
        <w:tc>
          <w:tcPr>
            <w:tcW w:w="2869" w:type="dxa"/>
            <w:shd w:val="clear" w:color="auto" w:fill="auto"/>
            <w:vAlign w:val="bottom"/>
          </w:tcPr>
          <w:p w14:paraId="5DB2C089" w14:textId="476BA60B" w:rsidR="004C4442" w:rsidRPr="00515546" w:rsidRDefault="004C4442" w:rsidP="00522C6C">
            <w:pPr>
              <w:spacing w:after="0"/>
              <w:rPr>
                <w:szCs w:val="22"/>
              </w:rPr>
            </w:pPr>
            <w:r w:rsidRPr="00515546">
              <w:rPr>
                <w:szCs w:val="22"/>
              </w:rPr>
              <w:t xml:space="preserve">Date: </w:t>
            </w:r>
            <w:r w:rsidR="0027642C">
              <w:rPr>
                <w:szCs w:val="22"/>
              </w:rPr>
              <w:t>29 April 2019</w:t>
            </w:r>
          </w:p>
        </w:tc>
      </w:tr>
      <w:tr w:rsidR="004C4442" w:rsidRPr="00515546" w14:paraId="0E6C729C" w14:textId="77777777" w:rsidTr="00515546">
        <w:trPr>
          <w:trHeight w:val="20"/>
        </w:trPr>
        <w:tc>
          <w:tcPr>
            <w:tcW w:w="2139" w:type="dxa"/>
            <w:shd w:val="clear" w:color="auto" w:fill="auto"/>
            <w:vAlign w:val="bottom"/>
          </w:tcPr>
          <w:p w14:paraId="333375D0" w14:textId="77777777" w:rsidR="004C4442" w:rsidRPr="00515546" w:rsidRDefault="004C4442" w:rsidP="00522C6C">
            <w:pPr>
              <w:spacing w:after="0"/>
              <w:rPr>
                <w:szCs w:val="22"/>
              </w:rPr>
            </w:pPr>
            <w:r w:rsidRPr="00515546">
              <w:rPr>
                <w:b/>
                <w:szCs w:val="22"/>
              </w:rPr>
              <w:t>Version:</w:t>
            </w:r>
          </w:p>
        </w:tc>
        <w:tc>
          <w:tcPr>
            <w:tcW w:w="3622" w:type="dxa"/>
            <w:shd w:val="clear" w:color="auto" w:fill="auto"/>
            <w:vAlign w:val="bottom"/>
          </w:tcPr>
          <w:p w14:paraId="583B6DD3" w14:textId="77777777" w:rsidR="004C4442" w:rsidRPr="00515546" w:rsidRDefault="004C4442" w:rsidP="00522C6C">
            <w:pPr>
              <w:spacing w:after="0"/>
              <w:rPr>
                <w:szCs w:val="22"/>
              </w:rPr>
            </w:pPr>
            <w:r w:rsidRPr="00515546">
              <w:rPr>
                <w:b/>
                <w:szCs w:val="22"/>
              </w:rPr>
              <w:t>Change history:</w:t>
            </w:r>
          </w:p>
        </w:tc>
        <w:tc>
          <w:tcPr>
            <w:tcW w:w="2869" w:type="dxa"/>
            <w:shd w:val="clear" w:color="auto" w:fill="auto"/>
            <w:vAlign w:val="bottom"/>
          </w:tcPr>
          <w:p w14:paraId="7AF11981" w14:textId="77777777" w:rsidR="004C4442" w:rsidRPr="00515546" w:rsidRDefault="004C4442" w:rsidP="00522C6C">
            <w:pPr>
              <w:spacing w:after="0"/>
              <w:rPr>
                <w:b/>
                <w:szCs w:val="22"/>
              </w:rPr>
            </w:pPr>
            <w:r w:rsidRPr="00515546">
              <w:rPr>
                <w:b/>
                <w:szCs w:val="22"/>
              </w:rPr>
              <w:t>Review due date:</w:t>
            </w:r>
          </w:p>
        </w:tc>
      </w:tr>
      <w:tr w:rsidR="004C4442" w:rsidRPr="00515546" w14:paraId="5F0FF5D8" w14:textId="77777777" w:rsidTr="00515546">
        <w:trPr>
          <w:trHeight w:val="20"/>
        </w:trPr>
        <w:tc>
          <w:tcPr>
            <w:tcW w:w="2139" w:type="dxa"/>
            <w:shd w:val="clear" w:color="auto" w:fill="auto"/>
            <w:vAlign w:val="bottom"/>
          </w:tcPr>
          <w:p w14:paraId="7175912D" w14:textId="77777777" w:rsidR="004C4442" w:rsidRPr="00515546" w:rsidRDefault="004C4442" w:rsidP="00522C6C">
            <w:pPr>
              <w:spacing w:after="0"/>
              <w:rPr>
                <w:szCs w:val="22"/>
              </w:rPr>
            </w:pPr>
            <w:r w:rsidRPr="00515546">
              <w:rPr>
                <w:szCs w:val="22"/>
              </w:rPr>
              <w:t>1.0</w:t>
            </w:r>
          </w:p>
        </w:tc>
        <w:tc>
          <w:tcPr>
            <w:tcW w:w="3622" w:type="dxa"/>
            <w:shd w:val="clear" w:color="auto" w:fill="auto"/>
            <w:vAlign w:val="bottom"/>
          </w:tcPr>
          <w:p w14:paraId="464F68A1" w14:textId="77777777" w:rsidR="004C4442" w:rsidRPr="00515546" w:rsidRDefault="004C4442" w:rsidP="00522C6C">
            <w:pPr>
              <w:spacing w:after="0"/>
              <w:rPr>
                <w:szCs w:val="22"/>
              </w:rPr>
            </w:pPr>
            <w:r w:rsidRPr="00515546">
              <w:rPr>
                <w:szCs w:val="22"/>
              </w:rPr>
              <w:t>New document</w:t>
            </w:r>
          </w:p>
        </w:tc>
        <w:tc>
          <w:tcPr>
            <w:tcW w:w="2869" w:type="dxa"/>
            <w:shd w:val="clear" w:color="auto" w:fill="auto"/>
            <w:vAlign w:val="bottom"/>
          </w:tcPr>
          <w:p w14:paraId="6F6DB6F0" w14:textId="0142A474" w:rsidR="004C4442" w:rsidRPr="00515546" w:rsidRDefault="00083A80" w:rsidP="00522C6C">
            <w:pPr>
              <w:spacing w:after="0"/>
              <w:rPr>
                <w:szCs w:val="22"/>
              </w:rPr>
            </w:pPr>
            <w:r>
              <w:rPr>
                <w:szCs w:val="22"/>
              </w:rPr>
              <w:t>31 May 2021</w:t>
            </w:r>
          </w:p>
        </w:tc>
      </w:tr>
      <w:tr w:rsidR="005638D0" w:rsidRPr="00515546" w14:paraId="13A78A67" w14:textId="77777777" w:rsidTr="00515546">
        <w:trPr>
          <w:trHeight w:val="20"/>
        </w:trPr>
        <w:tc>
          <w:tcPr>
            <w:tcW w:w="2139" w:type="dxa"/>
            <w:shd w:val="clear" w:color="auto" w:fill="auto"/>
            <w:vAlign w:val="bottom"/>
          </w:tcPr>
          <w:p w14:paraId="0257459A" w14:textId="77777777" w:rsidR="005638D0" w:rsidRPr="00515546" w:rsidRDefault="005638D0" w:rsidP="005638D0">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6915C829" w14:textId="77777777" w:rsidR="005638D0" w:rsidRPr="00515546" w:rsidRDefault="005638D0" w:rsidP="005638D0">
            <w:pPr>
              <w:spacing w:after="0"/>
              <w:rPr>
                <w:szCs w:val="22"/>
              </w:rPr>
            </w:pPr>
          </w:p>
        </w:tc>
        <w:tc>
          <w:tcPr>
            <w:tcW w:w="2869" w:type="dxa"/>
            <w:shd w:val="clear" w:color="auto" w:fill="auto"/>
            <w:vAlign w:val="bottom"/>
          </w:tcPr>
          <w:p w14:paraId="03ACB4FA" w14:textId="77777777" w:rsidR="005638D0" w:rsidRPr="00515546" w:rsidRDefault="005638D0" w:rsidP="005638D0">
            <w:pPr>
              <w:spacing w:after="0"/>
              <w:rPr>
                <w:b/>
                <w:szCs w:val="22"/>
              </w:rPr>
            </w:pPr>
          </w:p>
        </w:tc>
      </w:tr>
    </w:tbl>
    <w:p w14:paraId="1D755202" w14:textId="77777777" w:rsidR="00975A60" w:rsidRPr="000C0540" w:rsidRDefault="00975A60" w:rsidP="00975A60">
      <w:pPr>
        <w:rPr>
          <w:sz w:val="16"/>
          <w:szCs w:val="16"/>
        </w:rPr>
      </w:pPr>
    </w:p>
    <w:sectPr w:rsidR="00975A60" w:rsidRPr="000C0540" w:rsidSect="00D13825">
      <w:headerReference w:type="default" r:id="rId21"/>
      <w:footerReference w:type="even" r:id="rId22"/>
      <w:footerReference w:type="default" r:id="rId23"/>
      <w:headerReference w:type="first" r:id="rId24"/>
      <w:footerReference w:type="first" r:id="rId25"/>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92B43" w14:textId="77777777" w:rsidR="000845DD" w:rsidRDefault="000845DD" w:rsidP="00975A60">
      <w:pPr>
        <w:spacing w:after="0"/>
      </w:pPr>
      <w:r>
        <w:separator/>
      </w:r>
    </w:p>
  </w:endnote>
  <w:endnote w:type="continuationSeparator" w:id="0">
    <w:p w14:paraId="0AF6C5D1" w14:textId="77777777" w:rsidR="000845DD" w:rsidRDefault="000845DD"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CF522"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D64C9E7"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3D898"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6702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67021">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CE25F"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B6C77" w14:textId="77777777" w:rsidR="000845DD" w:rsidRDefault="000845DD" w:rsidP="00975A60">
      <w:pPr>
        <w:spacing w:after="0"/>
      </w:pPr>
      <w:r>
        <w:separator/>
      </w:r>
    </w:p>
  </w:footnote>
  <w:footnote w:type="continuationSeparator" w:id="0">
    <w:p w14:paraId="1236E941" w14:textId="77777777" w:rsidR="000845DD" w:rsidRDefault="000845DD"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310E1" w14:textId="4FA774A2" w:rsidR="00D13825" w:rsidRPr="00F87812" w:rsidRDefault="00D13825" w:rsidP="00D13825">
    <w:pPr>
      <w:pStyle w:val="Header"/>
    </w:pPr>
    <w:r w:rsidRPr="00F87812">
      <w:t>Identification code: MeG-CLS-</w:t>
    </w:r>
    <w:r w:rsidR="00846BE5">
      <w:t>054</w:t>
    </w:r>
    <w:r w:rsidRPr="00F87812">
      <w:tab/>
    </w:r>
  </w:p>
  <w:p w14:paraId="2FBB4C4D" w14:textId="292C27F8" w:rsidR="005D1877" w:rsidRPr="0095050B" w:rsidRDefault="00D13825" w:rsidP="00D13825">
    <w:pPr>
      <w:pStyle w:val="Header"/>
    </w:pPr>
    <w:r w:rsidRPr="0095050B">
      <w:t xml:space="preserve">Version: 1.0 – </w:t>
    </w:r>
    <w:r w:rsidR="00083A80">
      <w:t>31 May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BE0B1" w14:textId="77777777" w:rsidR="00D13825" w:rsidRDefault="00D13825" w:rsidP="00D13825">
    <w:pPr>
      <w:pStyle w:val="Header"/>
      <w:ind w:firstLine="2880"/>
      <w:rPr>
        <w:rFonts w:cs="Arial"/>
        <w:b/>
      </w:rPr>
    </w:pPr>
    <w:r>
      <w:rPr>
        <w:rFonts w:cs="Arial"/>
        <w:b/>
        <w:noProof/>
      </w:rPr>
      <w:drawing>
        <wp:anchor distT="0" distB="0" distL="114300" distR="114300" simplePos="0" relativeHeight="251660288" behindDoc="1" locked="0" layoutInCell="1" allowOverlap="1" wp14:anchorId="0E4E76EC" wp14:editId="7334F7D3">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4167AC0F"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41409969" w14:textId="77777777" w:rsidR="00D13825" w:rsidRPr="003C0800" w:rsidRDefault="00D13825" w:rsidP="00D13825">
    <w:pPr>
      <w:pStyle w:val="Header"/>
      <w:ind w:firstLine="2880"/>
      <w:rPr>
        <w:rFonts w:cs="Arial"/>
        <w:b/>
      </w:rPr>
    </w:pPr>
  </w:p>
  <w:p w14:paraId="664A2271" w14:textId="71856D57" w:rsidR="00D13825" w:rsidRPr="00F87812" w:rsidRDefault="00D13825" w:rsidP="00D13825">
    <w:pPr>
      <w:pStyle w:val="Header"/>
    </w:pPr>
    <w:r w:rsidRPr="00F87812">
      <w:t>Identification code: MeG-CLS-</w:t>
    </w:r>
    <w:r w:rsidR="00846BE5">
      <w:t>054</w:t>
    </w:r>
    <w:r w:rsidRPr="00F87812">
      <w:tab/>
    </w:r>
  </w:p>
  <w:p w14:paraId="451825F6" w14:textId="49C4A3BD" w:rsidR="00D13825" w:rsidRPr="00F87812" w:rsidRDefault="00D13825" w:rsidP="00D13825">
    <w:pPr>
      <w:pStyle w:val="Header"/>
    </w:pPr>
    <w:r w:rsidRPr="00F87812">
      <w:t xml:space="preserve">Version: </w:t>
    </w:r>
    <w:r w:rsidRPr="0095050B">
      <w:t xml:space="preserve">1.0 – </w:t>
    </w:r>
    <w:r w:rsidR="00083A80">
      <w:t>31 May 2019</w:t>
    </w:r>
  </w:p>
  <w:p w14:paraId="4A753133"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23373"/>
    <w:multiLevelType w:val="hybridMultilevel"/>
    <w:tmpl w:val="DCB6C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931AF6"/>
    <w:multiLevelType w:val="hybridMultilevel"/>
    <w:tmpl w:val="096A8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116A44"/>
    <w:multiLevelType w:val="hybridMultilevel"/>
    <w:tmpl w:val="ECC4C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1318B2"/>
    <w:multiLevelType w:val="hybridMultilevel"/>
    <w:tmpl w:val="2640D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1D3D0F"/>
    <w:multiLevelType w:val="hybridMultilevel"/>
    <w:tmpl w:val="69AEAF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7B1EE6"/>
    <w:multiLevelType w:val="hybridMultilevel"/>
    <w:tmpl w:val="3F589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EF4609"/>
    <w:multiLevelType w:val="hybridMultilevel"/>
    <w:tmpl w:val="1E9211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981F33"/>
    <w:multiLevelType w:val="hybridMultilevel"/>
    <w:tmpl w:val="23AA9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9E6B94"/>
    <w:multiLevelType w:val="hybridMultilevel"/>
    <w:tmpl w:val="D7B49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880493"/>
    <w:multiLevelType w:val="hybridMultilevel"/>
    <w:tmpl w:val="500A1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0A3C53"/>
    <w:multiLevelType w:val="hybridMultilevel"/>
    <w:tmpl w:val="180A9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23091F"/>
    <w:multiLevelType w:val="hybridMultilevel"/>
    <w:tmpl w:val="355C7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E40D88"/>
    <w:multiLevelType w:val="hybridMultilevel"/>
    <w:tmpl w:val="B5D2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CD6D32"/>
    <w:multiLevelType w:val="hybridMultilevel"/>
    <w:tmpl w:val="C818D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CA213F"/>
    <w:multiLevelType w:val="hybridMultilevel"/>
    <w:tmpl w:val="4DDE9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9462A4"/>
    <w:multiLevelType w:val="hybridMultilevel"/>
    <w:tmpl w:val="F866F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7" w15:restartNumberingAfterBreak="0">
    <w:nsid w:val="5E954AD4"/>
    <w:multiLevelType w:val="hybridMultilevel"/>
    <w:tmpl w:val="D1867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2064B7"/>
    <w:multiLevelType w:val="hybridMultilevel"/>
    <w:tmpl w:val="9B3847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E05658"/>
    <w:multiLevelType w:val="hybridMultilevel"/>
    <w:tmpl w:val="71043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155AA0"/>
    <w:multiLevelType w:val="hybridMultilevel"/>
    <w:tmpl w:val="CCA0A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DF7D60"/>
    <w:multiLevelType w:val="hybridMultilevel"/>
    <w:tmpl w:val="45F66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366CB4"/>
    <w:multiLevelType w:val="hybridMultilevel"/>
    <w:tmpl w:val="6D98CB9A"/>
    <w:lvl w:ilvl="0" w:tplc="2C7287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33E5F40"/>
    <w:multiLevelType w:val="hybridMultilevel"/>
    <w:tmpl w:val="EC1C8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2"/>
  </w:num>
  <w:num w:numId="4">
    <w:abstractNumId w:val="5"/>
  </w:num>
  <w:num w:numId="5">
    <w:abstractNumId w:val="7"/>
  </w:num>
  <w:num w:numId="6">
    <w:abstractNumId w:val="0"/>
  </w:num>
  <w:num w:numId="7">
    <w:abstractNumId w:val="8"/>
  </w:num>
  <w:num w:numId="8">
    <w:abstractNumId w:val="11"/>
  </w:num>
  <w:num w:numId="9">
    <w:abstractNumId w:val="17"/>
  </w:num>
  <w:num w:numId="10">
    <w:abstractNumId w:val="23"/>
  </w:num>
  <w:num w:numId="11">
    <w:abstractNumId w:val="19"/>
  </w:num>
  <w:num w:numId="12">
    <w:abstractNumId w:val="6"/>
  </w:num>
  <w:num w:numId="13">
    <w:abstractNumId w:val="10"/>
  </w:num>
  <w:num w:numId="14">
    <w:abstractNumId w:val="12"/>
  </w:num>
  <w:num w:numId="15">
    <w:abstractNumId w:val="20"/>
  </w:num>
  <w:num w:numId="16">
    <w:abstractNumId w:val="18"/>
  </w:num>
  <w:num w:numId="17">
    <w:abstractNumId w:val="22"/>
  </w:num>
  <w:num w:numId="18">
    <w:abstractNumId w:val="9"/>
  </w:num>
  <w:num w:numId="19">
    <w:abstractNumId w:val="4"/>
  </w:num>
  <w:num w:numId="20">
    <w:abstractNumId w:val="14"/>
  </w:num>
  <w:num w:numId="21">
    <w:abstractNumId w:val="1"/>
  </w:num>
  <w:num w:numId="22">
    <w:abstractNumId w:val="15"/>
  </w:num>
  <w:num w:numId="23">
    <w:abstractNumId w:val="13"/>
  </w:num>
  <w:num w:numId="24">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ztLAwtjS3MLQ0MDRQ0lEKTi0uzszPAykwrQUAL0A7tSwAAAA="/>
  </w:docVars>
  <w:rsids>
    <w:rsidRoot w:val="00D83851"/>
    <w:rsid w:val="000039D9"/>
    <w:rsid w:val="00056EEF"/>
    <w:rsid w:val="0007147C"/>
    <w:rsid w:val="00081642"/>
    <w:rsid w:val="00083A80"/>
    <w:rsid w:val="000845DD"/>
    <w:rsid w:val="00096991"/>
    <w:rsid w:val="000A42AA"/>
    <w:rsid w:val="000C0540"/>
    <w:rsid w:val="00114AAF"/>
    <w:rsid w:val="001203AE"/>
    <w:rsid w:val="00175153"/>
    <w:rsid w:val="001C1450"/>
    <w:rsid w:val="001F7748"/>
    <w:rsid w:val="00223920"/>
    <w:rsid w:val="00252A11"/>
    <w:rsid w:val="0027642C"/>
    <w:rsid w:val="0029357D"/>
    <w:rsid w:val="002A2856"/>
    <w:rsid w:val="003020A2"/>
    <w:rsid w:val="003038D3"/>
    <w:rsid w:val="003225CD"/>
    <w:rsid w:val="003C0800"/>
    <w:rsid w:val="003E6679"/>
    <w:rsid w:val="003F70CA"/>
    <w:rsid w:val="00455E28"/>
    <w:rsid w:val="004A25F0"/>
    <w:rsid w:val="004A4C93"/>
    <w:rsid w:val="004C4442"/>
    <w:rsid w:val="00504405"/>
    <w:rsid w:val="005151D8"/>
    <w:rsid w:val="00515546"/>
    <w:rsid w:val="005638D0"/>
    <w:rsid w:val="00584E1E"/>
    <w:rsid w:val="005A19AC"/>
    <w:rsid w:val="005D1877"/>
    <w:rsid w:val="00633320"/>
    <w:rsid w:val="00691B78"/>
    <w:rsid w:val="007067BE"/>
    <w:rsid w:val="0079530B"/>
    <w:rsid w:val="007B26B1"/>
    <w:rsid w:val="007C1270"/>
    <w:rsid w:val="00822D87"/>
    <w:rsid w:val="00846BE5"/>
    <w:rsid w:val="00857027"/>
    <w:rsid w:val="00900EEC"/>
    <w:rsid w:val="009165E9"/>
    <w:rsid w:val="00922FC4"/>
    <w:rsid w:val="009325A7"/>
    <w:rsid w:val="0095050B"/>
    <w:rsid w:val="009747D5"/>
    <w:rsid w:val="00975A60"/>
    <w:rsid w:val="009956F9"/>
    <w:rsid w:val="009B44BE"/>
    <w:rsid w:val="009F5B1B"/>
    <w:rsid w:val="00A02B0F"/>
    <w:rsid w:val="00A312D8"/>
    <w:rsid w:val="00A41080"/>
    <w:rsid w:val="00A57064"/>
    <w:rsid w:val="00B14AB6"/>
    <w:rsid w:val="00B31AC4"/>
    <w:rsid w:val="00B41483"/>
    <w:rsid w:val="00B844E8"/>
    <w:rsid w:val="00BD08AB"/>
    <w:rsid w:val="00C36E27"/>
    <w:rsid w:val="00C62531"/>
    <w:rsid w:val="00C67021"/>
    <w:rsid w:val="00CC3CF5"/>
    <w:rsid w:val="00CD4A1D"/>
    <w:rsid w:val="00D02994"/>
    <w:rsid w:val="00D03AB2"/>
    <w:rsid w:val="00D13825"/>
    <w:rsid w:val="00D83851"/>
    <w:rsid w:val="00DA20ED"/>
    <w:rsid w:val="00DC1CC5"/>
    <w:rsid w:val="00DC590C"/>
    <w:rsid w:val="00DE3D6D"/>
    <w:rsid w:val="00DF345F"/>
    <w:rsid w:val="00E162DA"/>
    <w:rsid w:val="00E90322"/>
    <w:rsid w:val="00EB61B2"/>
    <w:rsid w:val="00F03F25"/>
    <w:rsid w:val="00F53968"/>
    <w:rsid w:val="00F71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ACDC5"/>
  <w15:docId w15:val="{8DB1EF70-ACFE-4C6E-9572-55465DD88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900EEC"/>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rsid w:val="00D8385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uiPriority w:val="99"/>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 w:type="character" w:customStyle="1" w:styleId="Heading5Char">
    <w:name w:val="Heading 5 Char"/>
    <w:basedOn w:val="DefaultParagraphFont"/>
    <w:link w:val="Heading5"/>
    <w:rsid w:val="00D83851"/>
    <w:rPr>
      <w:rFonts w:asciiTheme="majorHAnsi" w:eastAsiaTheme="majorEastAsia" w:hAnsiTheme="majorHAnsi" w:cstheme="majorBidi"/>
      <w:color w:val="365F91" w:themeColor="accent1" w:themeShade="BF"/>
      <w:sz w:val="22"/>
      <w:szCs w:val="24"/>
      <w:lang w:val="en-US"/>
    </w:rPr>
  </w:style>
  <w:style w:type="paragraph" w:styleId="NormalWeb">
    <w:name w:val="Normal (Web)"/>
    <w:basedOn w:val="Normal"/>
    <w:uiPriority w:val="99"/>
    <w:unhideWhenUsed/>
    <w:rsid w:val="00D83851"/>
    <w:pPr>
      <w:spacing w:before="100" w:beforeAutospacing="1" w:after="100" w:afterAutospacing="1"/>
      <w:outlineLvl w:val="9"/>
    </w:pPr>
    <w:rPr>
      <w:rFonts w:ascii="Times New Roman" w:eastAsia="Times New Roman" w:hAnsi="Times New Roman" w:cs="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mbiaepilepsy@yahoo.co.uk" TargetMode="External"/><Relationship Id="rId13" Type="http://schemas.openxmlformats.org/officeDocument/2006/relationships/hyperlink" Target="http://www.eyecaregambia.com" TargetMode="External"/><Relationship Id="rId18" Type="http://schemas.openxmlformats.org/officeDocument/2006/relationships/hyperlink" Target="http://www.shropscommunityhealth.nhs.uk/content/doclib/12052.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stjohnsdeafgambia@hotmail.com" TargetMode="External"/><Relationship Id="rId17" Type="http://schemas.openxmlformats.org/officeDocument/2006/relationships/hyperlink" Target="https://specialneedsjungle.com/help-parents-worried-childs-development/"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parent2parent.org.nz/developmental-delay-dd-diagnosis-and-prognosis/" TargetMode="External"/><Relationship Id="rId20" Type="http://schemas.openxmlformats.org/officeDocument/2006/relationships/hyperlink" Target="https://cchp.nhs.uk/sites/default/files/Care%20Pathway%20for%20Development%20Delay%20(201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ambiadisabledsports@yahoo.co.uk"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parentcenterhub.org/dd/" TargetMode="External"/><Relationship Id="rId23" Type="http://schemas.openxmlformats.org/officeDocument/2006/relationships/footer" Target="footer2.xml"/><Relationship Id="rId10" Type="http://schemas.openxmlformats.org/officeDocument/2006/relationships/hyperlink" Target="mailto:rsodgambian@gmail.com" TargetMode="External"/><Relationship Id="rId19" Type="http://schemas.openxmlformats.org/officeDocument/2006/relationships/hyperlink" Target="https://doi.org/10.1371/journal.pmed.1002393" TargetMode="External"/><Relationship Id="rId4" Type="http://schemas.openxmlformats.org/officeDocument/2006/relationships/settings" Target="settings.xml"/><Relationship Id="rId9" Type="http://schemas.openxmlformats.org/officeDocument/2006/relationships/hyperlink" Target="mailto:geoffharthouse@yahoo.com" TargetMode="External"/><Relationship Id="rId14" Type="http://schemas.openxmlformats.org/officeDocument/2006/relationships/hyperlink" Target="mailto:info@fsfgambia.org" TargetMode="Externa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9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41B81-BC61-4ACD-9F3A-A0CE57208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Clinical guideline template 2019a</Template>
  <TotalTime>7</TotalTime>
  <Pages>10</Pages>
  <Words>2856</Words>
  <Characters>16283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9</cp:revision>
  <cp:lastPrinted>2019-05-31T09:37:00Z</cp:lastPrinted>
  <dcterms:created xsi:type="dcterms:W3CDTF">2019-05-06T16:06:00Z</dcterms:created>
  <dcterms:modified xsi:type="dcterms:W3CDTF">2019-05-31T09:37:00Z</dcterms:modified>
</cp:coreProperties>
</file>