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F5560" w14:textId="747FF70E" w:rsidR="001203AE" w:rsidRPr="003C0800" w:rsidRDefault="00CF0433" w:rsidP="00504405">
      <w:pPr>
        <w:pStyle w:val="Heading1"/>
      </w:pPr>
      <w:r>
        <w:t>Ear pain</w:t>
      </w:r>
    </w:p>
    <w:p w14:paraId="68AB0EA7" w14:textId="77777777" w:rsidR="00584E1E" w:rsidRPr="00F94418" w:rsidRDefault="00584E1E" w:rsidP="00584E1E">
      <w:pPr>
        <w:pStyle w:val="Heading2"/>
        <w:rPr>
          <w:rFonts w:cs="Arial"/>
          <w:i/>
          <w:szCs w:val="22"/>
        </w:rPr>
      </w:pPr>
      <w:r w:rsidRPr="00F94418">
        <w:rPr>
          <w:rFonts w:cs="Arial"/>
          <w:i/>
          <w:szCs w:val="22"/>
        </w:rPr>
        <w:t>Executive summary</w:t>
      </w:r>
    </w:p>
    <w:p w14:paraId="055E0127" w14:textId="77777777" w:rsidR="00584E1E" w:rsidRDefault="00584E1E" w:rsidP="00584E1E">
      <w:pPr>
        <w:pStyle w:val="Heading2"/>
        <w:rPr>
          <w:rFonts w:cs="Arial"/>
          <w:szCs w:val="22"/>
        </w:rPr>
      </w:pPr>
      <w:r w:rsidRPr="00DC590C">
        <w:rPr>
          <w:rFonts w:cs="Arial"/>
          <w:szCs w:val="22"/>
        </w:rPr>
        <w:t>Introduction</w:t>
      </w:r>
    </w:p>
    <w:p w14:paraId="025ED88A" w14:textId="20015C10" w:rsidR="00D970F9" w:rsidRDefault="00D970F9" w:rsidP="00D970F9">
      <w:pPr>
        <w:rPr>
          <w:szCs w:val="22"/>
        </w:rPr>
      </w:pPr>
      <w:r w:rsidRPr="002A5FE7">
        <w:rPr>
          <w:szCs w:val="22"/>
        </w:rPr>
        <w:t xml:space="preserve">Ear pain (or otalgia) ranks as one of the </w:t>
      </w:r>
      <w:r>
        <w:rPr>
          <w:szCs w:val="22"/>
        </w:rPr>
        <w:t>common</w:t>
      </w:r>
      <w:r w:rsidRPr="002A5FE7">
        <w:rPr>
          <w:szCs w:val="22"/>
        </w:rPr>
        <w:t xml:space="preserve"> complaints among adult</w:t>
      </w:r>
      <w:r w:rsidR="000E4BC2">
        <w:rPr>
          <w:szCs w:val="22"/>
        </w:rPr>
        <w:t>s</w:t>
      </w:r>
      <w:r w:rsidRPr="002A5FE7">
        <w:rPr>
          <w:szCs w:val="22"/>
        </w:rPr>
        <w:t xml:space="preserve"> and especially children evaluated in the primary care or emergency setting. Most patients will have one of three common diagnoses (acute otitis media, otitis externa, or otitis media with effusion) which are generally not </w:t>
      </w:r>
      <w:r>
        <w:rPr>
          <w:szCs w:val="22"/>
        </w:rPr>
        <w:t>danger</w:t>
      </w:r>
      <w:r w:rsidRPr="002A5FE7">
        <w:rPr>
          <w:szCs w:val="22"/>
        </w:rPr>
        <w:t>ous. The rare cases of more se</w:t>
      </w:r>
      <w:r>
        <w:rPr>
          <w:szCs w:val="22"/>
        </w:rPr>
        <w:t>vere</w:t>
      </w:r>
      <w:r w:rsidRPr="002A5FE7">
        <w:rPr>
          <w:szCs w:val="22"/>
        </w:rPr>
        <w:t xml:space="preserve"> disease associated with ear pain usually result from extension of </w:t>
      </w:r>
      <w:r>
        <w:rPr>
          <w:szCs w:val="22"/>
        </w:rPr>
        <w:t xml:space="preserve">the </w:t>
      </w:r>
      <w:r w:rsidRPr="002A5FE7">
        <w:rPr>
          <w:szCs w:val="22"/>
        </w:rPr>
        <w:t xml:space="preserve">ear infection to adjacent anatomic structures (e.g. mastoiditis, meningitis, malignant otitis externa, venous sinus thrombosis). </w:t>
      </w:r>
      <w:r>
        <w:rPr>
          <w:szCs w:val="22"/>
        </w:rPr>
        <w:t>A b</w:t>
      </w:r>
      <w:r w:rsidRPr="002A5FE7">
        <w:rPr>
          <w:szCs w:val="22"/>
        </w:rPr>
        <w:t>asilar skull fracture or epidural hematoma after head trauma may also present with ear pain.</w:t>
      </w:r>
    </w:p>
    <w:p w14:paraId="731318EE" w14:textId="77777777" w:rsidR="00584E1E" w:rsidRDefault="00584E1E" w:rsidP="00504405">
      <w:pPr>
        <w:pStyle w:val="Heading2"/>
        <w:rPr>
          <w:bCs/>
        </w:rPr>
      </w:pPr>
      <w:r w:rsidRPr="00612AEE">
        <w:t xml:space="preserve">Target </w:t>
      </w:r>
      <w:r>
        <w:t>u</w:t>
      </w:r>
      <w:r w:rsidRPr="00612AEE">
        <w:t>ser</w:t>
      </w:r>
      <w:r>
        <w:t>s</w:t>
      </w:r>
    </w:p>
    <w:p w14:paraId="3EB06A39" w14:textId="352E85D8" w:rsidR="00584E1E" w:rsidRDefault="00D970F9" w:rsidP="00584E1E">
      <w:pPr>
        <w:pStyle w:val="ListParagraph"/>
        <w:numPr>
          <w:ilvl w:val="0"/>
          <w:numId w:val="29"/>
        </w:numPr>
      </w:pPr>
      <w:r>
        <w:t>Doctors</w:t>
      </w:r>
    </w:p>
    <w:p w14:paraId="10E7DC82" w14:textId="29F2D78A" w:rsidR="00584E1E" w:rsidRPr="00584E1E" w:rsidRDefault="00D970F9" w:rsidP="00584E1E">
      <w:pPr>
        <w:pStyle w:val="ListParagraph"/>
        <w:numPr>
          <w:ilvl w:val="0"/>
          <w:numId w:val="29"/>
        </w:numPr>
      </w:pPr>
      <w:r>
        <w:t>Nurses</w:t>
      </w:r>
    </w:p>
    <w:p w14:paraId="2A032BDD" w14:textId="77777777" w:rsidR="00584E1E" w:rsidRDefault="00584E1E" w:rsidP="00504405">
      <w:pPr>
        <w:pStyle w:val="Heading2"/>
        <w:rPr>
          <w:bCs/>
        </w:rPr>
      </w:pPr>
      <w:r w:rsidRPr="00612AEE">
        <w:t xml:space="preserve">Target area of use </w:t>
      </w:r>
    </w:p>
    <w:p w14:paraId="56B67F72" w14:textId="010AB977" w:rsidR="00584E1E" w:rsidRDefault="00D970F9" w:rsidP="00584E1E">
      <w:pPr>
        <w:pStyle w:val="ListParagraph"/>
        <w:numPr>
          <w:ilvl w:val="0"/>
          <w:numId w:val="29"/>
        </w:numPr>
      </w:pPr>
      <w:r>
        <w:t>Gate clinic</w:t>
      </w:r>
    </w:p>
    <w:p w14:paraId="1379C248" w14:textId="3BAF2F7E" w:rsidR="00D970F9" w:rsidRDefault="00D970F9" w:rsidP="00584E1E">
      <w:pPr>
        <w:pStyle w:val="ListParagraph"/>
        <w:numPr>
          <w:ilvl w:val="0"/>
          <w:numId w:val="29"/>
        </w:numPr>
      </w:pPr>
      <w:r>
        <w:t>Outpatient department</w:t>
      </w:r>
    </w:p>
    <w:p w14:paraId="3244212A" w14:textId="7A8E3487" w:rsidR="00584E1E" w:rsidRPr="00584E1E" w:rsidRDefault="00D970F9" w:rsidP="00584E1E">
      <w:pPr>
        <w:pStyle w:val="ListParagraph"/>
        <w:numPr>
          <w:ilvl w:val="0"/>
          <w:numId w:val="29"/>
        </w:numPr>
      </w:pPr>
      <w:r>
        <w:t>Ward</w:t>
      </w:r>
    </w:p>
    <w:p w14:paraId="7AB91F8C"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2AFC2F27" w14:textId="71A56E95" w:rsidR="00584E1E" w:rsidRPr="00584E1E" w:rsidRDefault="00D970F9" w:rsidP="00504405">
      <w:pPr>
        <w:rPr>
          <w:b/>
        </w:rPr>
      </w:pPr>
      <w:r>
        <w:t xml:space="preserve">This guideline outlines the differential diagnosis of ear pain and an approach to diagnosis. Management of common problems not addressed in other guidelines is briefly outlined. </w:t>
      </w:r>
    </w:p>
    <w:p w14:paraId="27A9B739" w14:textId="77777777" w:rsidR="00584E1E" w:rsidRDefault="00584E1E" w:rsidP="00504405">
      <w:pPr>
        <w:pStyle w:val="Heading2"/>
      </w:pPr>
      <w:r w:rsidRPr="00504405">
        <w:t>Limitations</w:t>
      </w:r>
    </w:p>
    <w:p w14:paraId="34E6C732" w14:textId="2108E8C9" w:rsidR="00584E1E" w:rsidRPr="00504405" w:rsidRDefault="00D970F9" w:rsidP="00584E1E">
      <w:pPr>
        <w:rPr>
          <w:b/>
        </w:rPr>
      </w:pPr>
      <w:r>
        <w:t xml:space="preserve">Problems requiring surgical input will need referral elsewhere. </w:t>
      </w:r>
    </w:p>
    <w:p w14:paraId="14749991" w14:textId="77777777" w:rsidR="00584E1E" w:rsidRDefault="00584E1E">
      <w:pPr>
        <w:spacing w:after="0"/>
        <w:outlineLvl w:val="9"/>
        <w:rPr>
          <w:b/>
          <w:sz w:val="24"/>
          <w:szCs w:val="22"/>
        </w:rPr>
      </w:pPr>
      <w:r>
        <w:rPr>
          <w:szCs w:val="22"/>
        </w:rPr>
        <w:br w:type="page"/>
      </w:r>
    </w:p>
    <w:p w14:paraId="6D24D1EB" w14:textId="38960B53" w:rsidR="00D970F9" w:rsidRDefault="00D970F9" w:rsidP="00975A60">
      <w:pPr>
        <w:pStyle w:val="Heading2"/>
        <w:rPr>
          <w:rFonts w:cs="Arial"/>
          <w:szCs w:val="22"/>
        </w:rPr>
      </w:pPr>
      <w:r>
        <w:rPr>
          <w:rFonts w:cs="Arial"/>
          <w:szCs w:val="22"/>
        </w:rPr>
        <w:lastRenderedPageBreak/>
        <w:t>Common causes of ear pain</w:t>
      </w:r>
    </w:p>
    <w:p w14:paraId="6AE1404C" w14:textId="3F8D455B" w:rsidR="00D970F9" w:rsidRDefault="00D970F9" w:rsidP="00D970F9">
      <w:pPr>
        <w:rPr>
          <w:szCs w:val="22"/>
        </w:rPr>
      </w:pPr>
      <w:r>
        <w:t xml:space="preserve">The causes of ear pain can be </w:t>
      </w:r>
      <w:r w:rsidRPr="002A5FE7">
        <w:rPr>
          <w:szCs w:val="22"/>
        </w:rPr>
        <w:t>categori</w:t>
      </w:r>
      <w:r>
        <w:rPr>
          <w:szCs w:val="22"/>
        </w:rPr>
        <w:t>s</w:t>
      </w:r>
      <w:r w:rsidRPr="002A5FE7">
        <w:rPr>
          <w:szCs w:val="22"/>
        </w:rPr>
        <w:t>ed by the anatomic site from which the pain originates</w:t>
      </w:r>
      <w:r>
        <w:rPr>
          <w:szCs w:val="22"/>
        </w:rPr>
        <w:t>:</w:t>
      </w:r>
    </w:p>
    <w:tbl>
      <w:tblPr>
        <w:tblStyle w:val="TableGrid"/>
        <w:tblW w:w="8642" w:type="dxa"/>
        <w:jc w:val="center"/>
        <w:tblLook w:val="04A0" w:firstRow="1" w:lastRow="0" w:firstColumn="1" w:lastColumn="0" w:noHBand="0" w:noVBand="1"/>
      </w:tblPr>
      <w:tblGrid>
        <w:gridCol w:w="2880"/>
        <w:gridCol w:w="2881"/>
        <w:gridCol w:w="2881"/>
      </w:tblGrid>
      <w:tr w:rsidR="00D970F9" w14:paraId="2E7D7DA6" w14:textId="77777777" w:rsidTr="00E52020">
        <w:trPr>
          <w:trHeight w:val="251"/>
          <w:jc w:val="center"/>
        </w:trPr>
        <w:tc>
          <w:tcPr>
            <w:tcW w:w="2880" w:type="dxa"/>
          </w:tcPr>
          <w:p w14:paraId="5C1A8CC9" w14:textId="5CC3F827" w:rsidR="00D970F9" w:rsidRPr="00D970F9" w:rsidRDefault="00D970F9" w:rsidP="000E4BC2">
            <w:pPr>
              <w:rPr>
                <w:b/>
                <w:szCs w:val="22"/>
              </w:rPr>
            </w:pPr>
            <w:r>
              <w:rPr>
                <w:b/>
                <w:szCs w:val="22"/>
              </w:rPr>
              <w:t>Auricle</w:t>
            </w:r>
          </w:p>
        </w:tc>
        <w:tc>
          <w:tcPr>
            <w:tcW w:w="2881" w:type="dxa"/>
          </w:tcPr>
          <w:p w14:paraId="0197DFCD" w14:textId="77777777" w:rsidR="00D970F9" w:rsidRPr="00D970F9" w:rsidRDefault="00D970F9" w:rsidP="000E4BC2">
            <w:pPr>
              <w:rPr>
                <w:b/>
                <w:szCs w:val="22"/>
              </w:rPr>
            </w:pPr>
            <w:r w:rsidRPr="00D970F9">
              <w:rPr>
                <w:b/>
                <w:szCs w:val="22"/>
              </w:rPr>
              <w:t>Diseases of the ear canal</w:t>
            </w:r>
          </w:p>
        </w:tc>
        <w:tc>
          <w:tcPr>
            <w:tcW w:w="2881" w:type="dxa"/>
          </w:tcPr>
          <w:p w14:paraId="3A717AB6" w14:textId="77777777" w:rsidR="00D970F9" w:rsidRPr="00D970F9" w:rsidRDefault="00D970F9" w:rsidP="000E4BC2">
            <w:pPr>
              <w:rPr>
                <w:b/>
                <w:szCs w:val="22"/>
              </w:rPr>
            </w:pPr>
            <w:r w:rsidRPr="00D970F9">
              <w:rPr>
                <w:b/>
                <w:szCs w:val="22"/>
              </w:rPr>
              <w:t>Diseases of the middle and inner ear</w:t>
            </w:r>
          </w:p>
        </w:tc>
      </w:tr>
      <w:tr w:rsidR="00D970F9" w14:paraId="41571761" w14:textId="77777777" w:rsidTr="00E52020">
        <w:trPr>
          <w:trHeight w:val="1372"/>
          <w:jc w:val="center"/>
        </w:trPr>
        <w:tc>
          <w:tcPr>
            <w:tcW w:w="2880" w:type="dxa"/>
          </w:tcPr>
          <w:p w14:paraId="78EBD274" w14:textId="285EB1BE" w:rsidR="00D970F9" w:rsidRPr="00D970F9" w:rsidRDefault="00D970F9" w:rsidP="000E4BC2">
            <w:pPr>
              <w:rPr>
                <w:szCs w:val="22"/>
              </w:rPr>
            </w:pPr>
            <w:r>
              <w:rPr>
                <w:szCs w:val="22"/>
              </w:rPr>
              <w:t>Auricular haematoma or abrasions and lacerations – may suggest underlying b</w:t>
            </w:r>
            <w:r w:rsidRPr="00D970F9">
              <w:rPr>
                <w:szCs w:val="22"/>
              </w:rPr>
              <w:t>asilar skull fracture</w:t>
            </w:r>
          </w:p>
          <w:p w14:paraId="7DC6BC92" w14:textId="77777777" w:rsidR="00D970F9" w:rsidRDefault="00D970F9" w:rsidP="000E4BC2">
            <w:pPr>
              <w:rPr>
                <w:szCs w:val="22"/>
              </w:rPr>
            </w:pPr>
            <w:r>
              <w:rPr>
                <w:szCs w:val="22"/>
              </w:rPr>
              <w:t>Cellulitis</w:t>
            </w:r>
          </w:p>
          <w:p w14:paraId="1F4A0CF8" w14:textId="16A48C62" w:rsidR="00D970F9" w:rsidRPr="00D970F9" w:rsidRDefault="00D970F9" w:rsidP="000E4BC2">
            <w:pPr>
              <w:rPr>
                <w:szCs w:val="22"/>
              </w:rPr>
            </w:pPr>
            <w:r>
              <w:rPr>
                <w:szCs w:val="22"/>
              </w:rPr>
              <w:t>Herpes zoster oticus</w:t>
            </w:r>
          </w:p>
        </w:tc>
        <w:tc>
          <w:tcPr>
            <w:tcW w:w="2881" w:type="dxa"/>
          </w:tcPr>
          <w:p w14:paraId="681BF875" w14:textId="41AA57CE" w:rsidR="00D970F9" w:rsidRDefault="00D970F9" w:rsidP="000E4BC2">
            <w:pPr>
              <w:rPr>
                <w:szCs w:val="22"/>
              </w:rPr>
            </w:pPr>
            <w:r w:rsidRPr="00D970F9">
              <w:rPr>
                <w:szCs w:val="22"/>
              </w:rPr>
              <w:t>Otitis externa</w:t>
            </w:r>
          </w:p>
          <w:p w14:paraId="3EF74943" w14:textId="1499C4DF" w:rsidR="00D970F9" w:rsidRPr="00D970F9" w:rsidRDefault="00D970F9" w:rsidP="000E4BC2">
            <w:pPr>
              <w:rPr>
                <w:szCs w:val="22"/>
              </w:rPr>
            </w:pPr>
            <w:r>
              <w:rPr>
                <w:szCs w:val="22"/>
              </w:rPr>
              <w:t>Furuncle in ear canal</w:t>
            </w:r>
          </w:p>
          <w:p w14:paraId="1417A129" w14:textId="77777777" w:rsidR="00D970F9" w:rsidRPr="00D970F9" w:rsidRDefault="00D970F9" w:rsidP="000E4BC2">
            <w:pPr>
              <w:rPr>
                <w:szCs w:val="22"/>
              </w:rPr>
            </w:pPr>
            <w:r w:rsidRPr="00D970F9">
              <w:rPr>
                <w:szCs w:val="22"/>
              </w:rPr>
              <w:t>Cerumen Impaction</w:t>
            </w:r>
          </w:p>
          <w:p w14:paraId="76E03A64" w14:textId="698E50A6" w:rsidR="00D970F9" w:rsidRPr="00D970F9" w:rsidRDefault="00D970F9" w:rsidP="000E4BC2">
            <w:pPr>
              <w:rPr>
                <w:szCs w:val="22"/>
              </w:rPr>
            </w:pPr>
            <w:r w:rsidRPr="00D970F9">
              <w:rPr>
                <w:szCs w:val="22"/>
              </w:rPr>
              <w:t>Foreign bodies</w:t>
            </w:r>
          </w:p>
        </w:tc>
        <w:tc>
          <w:tcPr>
            <w:tcW w:w="2881" w:type="dxa"/>
          </w:tcPr>
          <w:p w14:paraId="0584B162" w14:textId="2B7887EB" w:rsidR="00D970F9" w:rsidRPr="00D970F9" w:rsidRDefault="00D970F9" w:rsidP="000E4BC2">
            <w:pPr>
              <w:rPr>
                <w:szCs w:val="22"/>
              </w:rPr>
            </w:pPr>
            <w:r w:rsidRPr="00D970F9">
              <w:rPr>
                <w:szCs w:val="22"/>
              </w:rPr>
              <w:t>Traumatic perforation of the TM</w:t>
            </w:r>
            <w:r w:rsidR="00C63F8F">
              <w:rPr>
                <w:szCs w:val="22"/>
              </w:rPr>
              <w:t xml:space="preserve"> (tympanic membrane)</w:t>
            </w:r>
          </w:p>
          <w:p w14:paraId="70BB4952" w14:textId="4B4B7E89" w:rsidR="00D970F9" w:rsidRPr="00D970F9" w:rsidRDefault="00D970F9" w:rsidP="000E4BC2">
            <w:pPr>
              <w:rPr>
                <w:szCs w:val="22"/>
              </w:rPr>
            </w:pPr>
            <w:r w:rsidRPr="00D970F9">
              <w:rPr>
                <w:szCs w:val="22"/>
              </w:rPr>
              <w:t>Acute otitis media</w:t>
            </w:r>
          </w:p>
          <w:p w14:paraId="132D064B" w14:textId="1742BDD2" w:rsidR="00D970F9" w:rsidRPr="00D970F9" w:rsidRDefault="00D970F9" w:rsidP="000E4BC2">
            <w:pPr>
              <w:rPr>
                <w:szCs w:val="22"/>
              </w:rPr>
            </w:pPr>
            <w:r w:rsidRPr="00D970F9">
              <w:rPr>
                <w:szCs w:val="22"/>
              </w:rPr>
              <w:t>Cholesteatoma</w:t>
            </w:r>
          </w:p>
        </w:tc>
      </w:tr>
    </w:tbl>
    <w:p w14:paraId="765834DF" w14:textId="7F7DDC7C" w:rsidR="00D970F9" w:rsidRPr="00674730" w:rsidRDefault="00D970F9" w:rsidP="00E52020">
      <w:pPr>
        <w:spacing w:before="240"/>
        <w:rPr>
          <w:szCs w:val="22"/>
        </w:rPr>
      </w:pPr>
      <w:r>
        <w:rPr>
          <w:szCs w:val="22"/>
        </w:rPr>
        <w:t>Pain may also originate outside the ear</w:t>
      </w:r>
      <w:r w:rsidR="00527062">
        <w:rPr>
          <w:szCs w:val="22"/>
        </w:rPr>
        <w:t>,</w:t>
      </w:r>
      <w:r>
        <w:rPr>
          <w:szCs w:val="22"/>
        </w:rPr>
        <w:t xml:space="preserve"> known as secondary otalgia</w:t>
      </w:r>
      <w:r w:rsidR="00D763DF">
        <w:rPr>
          <w:szCs w:val="22"/>
        </w:rPr>
        <w:t>. T</w:t>
      </w:r>
      <w:r w:rsidR="00527062">
        <w:rPr>
          <w:szCs w:val="22"/>
        </w:rPr>
        <w:t>he</w:t>
      </w:r>
      <w:r w:rsidRPr="00674730">
        <w:rPr>
          <w:szCs w:val="22"/>
        </w:rPr>
        <w:t xml:space="preserve"> referred pain arises from nerves that partially innervate the auricle or external auditory canal and include spinal nerves C2 and C3 and cranial nerves V, VII, IX, and X.</w:t>
      </w:r>
    </w:p>
    <w:p w14:paraId="1BA3D30F" w14:textId="77777777" w:rsidR="00D970F9" w:rsidRPr="00674730" w:rsidRDefault="00D970F9" w:rsidP="00D970F9">
      <w:pPr>
        <w:rPr>
          <w:szCs w:val="22"/>
        </w:rPr>
      </w:pPr>
      <w:r>
        <w:rPr>
          <w:szCs w:val="22"/>
        </w:rPr>
        <w:t xml:space="preserve">Two </w:t>
      </w:r>
      <w:r w:rsidRPr="00674730">
        <w:rPr>
          <w:szCs w:val="22"/>
        </w:rPr>
        <w:t>common examples include:</w:t>
      </w:r>
    </w:p>
    <w:p w14:paraId="76E4A59C" w14:textId="77777777" w:rsidR="00D970F9" w:rsidRPr="00674730" w:rsidRDefault="00D970F9" w:rsidP="00D970F9">
      <w:pPr>
        <w:pStyle w:val="ListParagraph"/>
        <w:numPr>
          <w:ilvl w:val="0"/>
          <w:numId w:val="33"/>
        </w:numPr>
      </w:pPr>
      <w:r w:rsidRPr="00674730">
        <w:t xml:space="preserve">Parotitis — Parotid gland disorders cause pain just inferior to the ear. On examination, swelling and tenderness of this region will be evident, occasionally with overlying redness. </w:t>
      </w:r>
    </w:p>
    <w:p w14:paraId="3CB25698" w14:textId="77777777" w:rsidR="00D970F9" w:rsidRPr="00674730" w:rsidRDefault="00D970F9" w:rsidP="00D970F9">
      <w:pPr>
        <w:pStyle w:val="ListParagraph"/>
        <w:numPr>
          <w:ilvl w:val="0"/>
          <w:numId w:val="33"/>
        </w:numPr>
      </w:pPr>
      <w:r w:rsidRPr="00D970F9">
        <w:rPr>
          <w:bCs/>
        </w:rPr>
        <w:t>Temporomandibular joint (TMJ) dysfunction syndrome</w:t>
      </w:r>
      <w:r w:rsidRPr="00674730">
        <w:t xml:space="preserve"> — Dysfunction of the temporal mandibular joint (TMJ) is common in children over 10 years of age. </w:t>
      </w:r>
    </w:p>
    <w:p w14:paraId="5833FF54" w14:textId="13B3917E" w:rsidR="00975A60" w:rsidRDefault="00975A60" w:rsidP="00D970F9">
      <w:pPr>
        <w:pStyle w:val="Heading2"/>
      </w:pPr>
      <w:r w:rsidRPr="00DC590C">
        <w:t>Presenting symptoms and signs</w:t>
      </w:r>
    </w:p>
    <w:p w14:paraId="70DB1D64" w14:textId="77777777" w:rsidR="00D970F9" w:rsidRPr="002A5FE7" w:rsidRDefault="00D970F9" w:rsidP="00D970F9">
      <w:pPr>
        <w:pStyle w:val="ListParagraph"/>
        <w:numPr>
          <w:ilvl w:val="0"/>
          <w:numId w:val="31"/>
        </w:numPr>
      </w:pPr>
      <w:r w:rsidRPr="002A5FE7">
        <w:t>Fever: common in minor illnesses, such as uncomplicated otitis media and upper respiratory infection with associated otitis media with effusion</w:t>
      </w:r>
    </w:p>
    <w:p w14:paraId="21036CCE" w14:textId="77777777" w:rsidR="00D970F9" w:rsidRPr="002A5FE7" w:rsidRDefault="00D970F9" w:rsidP="00D970F9">
      <w:pPr>
        <w:pStyle w:val="ListParagraph"/>
        <w:numPr>
          <w:ilvl w:val="0"/>
          <w:numId w:val="31"/>
        </w:numPr>
      </w:pPr>
      <w:r w:rsidRPr="002A5FE7">
        <w:t>Nasal congestion</w:t>
      </w:r>
    </w:p>
    <w:p w14:paraId="1B71EED5" w14:textId="77777777" w:rsidR="00D970F9" w:rsidRPr="002A5FE7" w:rsidRDefault="00D970F9" w:rsidP="00D970F9">
      <w:pPr>
        <w:pStyle w:val="ListParagraph"/>
        <w:numPr>
          <w:ilvl w:val="0"/>
          <w:numId w:val="31"/>
        </w:numPr>
      </w:pPr>
      <w:r w:rsidRPr="002A5FE7">
        <w:t>Ear discharge</w:t>
      </w:r>
    </w:p>
    <w:p w14:paraId="7CE42C9B" w14:textId="77777777" w:rsidR="00D970F9" w:rsidRDefault="00D970F9" w:rsidP="00D970F9">
      <w:pPr>
        <w:pStyle w:val="ListParagraph"/>
        <w:numPr>
          <w:ilvl w:val="0"/>
          <w:numId w:val="31"/>
        </w:numPr>
      </w:pPr>
      <w:r w:rsidRPr="002A5FE7">
        <w:t>Decreased hearing</w:t>
      </w:r>
    </w:p>
    <w:p w14:paraId="58901E3C" w14:textId="77777777" w:rsidR="00D970F9" w:rsidRPr="002A5FE7" w:rsidRDefault="00D970F9" w:rsidP="00D970F9">
      <w:pPr>
        <w:pStyle w:val="ListParagraph"/>
        <w:numPr>
          <w:ilvl w:val="0"/>
          <w:numId w:val="31"/>
        </w:numPr>
      </w:pPr>
      <w:r>
        <w:t xml:space="preserve">Dysphagia, odynophagia and jaw pain </w:t>
      </w:r>
      <w:r w:rsidRPr="002A5FE7">
        <w:t>especially in children</w:t>
      </w:r>
    </w:p>
    <w:p w14:paraId="2BE4BB3D" w14:textId="77777777" w:rsidR="00D970F9" w:rsidRPr="002A5FE7" w:rsidRDefault="00D970F9" w:rsidP="00D970F9">
      <w:pPr>
        <w:pStyle w:val="ListParagraph"/>
        <w:numPr>
          <w:ilvl w:val="0"/>
          <w:numId w:val="31"/>
        </w:numPr>
      </w:pPr>
      <w:r w:rsidRPr="002A5FE7">
        <w:t>Nausea, vomiting, focal neurologic complaints, or seizures, all of which may suggest intracranial injury</w:t>
      </w:r>
    </w:p>
    <w:p w14:paraId="36832CDE" w14:textId="77777777" w:rsidR="00D970F9" w:rsidRDefault="00D970F9">
      <w:pPr>
        <w:spacing w:after="0"/>
        <w:outlineLvl w:val="9"/>
        <w:rPr>
          <w:b/>
          <w:sz w:val="24"/>
          <w:szCs w:val="22"/>
        </w:rPr>
      </w:pPr>
      <w:r>
        <w:rPr>
          <w:szCs w:val="22"/>
        </w:rPr>
        <w:br w:type="page"/>
      </w:r>
    </w:p>
    <w:p w14:paraId="7698C905" w14:textId="61ACA001" w:rsidR="00975A60" w:rsidRPr="00DC590C" w:rsidRDefault="00975A60" w:rsidP="00975A60">
      <w:pPr>
        <w:pStyle w:val="Heading2"/>
        <w:rPr>
          <w:rFonts w:cs="Arial"/>
          <w:szCs w:val="22"/>
        </w:rPr>
      </w:pPr>
      <w:r w:rsidRPr="00DC590C">
        <w:rPr>
          <w:rFonts w:cs="Arial"/>
          <w:szCs w:val="22"/>
        </w:rPr>
        <w:lastRenderedPageBreak/>
        <w:t>Examination findings</w:t>
      </w:r>
    </w:p>
    <w:p w14:paraId="5E64AAB8" w14:textId="7DAEA706" w:rsidR="001203AE" w:rsidRDefault="00D970F9" w:rsidP="002A2856">
      <w:pPr>
        <w:rPr>
          <w:szCs w:val="22"/>
        </w:rPr>
      </w:pPr>
      <w:r w:rsidRPr="00D513DA">
        <w:rPr>
          <w:szCs w:val="22"/>
        </w:rPr>
        <w:t>A</w:t>
      </w:r>
      <w:r>
        <w:rPr>
          <w:szCs w:val="22"/>
        </w:rPr>
        <w:t>n a</w:t>
      </w:r>
      <w:r w:rsidRPr="00D513DA">
        <w:rPr>
          <w:szCs w:val="22"/>
        </w:rPr>
        <w:t>ttempt should be made</w:t>
      </w:r>
      <w:r>
        <w:rPr>
          <w:szCs w:val="22"/>
        </w:rPr>
        <w:t xml:space="preserve"> to examine the ear, including otoscopy when necessary.</w:t>
      </w:r>
    </w:p>
    <w:p w14:paraId="304A7D61" w14:textId="4AAE7946" w:rsidR="00D970F9" w:rsidRDefault="00D970F9" w:rsidP="002A2856">
      <w:r>
        <w:t>The findings will help you make a diagnosis as outlined below:</w:t>
      </w:r>
    </w:p>
    <w:p w14:paraId="10EA19B7" w14:textId="692A1CC9" w:rsidR="00D970F9" w:rsidRDefault="00D47EF5" w:rsidP="002A2856">
      <w:bookmarkStart w:id="0" w:name="_GoBack"/>
      <w:r>
        <w:rPr>
          <w:noProof/>
          <w:lang w:val="en-GB" w:eastAsia="en-GB"/>
        </w:rPr>
        <w:drawing>
          <wp:inline distT="0" distB="0" distL="0" distR="0" wp14:anchorId="0F9F2BFB" wp14:editId="234FB068">
            <wp:extent cx="4591691" cy="358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_pain_image001.png"/>
                    <pic:cNvPicPr/>
                  </pic:nvPicPr>
                  <pic:blipFill>
                    <a:blip r:embed="rId7">
                      <a:extLst>
                        <a:ext uri="{28A0092B-C50C-407E-A947-70E740481C1C}">
                          <a14:useLocalDpi xmlns:a14="http://schemas.microsoft.com/office/drawing/2010/main" val="0"/>
                        </a:ext>
                      </a:extLst>
                    </a:blip>
                    <a:stretch>
                      <a:fillRect/>
                    </a:stretch>
                  </pic:blipFill>
                  <pic:spPr>
                    <a:xfrm>
                      <a:off x="0" y="0"/>
                      <a:ext cx="4591691" cy="3581900"/>
                    </a:xfrm>
                    <a:prstGeom prst="rect">
                      <a:avLst/>
                    </a:prstGeom>
                  </pic:spPr>
                </pic:pic>
              </a:graphicData>
            </a:graphic>
          </wp:inline>
        </w:drawing>
      </w:r>
      <w:bookmarkEnd w:id="0"/>
    </w:p>
    <w:p w14:paraId="4722ECD9" w14:textId="77777777" w:rsidR="00D970F9" w:rsidRPr="002C1842" w:rsidRDefault="00D970F9" w:rsidP="00D970F9">
      <w:pPr>
        <w:pStyle w:val="Heading2"/>
        <w:rPr>
          <w:rFonts w:ascii="Times New Roman" w:hAnsi="Times New Roman"/>
        </w:rPr>
      </w:pPr>
      <w:r w:rsidRPr="002C1842">
        <w:t>Investigations</w:t>
      </w:r>
    </w:p>
    <w:p w14:paraId="379F2D7B" w14:textId="6159E854" w:rsidR="00D970F9" w:rsidRDefault="00D970F9" w:rsidP="00D970F9">
      <w:pPr>
        <w:pStyle w:val="Heading2"/>
        <w:rPr>
          <w:rFonts w:cs="Arial"/>
          <w:b w:val="0"/>
          <w:bCs/>
          <w:sz w:val="22"/>
          <w:szCs w:val="22"/>
        </w:rPr>
      </w:pPr>
      <w:r w:rsidRPr="002C4274">
        <w:rPr>
          <w:rFonts w:cs="Arial"/>
          <w:b w:val="0"/>
          <w:bCs/>
          <w:sz w:val="22"/>
          <w:szCs w:val="22"/>
        </w:rPr>
        <w:t>In most routine cases of ear pain, laboratory investigations are not necessary</w:t>
      </w:r>
      <w:r>
        <w:rPr>
          <w:rFonts w:cs="Arial"/>
          <w:b w:val="0"/>
          <w:bCs/>
          <w:sz w:val="22"/>
          <w:szCs w:val="22"/>
        </w:rPr>
        <w:t>, h</w:t>
      </w:r>
      <w:r w:rsidRPr="002C4274">
        <w:rPr>
          <w:rFonts w:cs="Arial"/>
          <w:b w:val="0"/>
          <w:bCs/>
          <w:sz w:val="22"/>
          <w:szCs w:val="22"/>
        </w:rPr>
        <w:t xml:space="preserve">owever, </w:t>
      </w:r>
      <w:r>
        <w:rPr>
          <w:rFonts w:cs="Arial"/>
          <w:b w:val="0"/>
          <w:bCs/>
          <w:sz w:val="22"/>
          <w:szCs w:val="22"/>
        </w:rPr>
        <w:t>investigations</w:t>
      </w:r>
      <w:r w:rsidRPr="002C4274">
        <w:rPr>
          <w:rFonts w:cs="Arial"/>
          <w:b w:val="0"/>
          <w:bCs/>
          <w:sz w:val="22"/>
          <w:szCs w:val="22"/>
        </w:rPr>
        <w:t xml:space="preserve"> may be appropriate in cases where more serious diagnoses are suspected. Some of which may include</w:t>
      </w:r>
      <w:r>
        <w:rPr>
          <w:rFonts w:cs="Arial"/>
          <w:b w:val="0"/>
          <w:bCs/>
          <w:sz w:val="22"/>
          <w:szCs w:val="22"/>
        </w:rPr>
        <w:t>:</w:t>
      </w:r>
    </w:p>
    <w:p w14:paraId="6D4889A3" w14:textId="108D4714" w:rsidR="00D970F9" w:rsidRPr="00D970F9" w:rsidRDefault="00D970F9" w:rsidP="00D970F9">
      <w:pPr>
        <w:pStyle w:val="ListParagraph"/>
        <w:numPr>
          <w:ilvl w:val="0"/>
          <w:numId w:val="35"/>
        </w:numPr>
        <w:rPr>
          <w:bCs/>
        </w:rPr>
      </w:pPr>
      <w:r>
        <w:t xml:space="preserve">FBC </w:t>
      </w:r>
      <w:r w:rsidRPr="002C4274">
        <w:t xml:space="preserve">and </w:t>
      </w:r>
      <w:r>
        <w:t>ESR</w:t>
      </w:r>
      <w:r w:rsidRPr="002C4274">
        <w:t xml:space="preserve"> </w:t>
      </w:r>
    </w:p>
    <w:p w14:paraId="12D5217D" w14:textId="77777777" w:rsidR="00D970F9" w:rsidRPr="002C4274" w:rsidRDefault="00D970F9" w:rsidP="00D970F9">
      <w:pPr>
        <w:pStyle w:val="ListParagraph"/>
        <w:numPr>
          <w:ilvl w:val="0"/>
          <w:numId w:val="35"/>
        </w:numPr>
      </w:pPr>
      <w:r w:rsidRPr="002C4274">
        <w:t>Bacterial or fungal culture of ear drainage</w:t>
      </w:r>
      <w:r>
        <w:t>: R</w:t>
      </w:r>
      <w:r w:rsidRPr="002C4274">
        <w:t>eserved for patients with severe external otitis associated with periauricular cellulitis or fever.</w:t>
      </w:r>
    </w:p>
    <w:p w14:paraId="157261D9" w14:textId="095E96AC" w:rsidR="00D970F9" w:rsidRPr="002C4274" w:rsidRDefault="00D970F9" w:rsidP="00D970F9">
      <w:pPr>
        <w:pStyle w:val="ListParagraph"/>
        <w:numPr>
          <w:ilvl w:val="0"/>
          <w:numId w:val="35"/>
        </w:numPr>
      </w:pPr>
      <w:r w:rsidRPr="002C4274">
        <w:t xml:space="preserve">Blood culture – </w:t>
      </w:r>
      <w:r>
        <w:t>i</w:t>
      </w:r>
      <w:r w:rsidRPr="002C4274">
        <w:t>f bacteraemia is suspected</w:t>
      </w:r>
      <w:r>
        <w:t>.</w:t>
      </w:r>
    </w:p>
    <w:p w14:paraId="60208677" w14:textId="1F912006" w:rsidR="00D970F9" w:rsidRPr="006443E0" w:rsidRDefault="00D970F9" w:rsidP="00D970F9">
      <w:pPr>
        <w:pStyle w:val="ListParagraph"/>
        <w:numPr>
          <w:ilvl w:val="0"/>
          <w:numId w:val="35"/>
        </w:numPr>
      </w:pPr>
      <w:r w:rsidRPr="002C4274">
        <w:t>Lumbar puncture especially in children with signs of meningitis</w:t>
      </w:r>
      <w:r w:rsidR="000E4BC2">
        <w:t xml:space="preserve"> (A CT should be </w:t>
      </w:r>
      <w:r w:rsidR="00E52020">
        <w:t>considered</w:t>
      </w:r>
      <w:r w:rsidR="000E4BC2">
        <w:t xml:space="preserve"> to exclude a brain abscess in such </w:t>
      </w:r>
      <w:r w:rsidR="00567CB9">
        <w:t>patients</w:t>
      </w:r>
      <w:r w:rsidR="000E4BC2">
        <w:t>)</w:t>
      </w:r>
      <w:r>
        <w:t>.</w:t>
      </w:r>
    </w:p>
    <w:p w14:paraId="56F62FE1" w14:textId="77777777" w:rsidR="00F03F25" w:rsidRPr="002A2856" w:rsidRDefault="001203AE" w:rsidP="002A2856">
      <w:pPr>
        <w:pStyle w:val="Heading2"/>
        <w:rPr>
          <w:rFonts w:cs="Arial"/>
          <w:szCs w:val="22"/>
        </w:rPr>
      </w:pPr>
      <w:r w:rsidRPr="003C0800">
        <w:rPr>
          <w:rFonts w:cs="Arial"/>
          <w:szCs w:val="22"/>
        </w:rPr>
        <w:t>Management</w:t>
      </w:r>
      <w:r>
        <w:rPr>
          <w:rFonts w:cs="Arial"/>
          <w:szCs w:val="22"/>
        </w:rPr>
        <w:t xml:space="preserve"> </w:t>
      </w:r>
    </w:p>
    <w:p w14:paraId="165D59ED" w14:textId="76774156" w:rsidR="00D970F9" w:rsidRDefault="00D970F9" w:rsidP="00F03F25">
      <w:pPr>
        <w:rPr>
          <w:szCs w:val="22"/>
        </w:rPr>
      </w:pPr>
      <w:r>
        <w:rPr>
          <w:szCs w:val="22"/>
        </w:rPr>
        <w:t>Management will depend on the diagnosis made:</w:t>
      </w:r>
    </w:p>
    <w:p w14:paraId="0AFD91BE" w14:textId="6DD72BA7" w:rsidR="00F03F25" w:rsidRDefault="00D970F9" w:rsidP="00D970F9">
      <w:pPr>
        <w:pStyle w:val="Heading3"/>
      </w:pPr>
      <w:r>
        <w:t>Otitis externa</w:t>
      </w:r>
    </w:p>
    <w:p w14:paraId="72B28E31" w14:textId="62456AEA" w:rsidR="00D970F9" w:rsidRPr="00D970F9" w:rsidRDefault="00D970F9" w:rsidP="00C63F8F">
      <w:pPr>
        <w:pStyle w:val="ListParagraph"/>
        <w:numPr>
          <w:ilvl w:val="0"/>
          <w:numId w:val="39"/>
        </w:numPr>
        <w:rPr>
          <w:lang w:eastAsia="en-GB"/>
        </w:rPr>
      </w:pPr>
      <w:r w:rsidRPr="00D970F9">
        <w:rPr>
          <w:lang w:eastAsia="en-GB"/>
        </w:rPr>
        <w:t>Topical - Ciprofloxacin 0.2% otic solution (</w:t>
      </w:r>
      <w:r w:rsidR="000E4BC2">
        <w:rPr>
          <w:lang w:eastAsia="en-GB"/>
        </w:rPr>
        <w:t xml:space="preserve">alone </w:t>
      </w:r>
      <w:r w:rsidRPr="00D970F9">
        <w:rPr>
          <w:lang w:eastAsia="en-GB"/>
        </w:rPr>
        <w:t>or in combination with dexamethasone 0.1% otic suspension</w:t>
      </w:r>
      <w:r w:rsidR="00825648">
        <w:rPr>
          <w:lang w:eastAsia="en-GB"/>
        </w:rPr>
        <w:t>)</w:t>
      </w:r>
      <w:r w:rsidRPr="00D970F9">
        <w:rPr>
          <w:lang w:eastAsia="en-GB"/>
        </w:rPr>
        <w:t xml:space="preserve"> 3-4 drops BD in adult and children for up to 3 days after cessation of symptoms.</w:t>
      </w:r>
    </w:p>
    <w:p w14:paraId="503C6A10" w14:textId="22FF85D4" w:rsidR="00D970F9" w:rsidRPr="00D763DF" w:rsidRDefault="00D970F9" w:rsidP="00D763DF">
      <w:r w:rsidRPr="00F31B5E">
        <w:rPr>
          <w:lang w:eastAsia="en-GB"/>
        </w:rPr>
        <w:lastRenderedPageBreak/>
        <w:t>The major components of managing external otitis include cleaning the ear canal, treating inflammation and infection, and pain control. To aid the absorption of antibiotics, a cotton wick may be placed in the affected ear after antibiotic application.</w:t>
      </w:r>
    </w:p>
    <w:p w14:paraId="0BB16986" w14:textId="38BDD1C3" w:rsidR="00D970F9" w:rsidRDefault="00D970F9" w:rsidP="00D970F9">
      <w:pPr>
        <w:pStyle w:val="Heading3"/>
      </w:pPr>
      <w:r>
        <w:t>Otitis media</w:t>
      </w:r>
    </w:p>
    <w:p w14:paraId="6524F988" w14:textId="5BEEB25A" w:rsidR="00D970F9" w:rsidRPr="00D970F9" w:rsidRDefault="00D970F9" w:rsidP="00D970F9">
      <w:r>
        <w:t>See separate guideline MeG-CLS-023.</w:t>
      </w:r>
    </w:p>
    <w:p w14:paraId="614F4513" w14:textId="6F3D1FDA" w:rsidR="00D970F9" w:rsidRDefault="00D970F9" w:rsidP="00D970F9">
      <w:pPr>
        <w:pStyle w:val="Heading3"/>
      </w:pPr>
      <w:r>
        <w:t>Cerumen accumulation</w:t>
      </w:r>
    </w:p>
    <w:p w14:paraId="16FBE363" w14:textId="133343DD" w:rsidR="00D970F9" w:rsidRDefault="00D970F9" w:rsidP="00D970F9">
      <w:pPr>
        <w:rPr>
          <w:lang w:eastAsia="en-GB"/>
        </w:rPr>
      </w:pPr>
      <w:r w:rsidRPr="00F31B5E">
        <w:rPr>
          <w:lang w:eastAsia="en-GB"/>
        </w:rPr>
        <w:t>Use cerumenolytic agents like Cerumol at two drops nocte for 5 days.</w:t>
      </w:r>
      <w:r w:rsidR="00CF0433">
        <w:rPr>
          <w:lang w:eastAsia="en-GB"/>
        </w:rPr>
        <w:t xml:space="preserve"> </w:t>
      </w:r>
      <w:r w:rsidRPr="00F31B5E">
        <w:rPr>
          <w:lang w:eastAsia="en-GB"/>
        </w:rPr>
        <w:t>Irrigation can be done if the above measure does not help</w:t>
      </w:r>
      <w:r w:rsidR="00CF0433">
        <w:rPr>
          <w:lang w:eastAsia="en-GB"/>
        </w:rPr>
        <w:t>.</w:t>
      </w:r>
    </w:p>
    <w:p w14:paraId="52E622C4" w14:textId="37874855" w:rsidR="00D970F9" w:rsidRPr="00D513DA" w:rsidRDefault="00D970F9" w:rsidP="00D970F9">
      <w:pPr>
        <w:jc w:val="both"/>
        <w:rPr>
          <w:szCs w:val="22"/>
        </w:rPr>
      </w:pPr>
      <w:r>
        <w:rPr>
          <w:szCs w:val="22"/>
        </w:rPr>
        <w:t xml:space="preserve">Other problems originating in the ear including perforated TM and difficult to remove wax or foreign body will require referral to an ENT specialist. </w:t>
      </w:r>
    </w:p>
    <w:p w14:paraId="3CCCDF7E" w14:textId="77777777" w:rsidR="00F03F25" w:rsidRPr="003C0800" w:rsidRDefault="00F03F25" w:rsidP="00F03F25">
      <w:pPr>
        <w:pStyle w:val="Heading2"/>
        <w:rPr>
          <w:rFonts w:cs="Arial"/>
          <w:szCs w:val="22"/>
        </w:rPr>
      </w:pPr>
      <w:r w:rsidRPr="003C0800">
        <w:rPr>
          <w:rFonts w:cs="Arial"/>
          <w:szCs w:val="22"/>
        </w:rPr>
        <w:t>Key Issues for Nursing care</w:t>
      </w:r>
    </w:p>
    <w:p w14:paraId="1AA6CAD4" w14:textId="660E1D75" w:rsidR="002A2856" w:rsidRDefault="00CF0433" w:rsidP="00E52020">
      <w:pPr>
        <w:pStyle w:val="Heading2"/>
        <w:numPr>
          <w:ilvl w:val="0"/>
          <w:numId w:val="39"/>
        </w:numPr>
        <w:spacing w:after="0"/>
        <w:rPr>
          <w:rFonts w:cs="Arial"/>
          <w:b w:val="0"/>
          <w:sz w:val="22"/>
          <w:szCs w:val="22"/>
        </w:rPr>
      </w:pPr>
      <w:r>
        <w:rPr>
          <w:rFonts w:cs="Arial"/>
          <w:b w:val="0"/>
          <w:sz w:val="22"/>
          <w:szCs w:val="22"/>
        </w:rPr>
        <w:t>Refer all patients who do not respond to simple treatment as expected to the doctor.</w:t>
      </w:r>
    </w:p>
    <w:p w14:paraId="718B330B" w14:textId="2EF18EDD" w:rsidR="00CF5A85" w:rsidRPr="00E52020" w:rsidRDefault="00CF5A85" w:rsidP="00E52020">
      <w:pPr>
        <w:pStyle w:val="ListParagraph"/>
        <w:numPr>
          <w:ilvl w:val="0"/>
          <w:numId w:val="39"/>
        </w:numPr>
        <w:rPr>
          <w:b/>
        </w:rPr>
      </w:pPr>
      <w:r>
        <w:t>Patients with otitis externa should be advised on keeping ears dry. Patients should be advised not to use any objects (including cotton buds) to clean inside their ears.</w:t>
      </w:r>
    </w:p>
    <w:p w14:paraId="468D04D2" w14:textId="56E516E5" w:rsidR="00CF0433" w:rsidRPr="00CF0433" w:rsidRDefault="00CF0433" w:rsidP="00E52020">
      <w:pPr>
        <w:pStyle w:val="ListParagraph"/>
        <w:numPr>
          <w:ilvl w:val="0"/>
          <w:numId w:val="39"/>
        </w:numPr>
      </w:pPr>
      <w:r>
        <w:t>All cases of traumatic ear injury and foreign body in the ear should be referred to the doctor.</w:t>
      </w:r>
    </w:p>
    <w:p w14:paraId="0BBFE9A1" w14:textId="77777777" w:rsidR="00F03F25" w:rsidRPr="003C0800" w:rsidRDefault="00F03F25" w:rsidP="00F03F25">
      <w:pPr>
        <w:pStyle w:val="Heading2"/>
        <w:rPr>
          <w:rFonts w:cs="Arial"/>
          <w:szCs w:val="22"/>
        </w:rPr>
      </w:pPr>
      <w:r>
        <w:rPr>
          <w:rFonts w:cs="Arial"/>
          <w:szCs w:val="22"/>
        </w:rPr>
        <w:t>References</w:t>
      </w:r>
    </w:p>
    <w:p w14:paraId="49DA013B" w14:textId="64392833" w:rsidR="00CF0433" w:rsidRPr="000A080A" w:rsidRDefault="00CF0433" w:rsidP="00CF0433">
      <w:pPr>
        <w:rPr>
          <w:sz w:val="20"/>
          <w:szCs w:val="20"/>
        </w:rPr>
      </w:pPr>
      <w:r w:rsidRPr="000A080A">
        <w:rPr>
          <w:sz w:val="20"/>
          <w:szCs w:val="20"/>
        </w:rPr>
        <w:t>Ghanem T, Rasamny JK, Park SS. Rethinking auricular trauma. Laryngoscope 2005; 115:1251.</w:t>
      </w:r>
    </w:p>
    <w:p w14:paraId="4B6E23DA" w14:textId="0B163943" w:rsidR="00CF0433" w:rsidRPr="000A080A" w:rsidRDefault="00CF0433" w:rsidP="00CF0433">
      <w:pPr>
        <w:rPr>
          <w:sz w:val="20"/>
          <w:szCs w:val="20"/>
        </w:rPr>
      </w:pPr>
      <w:r w:rsidRPr="000A080A">
        <w:rPr>
          <w:sz w:val="20"/>
          <w:szCs w:val="20"/>
        </w:rPr>
        <w:t>Kansu L, Yilmaz I. Herpes zoster oticus (Ramsay Hunt syndrome) in children: case report and literature review. Int J Pediatr Otorhinolaryngol 2012; 76:772.</w:t>
      </w:r>
    </w:p>
    <w:p w14:paraId="5B623FDB" w14:textId="18248838" w:rsidR="00CF0433" w:rsidRPr="000A080A" w:rsidRDefault="00CF0433" w:rsidP="00CF0433">
      <w:pPr>
        <w:rPr>
          <w:sz w:val="20"/>
          <w:szCs w:val="20"/>
        </w:rPr>
      </w:pPr>
      <w:r w:rsidRPr="000A080A">
        <w:rPr>
          <w:sz w:val="20"/>
          <w:szCs w:val="20"/>
        </w:rPr>
        <w:t>Rosenfeld RM, Schwartz SR, Cannon CR, et al. Clinical practice guideline: acute otitis externa. Otolaryngol Head Neck Surg 2014; 150:S1.</w:t>
      </w:r>
    </w:p>
    <w:p w14:paraId="63389058" w14:textId="1EC5284A" w:rsidR="00CF0433" w:rsidRPr="000A080A" w:rsidRDefault="00CF0433" w:rsidP="00CF0433">
      <w:pPr>
        <w:rPr>
          <w:sz w:val="20"/>
          <w:szCs w:val="20"/>
        </w:rPr>
      </w:pPr>
      <w:r w:rsidRPr="000A080A">
        <w:rPr>
          <w:sz w:val="20"/>
          <w:szCs w:val="20"/>
        </w:rPr>
        <w:t>Rubin J, Yu VL, Stool SE. Malignant external otitis in children. J Pediatr 1988; 113:965.</w:t>
      </w:r>
    </w:p>
    <w:p w14:paraId="0C066D5E" w14:textId="1ADD439F" w:rsidR="00CF0433" w:rsidRPr="000A080A" w:rsidRDefault="00CF0433" w:rsidP="00CF0433">
      <w:pPr>
        <w:rPr>
          <w:sz w:val="20"/>
          <w:szCs w:val="20"/>
        </w:rPr>
      </w:pPr>
      <w:r w:rsidRPr="000A080A">
        <w:rPr>
          <w:sz w:val="20"/>
          <w:szCs w:val="20"/>
        </w:rPr>
        <w:t>Lieberthal AS, Carroll AE, Chonmaitree T, et al. The diagnosis and management of acute otitis media. Pediatrics 2013; 131:e964.</w:t>
      </w:r>
    </w:p>
    <w:p w14:paraId="6D9E6A1D" w14:textId="3E52093B" w:rsidR="00CF0433" w:rsidRPr="000A080A" w:rsidRDefault="00CF0433" w:rsidP="00CF0433">
      <w:pPr>
        <w:rPr>
          <w:sz w:val="20"/>
          <w:szCs w:val="20"/>
        </w:rPr>
      </w:pPr>
      <w:r w:rsidRPr="000A080A">
        <w:rPr>
          <w:sz w:val="20"/>
          <w:szCs w:val="20"/>
        </w:rPr>
        <w:t>Hydén D, Akerlind B, Peebo M. Inner ear and facial nerve complications of acute otitis media with focus on bacteriology and virology. . Acta Otolaryngol 2006; 126:460.</w:t>
      </w:r>
    </w:p>
    <w:p w14:paraId="7159D8DD" w14:textId="3F41B60F" w:rsidR="00CF0433" w:rsidRPr="000A080A" w:rsidRDefault="00CF0433" w:rsidP="00CF0433">
      <w:pPr>
        <w:rPr>
          <w:sz w:val="20"/>
          <w:szCs w:val="20"/>
        </w:rPr>
      </w:pPr>
      <w:r w:rsidRPr="000A080A">
        <w:rPr>
          <w:sz w:val="20"/>
          <w:szCs w:val="20"/>
        </w:rPr>
        <w:t>Wu JF, Jin Z, Yang JM, et al. Extracranial and intracranial complications of otitis media: 22-year clinical experience and analysis. Acta Otolaryngol 2012; 132:261.</w:t>
      </w:r>
    </w:p>
    <w:p w14:paraId="1EE179B8" w14:textId="19531776" w:rsidR="00CF0433" w:rsidRDefault="00CF0433" w:rsidP="00CF0433">
      <w:pPr>
        <w:rPr>
          <w:sz w:val="20"/>
          <w:szCs w:val="20"/>
        </w:rPr>
      </w:pPr>
      <w:r w:rsidRPr="000A080A">
        <w:rPr>
          <w:sz w:val="20"/>
          <w:szCs w:val="20"/>
        </w:rPr>
        <w:t>Hafidh MA, Keogh I, Walsh RM, et al. Otogenic intracranial complications. a 7-year retrospective re</w:t>
      </w:r>
      <w:r>
        <w:rPr>
          <w:sz w:val="20"/>
          <w:szCs w:val="20"/>
        </w:rPr>
        <w:t>v</w:t>
      </w:r>
      <w:r w:rsidRPr="000A080A">
        <w:rPr>
          <w:sz w:val="20"/>
          <w:szCs w:val="20"/>
        </w:rPr>
        <w:t>iew. Am J Otolaryngol 2006; 27:390.</w:t>
      </w:r>
    </w:p>
    <w:p w14:paraId="4B073CD1" w14:textId="609A8E52" w:rsidR="00CF0433" w:rsidRPr="000A080A" w:rsidRDefault="00CF0433" w:rsidP="00CF0433">
      <w:pPr>
        <w:rPr>
          <w:sz w:val="20"/>
          <w:szCs w:val="20"/>
        </w:rPr>
      </w:pPr>
      <w:r w:rsidRPr="000A080A">
        <w:rPr>
          <w:sz w:val="20"/>
          <w:szCs w:val="20"/>
        </w:rPr>
        <w:t>American Academy of Pediatrics Subcommittee on Management of Acute Otitis Media. Diagnosis and management of acute otitis media. Pediatrics. 2004 May;113(5):1451.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CEB5DC1" w14:textId="77777777" w:rsidTr="00515546">
        <w:trPr>
          <w:trHeight w:val="20"/>
        </w:trPr>
        <w:tc>
          <w:tcPr>
            <w:tcW w:w="2139" w:type="dxa"/>
            <w:shd w:val="clear" w:color="auto" w:fill="auto"/>
            <w:vAlign w:val="bottom"/>
          </w:tcPr>
          <w:p w14:paraId="0BB03906" w14:textId="77777777" w:rsidR="004C4442" w:rsidRPr="00515546" w:rsidRDefault="004C4442" w:rsidP="000E4BC2">
            <w:pPr>
              <w:spacing w:after="0"/>
              <w:rPr>
                <w:b/>
                <w:szCs w:val="22"/>
              </w:rPr>
            </w:pPr>
            <w:r w:rsidRPr="00515546">
              <w:rPr>
                <w:b/>
                <w:szCs w:val="22"/>
              </w:rPr>
              <w:t>Written by:</w:t>
            </w:r>
          </w:p>
        </w:tc>
        <w:tc>
          <w:tcPr>
            <w:tcW w:w="3622" w:type="dxa"/>
            <w:shd w:val="clear" w:color="auto" w:fill="auto"/>
            <w:vAlign w:val="bottom"/>
          </w:tcPr>
          <w:p w14:paraId="0288521B" w14:textId="082A053D" w:rsidR="004C4442" w:rsidRPr="00515546" w:rsidRDefault="004C4442" w:rsidP="000E4BC2">
            <w:pPr>
              <w:spacing w:after="0"/>
              <w:rPr>
                <w:szCs w:val="22"/>
              </w:rPr>
            </w:pPr>
            <w:r w:rsidRPr="00515546">
              <w:rPr>
                <w:szCs w:val="22"/>
              </w:rPr>
              <w:t>Name</w:t>
            </w:r>
            <w:r w:rsidR="005638D0">
              <w:rPr>
                <w:szCs w:val="22"/>
              </w:rPr>
              <w:t xml:space="preserve">: </w:t>
            </w:r>
            <w:r w:rsidR="00CF0433">
              <w:rPr>
                <w:szCs w:val="22"/>
              </w:rPr>
              <w:t>Okpara Chibuike</w:t>
            </w:r>
          </w:p>
        </w:tc>
        <w:tc>
          <w:tcPr>
            <w:tcW w:w="2869" w:type="dxa"/>
            <w:shd w:val="clear" w:color="auto" w:fill="auto"/>
            <w:vAlign w:val="bottom"/>
          </w:tcPr>
          <w:p w14:paraId="42C28EC1" w14:textId="45C2B631" w:rsidR="004C4442" w:rsidRPr="00515546" w:rsidRDefault="004C4442" w:rsidP="000E4BC2">
            <w:pPr>
              <w:spacing w:after="0"/>
              <w:rPr>
                <w:szCs w:val="22"/>
              </w:rPr>
            </w:pPr>
            <w:r w:rsidRPr="00515546">
              <w:rPr>
                <w:szCs w:val="22"/>
              </w:rPr>
              <w:t xml:space="preserve">Date: </w:t>
            </w:r>
            <w:r w:rsidR="00CF0433">
              <w:rPr>
                <w:szCs w:val="22"/>
              </w:rPr>
              <w:t>04 May 2019</w:t>
            </w:r>
          </w:p>
        </w:tc>
      </w:tr>
      <w:tr w:rsidR="004C4442" w:rsidRPr="00515546" w14:paraId="7A91EC01" w14:textId="77777777" w:rsidTr="00515546">
        <w:trPr>
          <w:trHeight w:val="20"/>
        </w:trPr>
        <w:tc>
          <w:tcPr>
            <w:tcW w:w="2139" w:type="dxa"/>
            <w:shd w:val="clear" w:color="auto" w:fill="auto"/>
            <w:vAlign w:val="bottom"/>
          </w:tcPr>
          <w:p w14:paraId="2C788537" w14:textId="77777777" w:rsidR="004C4442" w:rsidRPr="00515546" w:rsidRDefault="004C4442" w:rsidP="000E4BC2">
            <w:pPr>
              <w:spacing w:after="0"/>
              <w:rPr>
                <w:b/>
                <w:szCs w:val="22"/>
              </w:rPr>
            </w:pPr>
            <w:r w:rsidRPr="00515546">
              <w:rPr>
                <w:b/>
                <w:szCs w:val="22"/>
              </w:rPr>
              <w:t>Reviewed by:</w:t>
            </w:r>
          </w:p>
        </w:tc>
        <w:tc>
          <w:tcPr>
            <w:tcW w:w="3622" w:type="dxa"/>
            <w:shd w:val="clear" w:color="auto" w:fill="auto"/>
            <w:vAlign w:val="bottom"/>
          </w:tcPr>
          <w:p w14:paraId="269B4920" w14:textId="5AC4CFBA" w:rsidR="004C4442" w:rsidRPr="00515546" w:rsidRDefault="004C4442" w:rsidP="000E4BC2">
            <w:pPr>
              <w:spacing w:after="0"/>
              <w:rPr>
                <w:szCs w:val="22"/>
              </w:rPr>
            </w:pPr>
            <w:r w:rsidRPr="00515546">
              <w:rPr>
                <w:szCs w:val="22"/>
              </w:rPr>
              <w:t xml:space="preserve">Name: </w:t>
            </w:r>
            <w:r w:rsidR="00CF0433">
              <w:rPr>
                <w:szCs w:val="22"/>
              </w:rPr>
              <w:t>Karen Forrest</w:t>
            </w:r>
          </w:p>
        </w:tc>
        <w:tc>
          <w:tcPr>
            <w:tcW w:w="2869" w:type="dxa"/>
            <w:shd w:val="clear" w:color="auto" w:fill="auto"/>
            <w:vAlign w:val="bottom"/>
          </w:tcPr>
          <w:p w14:paraId="2E5128AB" w14:textId="0B36BC4C" w:rsidR="004C4442" w:rsidRPr="00515546" w:rsidRDefault="004C4442" w:rsidP="000E4BC2">
            <w:pPr>
              <w:spacing w:after="0"/>
              <w:rPr>
                <w:szCs w:val="22"/>
              </w:rPr>
            </w:pPr>
            <w:r w:rsidRPr="00515546">
              <w:rPr>
                <w:szCs w:val="22"/>
              </w:rPr>
              <w:t xml:space="preserve">Date: </w:t>
            </w:r>
            <w:r w:rsidR="00CF0433">
              <w:rPr>
                <w:szCs w:val="22"/>
              </w:rPr>
              <w:t>22 May 2019</w:t>
            </w:r>
          </w:p>
        </w:tc>
      </w:tr>
      <w:tr w:rsidR="004C4442" w:rsidRPr="00515546" w14:paraId="1241CD50" w14:textId="77777777" w:rsidTr="00515546">
        <w:trPr>
          <w:trHeight w:val="20"/>
        </w:trPr>
        <w:tc>
          <w:tcPr>
            <w:tcW w:w="2139" w:type="dxa"/>
            <w:shd w:val="clear" w:color="auto" w:fill="auto"/>
            <w:vAlign w:val="bottom"/>
          </w:tcPr>
          <w:p w14:paraId="4B17D1EE" w14:textId="77777777" w:rsidR="004C4442" w:rsidRPr="00515546" w:rsidRDefault="004C4442" w:rsidP="000E4BC2">
            <w:pPr>
              <w:spacing w:after="0"/>
              <w:rPr>
                <w:szCs w:val="22"/>
              </w:rPr>
            </w:pPr>
            <w:r w:rsidRPr="00515546">
              <w:rPr>
                <w:b/>
                <w:szCs w:val="22"/>
              </w:rPr>
              <w:t>Version:</w:t>
            </w:r>
          </w:p>
        </w:tc>
        <w:tc>
          <w:tcPr>
            <w:tcW w:w="3622" w:type="dxa"/>
            <w:shd w:val="clear" w:color="auto" w:fill="auto"/>
            <w:vAlign w:val="bottom"/>
          </w:tcPr>
          <w:p w14:paraId="6BDD8321" w14:textId="77777777" w:rsidR="004C4442" w:rsidRPr="00515546" w:rsidRDefault="004C4442" w:rsidP="000E4BC2">
            <w:pPr>
              <w:spacing w:after="0"/>
              <w:rPr>
                <w:szCs w:val="22"/>
              </w:rPr>
            </w:pPr>
            <w:r w:rsidRPr="00515546">
              <w:rPr>
                <w:b/>
                <w:szCs w:val="22"/>
              </w:rPr>
              <w:t>Change history:</w:t>
            </w:r>
          </w:p>
        </w:tc>
        <w:tc>
          <w:tcPr>
            <w:tcW w:w="2869" w:type="dxa"/>
            <w:shd w:val="clear" w:color="auto" w:fill="auto"/>
            <w:vAlign w:val="bottom"/>
          </w:tcPr>
          <w:p w14:paraId="2BFC89DE" w14:textId="77777777" w:rsidR="004C4442" w:rsidRPr="00515546" w:rsidRDefault="004C4442" w:rsidP="000E4BC2">
            <w:pPr>
              <w:spacing w:after="0"/>
              <w:rPr>
                <w:b/>
                <w:szCs w:val="22"/>
              </w:rPr>
            </w:pPr>
            <w:r w:rsidRPr="00515546">
              <w:rPr>
                <w:b/>
                <w:szCs w:val="22"/>
              </w:rPr>
              <w:t>Review due date:</w:t>
            </w:r>
          </w:p>
        </w:tc>
      </w:tr>
      <w:tr w:rsidR="004C4442" w:rsidRPr="00515546" w14:paraId="46CD5911" w14:textId="77777777" w:rsidTr="00515546">
        <w:trPr>
          <w:trHeight w:val="20"/>
        </w:trPr>
        <w:tc>
          <w:tcPr>
            <w:tcW w:w="2139" w:type="dxa"/>
            <w:shd w:val="clear" w:color="auto" w:fill="auto"/>
            <w:vAlign w:val="bottom"/>
          </w:tcPr>
          <w:p w14:paraId="016E2A5E" w14:textId="77777777" w:rsidR="004C4442" w:rsidRPr="00515546" w:rsidRDefault="004C4442" w:rsidP="000E4BC2">
            <w:pPr>
              <w:spacing w:after="0"/>
              <w:rPr>
                <w:szCs w:val="22"/>
              </w:rPr>
            </w:pPr>
            <w:r w:rsidRPr="00515546">
              <w:rPr>
                <w:szCs w:val="22"/>
              </w:rPr>
              <w:t>1.0</w:t>
            </w:r>
          </w:p>
        </w:tc>
        <w:tc>
          <w:tcPr>
            <w:tcW w:w="3622" w:type="dxa"/>
            <w:shd w:val="clear" w:color="auto" w:fill="auto"/>
            <w:vAlign w:val="bottom"/>
          </w:tcPr>
          <w:p w14:paraId="7A5C0361" w14:textId="77777777" w:rsidR="004C4442" w:rsidRPr="00515546" w:rsidRDefault="004C4442" w:rsidP="000E4BC2">
            <w:pPr>
              <w:spacing w:after="0"/>
              <w:rPr>
                <w:szCs w:val="22"/>
              </w:rPr>
            </w:pPr>
            <w:r w:rsidRPr="00515546">
              <w:rPr>
                <w:szCs w:val="22"/>
              </w:rPr>
              <w:t>New document</w:t>
            </w:r>
          </w:p>
        </w:tc>
        <w:tc>
          <w:tcPr>
            <w:tcW w:w="2869" w:type="dxa"/>
            <w:shd w:val="clear" w:color="auto" w:fill="auto"/>
            <w:vAlign w:val="bottom"/>
          </w:tcPr>
          <w:p w14:paraId="36FA9906" w14:textId="07368D7E" w:rsidR="004C4442" w:rsidRPr="00515546" w:rsidRDefault="00CF0433" w:rsidP="000E4BC2">
            <w:pPr>
              <w:spacing w:after="0"/>
              <w:rPr>
                <w:szCs w:val="22"/>
              </w:rPr>
            </w:pPr>
            <w:r>
              <w:rPr>
                <w:szCs w:val="22"/>
              </w:rPr>
              <w:t>31 May 2021</w:t>
            </w:r>
          </w:p>
        </w:tc>
      </w:tr>
      <w:tr w:rsidR="005638D0" w:rsidRPr="00515546" w14:paraId="0C3928B6" w14:textId="77777777" w:rsidTr="00515546">
        <w:trPr>
          <w:trHeight w:val="20"/>
        </w:trPr>
        <w:tc>
          <w:tcPr>
            <w:tcW w:w="2139" w:type="dxa"/>
            <w:shd w:val="clear" w:color="auto" w:fill="auto"/>
            <w:vAlign w:val="bottom"/>
          </w:tcPr>
          <w:p w14:paraId="4EDEAB81"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F6654E5" w14:textId="77777777" w:rsidR="005638D0" w:rsidRPr="00515546" w:rsidRDefault="005638D0" w:rsidP="005638D0">
            <w:pPr>
              <w:spacing w:after="0"/>
              <w:rPr>
                <w:szCs w:val="22"/>
              </w:rPr>
            </w:pPr>
          </w:p>
        </w:tc>
        <w:tc>
          <w:tcPr>
            <w:tcW w:w="2869" w:type="dxa"/>
            <w:shd w:val="clear" w:color="auto" w:fill="auto"/>
            <w:vAlign w:val="bottom"/>
          </w:tcPr>
          <w:p w14:paraId="23D3B7A6" w14:textId="77777777" w:rsidR="005638D0" w:rsidRPr="00515546" w:rsidRDefault="005638D0" w:rsidP="005638D0">
            <w:pPr>
              <w:spacing w:after="0"/>
              <w:rPr>
                <w:b/>
                <w:szCs w:val="22"/>
              </w:rPr>
            </w:pPr>
          </w:p>
        </w:tc>
      </w:tr>
    </w:tbl>
    <w:p w14:paraId="07DB7396" w14:textId="77777777" w:rsidR="00975A60" w:rsidRPr="00CC3CF5" w:rsidRDefault="00975A60" w:rsidP="00975A60">
      <w:pPr>
        <w:rPr>
          <w:szCs w:val="22"/>
        </w:rPr>
      </w:pPr>
    </w:p>
    <w:sectPr w:rsidR="00975A60" w:rsidRPr="00CC3CF5" w:rsidSect="00D13825">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A807B" w14:textId="77777777" w:rsidR="000321D0" w:rsidRDefault="000321D0" w:rsidP="00975A60">
      <w:pPr>
        <w:spacing w:after="0"/>
      </w:pPr>
      <w:r>
        <w:separator/>
      </w:r>
    </w:p>
  </w:endnote>
  <w:endnote w:type="continuationSeparator" w:id="0">
    <w:p w14:paraId="6F6B5374" w14:textId="77777777" w:rsidR="000321D0" w:rsidRDefault="000321D0"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D5479" w14:textId="77777777" w:rsidR="000E4BC2" w:rsidRDefault="000E4BC2"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5E8DF5" w14:textId="77777777" w:rsidR="000E4BC2" w:rsidRDefault="000E4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0AD62" w14:textId="18C9716D" w:rsidR="000E4BC2" w:rsidRPr="003A02A5" w:rsidRDefault="000E4BC2"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47EF5">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47EF5">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D7B77" w14:textId="0A73F488" w:rsidR="000E4BC2" w:rsidRDefault="000E4BC2"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47EF5">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47EF5">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B731C" w14:textId="77777777" w:rsidR="000321D0" w:rsidRDefault="000321D0" w:rsidP="00975A60">
      <w:pPr>
        <w:spacing w:after="0"/>
      </w:pPr>
      <w:r>
        <w:separator/>
      </w:r>
    </w:p>
  </w:footnote>
  <w:footnote w:type="continuationSeparator" w:id="0">
    <w:p w14:paraId="39048E89" w14:textId="77777777" w:rsidR="000321D0" w:rsidRDefault="000321D0"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C13FB" w14:textId="7C8C9C29" w:rsidR="000E4BC2" w:rsidRPr="00F87812" w:rsidRDefault="000E4BC2" w:rsidP="00D13825">
    <w:pPr>
      <w:pStyle w:val="Header"/>
    </w:pPr>
    <w:r w:rsidRPr="00F87812">
      <w:t>Identification code: MeG-CLS-</w:t>
    </w:r>
    <w:r>
      <w:t>070</w:t>
    </w:r>
    <w:r w:rsidRPr="00F87812">
      <w:tab/>
    </w:r>
  </w:p>
  <w:p w14:paraId="07577A33" w14:textId="719D1F37" w:rsidR="000E4BC2" w:rsidRPr="0095050B" w:rsidRDefault="000E4BC2" w:rsidP="00D13825">
    <w:pPr>
      <w:pStyle w:val="Header"/>
    </w:pPr>
    <w:r w:rsidRPr="0095050B">
      <w:t xml:space="preserve">Version: 1.0 – </w:t>
    </w:r>
    <w:r>
      <w:t>31 May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4B8FD" w14:textId="77777777" w:rsidR="000E4BC2" w:rsidRDefault="000E4BC2"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1BFDCC40" wp14:editId="7291784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5D97A2E" w14:textId="77777777" w:rsidR="000E4BC2" w:rsidRDefault="000E4BC2"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331205C" w14:textId="77777777" w:rsidR="000E4BC2" w:rsidRPr="003C0800" w:rsidRDefault="000E4BC2" w:rsidP="00D13825">
    <w:pPr>
      <w:pStyle w:val="Header"/>
      <w:ind w:firstLine="2880"/>
      <w:rPr>
        <w:rFonts w:cs="Arial"/>
        <w:b/>
      </w:rPr>
    </w:pPr>
  </w:p>
  <w:p w14:paraId="7EB347C1" w14:textId="7E911E12" w:rsidR="000E4BC2" w:rsidRPr="00F87812" w:rsidRDefault="000E4BC2" w:rsidP="00D13825">
    <w:pPr>
      <w:pStyle w:val="Header"/>
    </w:pPr>
    <w:r w:rsidRPr="00F87812">
      <w:t>Identification code: MeG-CLS-</w:t>
    </w:r>
    <w:r>
      <w:t>070</w:t>
    </w:r>
    <w:r w:rsidRPr="00F87812">
      <w:tab/>
    </w:r>
  </w:p>
  <w:p w14:paraId="3ED4AB41" w14:textId="254EE74B" w:rsidR="000E4BC2" w:rsidRPr="00F87812" w:rsidRDefault="000E4BC2" w:rsidP="00D13825">
    <w:pPr>
      <w:pStyle w:val="Header"/>
    </w:pPr>
    <w:r w:rsidRPr="00F87812">
      <w:t xml:space="preserve">Version: </w:t>
    </w:r>
    <w:r w:rsidRPr="0095050B">
      <w:t xml:space="preserve">1.0 – </w:t>
    </w:r>
    <w:r>
      <w:t>31 May 2019</w:t>
    </w:r>
  </w:p>
  <w:p w14:paraId="7FBAA511" w14:textId="77777777" w:rsidR="000E4BC2" w:rsidRDefault="000E4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94DF68"/>
    <w:multiLevelType w:val="singleLevel"/>
    <w:tmpl w:val="B694DF68"/>
    <w:lvl w:ilvl="0">
      <w:start w:val="1"/>
      <w:numFmt w:val="decimal"/>
      <w:suff w:val="space"/>
      <w:lvlText w:val="%1."/>
      <w:lvlJc w:val="left"/>
    </w:lvl>
  </w:abstractNum>
  <w:abstractNum w:abstractNumId="1" w15:restartNumberingAfterBreak="0">
    <w:nsid w:val="C98CDC46"/>
    <w:multiLevelType w:val="singleLevel"/>
    <w:tmpl w:val="C98CDC46"/>
    <w:lvl w:ilvl="0">
      <w:start w:val="1"/>
      <w:numFmt w:val="decimal"/>
      <w:suff w:val="space"/>
      <w:lvlText w:val="%1."/>
      <w:lvlJc w:val="left"/>
    </w:lvl>
  </w:abstractNum>
  <w:abstractNum w:abstractNumId="2" w15:restartNumberingAfterBreak="0">
    <w:nsid w:val="FFFFFF7C"/>
    <w:multiLevelType w:val="singleLevel"/>
    <w:tmpl w:val="F4B4572C"/>
    <w:lvl w:ilvl="0">
      <w:start w:val="1"/>
      <w:numFmt w:val="decimal"/>
      <w:lvlText w:val="%1."/>
      <w:lvlJc w:val="left"/>
      <w:pPr>
        <w:tabs>
          <w:tab w:val="num" w:pos="1492"/>
        </w:tabs>
        <w:ind w:left="1492" w:hanging="360"/>
      </w:pPr>
    </w:lvl>
  </w:abstractNum>
  <w:abstractNum w:abstractNumId="3" w15:restartNumberingAfterBreak="0">
    <w:nsid w:val="FFFFFF7F"/>
    <w:multiLevelType w:val="singleLevel"/>
    <w:tmpl w:val="D88AA1FE"/>
    <w:lvl w:ilvl="0">
      <w:start w:val="1"/>
      <w:numFmt w:val="decimal"/>
      <w:lvlText w:val="%1."/>
      <w:lvlJc w:val="left"/>
      <w:pPr>
        <w:tabs>
          <w:tab w:val="num" w:pos="643"/>
        </w:tabs>
        <w:ind w:left="643" w:hanging="360"/>
      </w:pPr>
    </w:lvl>
  </w:abstractNum>
  <w:abstractNum w:abstractNumId="4"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411486"/>
    <w:multiLevelType w:val="hybridMultilevel"/>
    <w:tmpl w:val="4DB4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815567"/>
    <w:multiLevelType w:val="hybridMultilevel"/>
    <w:tmpl w:val="3F8E9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F76AB1"/>
    <w:multiLevelType w:val="hybridMultilevel"/>
    <w:tmpl w:val="86FE3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3310FC5"/>
    <w:multiLevelType w:val="hybridMultilevel"/>
    <w:tmpl w:val="1A14E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D9A7823"/>
    <w:multiLevelType w:val="hybridMultilevel"/>
    <w:tmpl w:val="703A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F5C46"/>
    <w:multiLevelType w:val="hybridMultilevel"/>
    <w:tmpl w:val="8A705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08117C"/>
    <w:multiLevelType w:val="hybridMultilevel"/>
    <w:tmpl w:val="6E926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34107"/>
    <w:multiLevelType w:val="hybridMultilevel"/>
    <w:tmpl w:val="CE7A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2"/>
  </w:num>
  <w:num w:numId="4">
    <w:abstractNumId w:val="3"/>
  </w:num>
  <w:num w:numId="5">
    <w:abstractNumId w:val="2"/>
  </w:num>
  <w:num w:numId="6">
    <w:abstractNumId w:val="6"/>
  </w:num>
  <w:num w:numId="7">
    <w:abstractNumId w:val="20"/>
  </w:num>
  <w:num w:numId="8">
    <w:abstractNumId w:val="4"/>
  </w:num>
  <w:num w:numId="9">
    <w:abstractNumId w:val="37"/>
  </w:num>
  <w:num w:numId="10">
    <w:abstractNumId w:val="5"/>
  </w:num>
  <w:num w:numId="11">
    <w:abstractNumId w:val="13"/>
  </w:num>
  <w:num w:numId="12">
    <w:abstractNumId w:val="25"/>
  </w:num>
  <w:num w:numId="13">
    <w:abstractNumId w:val="31"/>
  </w:num>
  <w:num w:numId="14">
    <w:abstractNumId w:val="28"/>
  </w:num>
  <w:num w:numId="15">
    <w:abstractNumId w:val="36"/>
  </w:num>
  <w:num w:numId="16">
    <w:abstractNumId w:val="16"/>
  </w:num>
  <w:num w:numId="17">
    <w:abstractNumId w:val="10"/>
  </w:num>
  <w:num w:numId="18">
    <w:abstractNumId w:val="29"/>
  </w:num>
  <w:num w:numId="19">
    <w:abstractNumId w:val="17"/>
  </w:num>
  <w:num w:numId="20">
    <w:abstractNumId w:val="35"/>
  </w:num>
  <w:num w:numId="21">
    <w:abstractNumId w:val="19"/>
  </w:num>
  <w:num w:numId="22">
    <w:abstractNumId w:val="11"/>
  </w:num>
  <w:num w:numId="23">
    <w:abstractNumId w:val="24"/>
  </w:num>
  <w:num w:numId="24">
    <w:abstractNumId w:val="27"/>
  </w:num>
  <w:num w:numId="25">
    <w:abstractNumId w:val="21"/>
  </w:num>
  <w:num w:numId="26">
    <w:abstractNumId w:val="14"/>
  </w:num>
  <w:num w:numId="27">
    <w:abstractNumId w:val="9"/>
  </w:num>
  <w:num w:numId="28">
    <w:abstractNumId w:val="34"/>
  </w:num>
  <w:num w:numId="29">
    <w:abstractNumId w:val="22"/>
  </w:num>
  <w:num w:numId="30">
    <w:abstractNumId w:val="33"/>
  </w:num>
  <w:num w:numId="31">
    <w:abstractNumId w:val="30"/>
  </w:num>
  <w:num w:numId="32">
    <w:abstractNumId w:val="7"/>
  </w:num>
  <w:num w:numId="33">
    <w:abstractNumId w:val="38"/>
  </w:num>
  <w:num w:numId="34">
    <w:abstractNumId w:val="0"/>
  </w:num>
  <w:num w:numId="35">
    <w:abstractNumId w:val="32"/>
  </w:num>
  <w:num w:numId="36">
    <w:abstractNumId w:val="15"/>
  </w:num>
  <w:num w:numId="37">
    <w:abstractNumId w:val="8"/>
  </w:num>
  <w:num w:numId="38">
    <w:abstractNumId w:val="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YwNDU0sTAwNLQ0NjVS0lEKTi0uzszPAykwqQUAy8ie0SwAAAA="/>
  </w:docVars>
  <w:rsids>
    <w:rsidRoot w:val="00D970F9"/>
    <w:rsid w:val="000039D9"/>
    <w:rsid w:val="000321D0"/>
    <w:rsid w:val="0007147C"/>
    <w:rsid w:val="00081642"/>
    <w:rsid w:val="000E4BC2"/>
    <w:rsid w:val="00114AAF"/>
    <w:rsid w:val="001203AE"/>
    <w:rsid w:val="001210F1"/>
    <w:rsid w:val="00175153"/>
    <w:rsid w:val="001C1450"/>
    <w:rsid w:val="00217A97"/>
    <w:rsid w:val="00223920"/>
    <w:rsid w:val="00252A11"/>
    <w:rsid w:val="0029357D"/>
    <w:rsid w:val="002A2856"/>
    <w:rsid w:val="002F4CF2"/>
    <w:rsid w:val="003020A2"/>
    <w:rsid w:val="003038D3"/>
    <w:rsid w:val="003225CD"/>
    <w:rsid w:val="003C0800"/>
    <w:rsid w:val="003F70CA"/>
    <w:rsid w:val="004922BB"/>
    <w:rsid w:val="004A25F0"/>
    <w:rsid w:val="004A4C93"/>
    <w:rsid w:val="004C4442"/>
    <w:rsid w:val="00504405"/>
    <w:rsid w:val="005151D8"/>
    <w:rsid w:val="00515546"/>
    <w:rsid w:val="00527062"/>
    <w:rsid w:val="005638D0"/>
    <w:rsid w:val="00567CB9"/>
    <w:rsid w:val="00584E1E"/>
    <w:rsid w:val="005D1877"/>
    <w:rsid w:val="00633320"/>
    <w:rsid w:val="007067BE"/>
    <w:rsid w:val="0074336F"/>
    <w:rsid w:val="007B26B1"/>
    <w:rsid w:val="00825648"/>
    <w:rsid w:val="00857027"/>
    <w:rsid w:val="009165E9"/>
    <w:rsid w:val="009325A7"/>
    <w:rsid w:val="0095050B"/>
    <w:rsid w:val="009747D5"/>
    <w:rsid w:val="00975A60"/>
    <w:rsid w:val="009956F9"/>
    <w:rsid w:val="009B44BE"/>
    <w:rsid w:val="009F5B1B"/>
    <w:rsid w:val="00A312D8"/>
    <w:rsid w:val="00A41080"/>
    <w:rsid w:val="00A57064"/>
    <w:rsid w:val="00B31AC4"/>
    <w:rsid w:val="00B844E8"/>
    <w:rsid w:val="00BD08AB"/>
    <w:rsid w:val="00C63F8F"/>
    <w:rsid w:val="00C67021"/>
    <w:rsid w:val="00CC3CF5"/>
    <w:rsid w:val="00CD4A1D"/>
    <w:rsid w:val="00CF0433"/>
    <w:rsid w:val="00CF5A85"/>
    <w:rsid w:val="00D03AB2"/>
    <w:rsid w:val="00D13825"/>
    <w:rsid w:val="00D47EF5"/>
    <w:rsid w:val="00D763DF"/>
    <w:rsid w:val="00D970F9"/>
    <w:rsid w:val="00DA20ED"/>
    <w:rsid w:val="00DC1CC5"/>
    <w:rsid w:val="00DC590C"/>
    <w:rsid w:val="00DE3D6D"/>
    <w:rsid w:val="00DF345F"/>
    <w:rsid w:val="00E162DA"/>
    <w:rsid w:val="00E52020"/>
    <w:rsid w:val="00F03F25"/>
    <w:rsid w:val="00F47D6B"/>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5154"/>
  <w15:docId w15:val="{1D8EF1FC-3A1D-447A-B9F9-3BF819ED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99"/>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Revision">
    <w:name w:val="Revision"/>
    <w:hidden/>
    <w:semiHidden/>
    <w:rsid w:val="00E52020"/>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2019a.dotx</Template>
  <TotalTime>2</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misan Agboghoroma</cp:lastModifiedBy>
  <cp:revision>4</cp:revision>
  <cp:lastPrinted>2019-05-31T09:44:00Z</cp:lastPrinted>
  <dcterms:created xsi:type="dcterms:W3CDTF">2019-05-27T14:54:00Z</dcterms:created>
  <dcterms:modified xsi:type="dcterms:W3CDTF">2020-05-18T22:34:00Z</dcterms:modified>
</cp:coreProperties>
</file>