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29566" w14:textId="69833542" w:rsidR="00647BA5" w:rsidRPr="00647BA5" w:rsidRDefault="00647BA5" w:rsidP="00647BA5">
      <w:pPr>
        <w:pStyle w:val="Heading1"/>
        <w:rPr>
          <w:rFonts w:cs="Arial"/>
          <w:szCs w:val="22"/>
        </w:rPr>
      </w:pPr>
      <w:r>
        <w:rPr>
          <w:rFonts w:cs="Arial"/>
          <w:szCs w:val="22"/>
        </w:rPr>
        <w:t>Endoscopy – indications</w:t>
      </w:r>
    </w:p>
    <w:p w14:paraId="4C3E7280" w14:textId="77777777" w:rsidR="00647BA5" w:rsidRPr="00F94418" w:rsidRDefault="00647BA5" w:rsidP="00647BA5">
      <w:pPr>
        <w:pStyle w:val="Heading2"/>
        <w:rPr>
          <w:rFonts w:cs="Arial"/>
          <w:i/>
          <w:szCs w:val="22"/>
        </w:rPr>
      </w:pPr>
      <w:r w:rsidRPr="00F94418">
        <w:rPr>
          <w:rFonts w:cs="Arial"/>
          <w:i/>
          <w:szCs w:val="22"/>
        </w:rPr>
        <w:t>Executive summary</w:t>
      </w:r>
    </w:p>
    <w:p w14:paraId="12BB7FFB" w14:textId="77777777" w:rsidR="00647BA5" w:rsidRDefault="00647BA5" w:rsidP="00647BA5">
      <w:pPr>
        <w:pStyle w:val="Heading2"/>
        <w:rPr>
          <w:rFonts w:cs="Arial"/>
          <w:szCs w:val="22"/>
        </w:rPr>
      </w:pPr>
      <w:r w:rsidRPr="00DC590C">
        <w:rPr>
          <w:rFonts w:cs="Arial"/>
          <w:szCs w:val="22"/>
        </w:rPr>
        <w:t>Introduction</w:t>
      </w:r>
    </w:p>
    <w:p w14:paraId="70160EBB" w14:textId="37CADAD7" w:rsidR="00647BA5" w:rsidRDefault="00647BA5" w:rsidP="00647BA5">
      <w:r>
        <w:t xml:space="preserve">We </w:t>
      </w:r>
      <w:proofErr w:type="gramStart"/>
      <w:r>
        <w:t>are able to</w:t>
      </w:r>
      <w:proofErr w:type="gramEnd"/>
      <w:r>
        <w:t xml:space="preserve"> provide both upper and lower GI endoscopy. Referral for this service is to </w:t>
      </w:r>
      <w:proofErr w:type="gramStart"/>
      <w:r>
        <w:t>made</w:t>
      </w:r>
      <w:proofErr w:type="gramEnd"/>
      <w:r>
        <w:t xml:space="preserve"> through the EMRS system and according to this guidance. Note that you will have to give details about your patient’s fitness for the procedure when booking it</w:t>
      </w:r>
      <w:r w:rsidR="00687B55">
        <w:t xml:space="preserve"> using the ASA </w:t>
      </w:r>
      <w:r w:rsidR="00F61965">
        <w:t>score</w:t>
      </w:r>
      <w:r>
        <w:t xml:space="preserve">. </w:t>
      </w:r>
    </w:p>
    <w:p w14:paraId="19402056" w14:textId="77777777" w:rsidR="00647BA5" w:rsidRDefault="00647BA5" w:rsidP="00647BA5">
      <w:r>
        <w:t xml:space="preserve">If you have any </w:t>
      </w:r>
      <w:proofErr w:type="gramStart"/>
      <w:r>
        <w:t>patient</w:t>
      </w:r>
      <w:proofErr w:type="gramEnd"/>
      <w:r>
        <w:t xml:space="preserve"> you believe may benefit from endoscopy who falls outside these guidelines please discuss with the endoscopist.</w:t>
      </w:r>
    </w:p>
    <w:p w14:paraId="5663D648" w14:textId="77777777" w:rsidR="00647BA5" w:rsidRDefault="00647BA5" w:rsidP="00647BA5">
      <w:pPr>
        <w:pStyle w:val="Heading2"/>
        <w:rPr>
          <w:bCs/>
        </w:rPr>
      </w:pPr>
      <w:r w:rsidRPr="00612AEE">
        <w:t xml:space="preserve">Target </w:t>
      </w:r>
      <w:r>
        <w:t>u</w:t>
      </w:r>
      <w:r w:rsidRPr="00612AEE">
        <w:t>ser</w:t>
      </w:r>
      <w:r>
        <w:t>s</w:t>
      </w:r>
    </w:p>
    <w:p w14:paraId="4F207434" w14:textId="4C91E6D5" w:rsidR="00647BA5" w:rsidRDefault="00647BA5" w:rsidP="00647BA5">
      <w:pPr>
        <w:pStyle w:val="ListParagraph"/>
        <w:numPr>
          <w:ilvl w:val="0"/>
          <w:numId w:val="7"/>
        </w:numPr>
      </w:pPr>
      <w:r>
        <w:t>Doctors</w:t>
      </w:r>
    </w:p>
    <w:p w14:paraId="2B16C5E2" w14:textId="27C80249" w:rsidR="00647BA5" w:rsidRPr="00584E1E" w:rsidRDefault="00647BA5" w:rsidP="00647BA5">
      <w:pPr>
        <w:pStyle w:val="ListParagraph"/>
        <w:numPr>
          <w:ilvl w:val="0"/>
          <w:numId w:val="7"/>
        </w:numPr>
      </w:pPr>
      <w:r>
        <w:t>Nurses</w:t>
      </w:r>
    </w:p>
    <w:p w14:paraId="23B24486" w14:textId="77777777" w:rsidR="00647BA5" w:rsidRDefault="00647BA5" w:rsidP="00647BA5">
      <w:pPr>
        <w:pStyle w:val="Heading2"/>
        <w:rPr>
          <w:bCs/>
        </w:rPr>
      </w:pPr>
      <w:r w:rsidRPr="00612AEE">
        <w:t xml:space="preserve">Target area of use </w:t>
      </w:r>
    </w:p>
    <w:p w14:paraId="08FB7EDB" w14:textId="49704BA6" w:rsidR="00647BA5" w:rsidRDefault="00647BA5" w:rsidP="00647BA5">
      <w:pPr>
        <w:pStyle w:val="ListParagraph"/>
        <w:numPr>
          <w:ilvl w:val="0"/>
          <w:numId w:val="7"/>
        </w:numPr>
      </w:pPr>
      <w:r>
        <w:t>Outpatients</w:t>
      </w:r>
    </w:p>
    <w:p w14:paraId="333E578C" w14:textId="1E278DA2" w:rsidR="00647BA5" w:rsidRPr="00584E1E" w:rsidRDefault="00647BA5" w:rsidP="00647BA5">
      <w:pPr>
        <w:pStyle w:val="ListParagraph"/>
        <w:numPr>
          <w:ilvl w:val="0"/>
          <w:numId w:val="7"/>
        </w:numPr>
      </w:pPr>
      <w:r>
        <w:t>Ward</w:t>
      </w:r>
    </w:p>
    <w:p w14:paraId="79B17457" w14:textId="77777777" w:rsidR="00647BA5" w:rsidRDefault="00647BA5" w:rsidP="00647BA5">
      <w:pPr>
        <w:pStyle w:val="Heading2"/>
        <w:rPr>
          <w:bCs/>
        </w:rPr>
      </w:pPr>
      <w:r>
        <w:t xml:space="preserve">Key areas of focus / </w:t>
      </w:r>
      <w:r w:rsidRPr="00612AEE">
        <w:t xml:space="preserve">New additions / </w:t>
      </w:r>
      <w:r>
        <w:t>C</w:t>
      </w:r>
      <w:r w:rsidRPr="00612AEE">
        <w:t xml:space="preserve">hanges </w:t>
      </w:r>
    </w:p>
    <w:p w14:paraId="27C92FAF" w14:textId="1731A51D" w:rsidR="00647BA5" w:rsidRPr="00584E1E" w:rsidRDefault="00647BA5" w:rsidP="00647BA5">
      <w:pPr>
        <w:rPr>
          <w:b/>
        </w:rPr>
      </w:pPr>
      <w:r>
        <w:t xml:space="preserve">This document outlines the indications for </w:t>
      </w:r>
      <w:r w:rsidR="002E75BF">
        <w:t xml:space="preserve">endoscopy in </w:t>
      </w:r>
      <w:r w:rsidR="005C1F4B">
        <w:t>our service.</w:t>
      </w:r>
    </w:p>
    <w:p w14:paraId="6C370CA3" w14:textId="77777777" w:rsidR="00647BA5" w:rsidRDefault="00647BA5" w:rsidP="00647BA5">
      <w:pPr>
        <w:pStyle w:val="Heading2"/>
      </w:pPr>
      <w:r w:rsidRPr="00504405">
        <w:t>Limitations</w:t>
      </w:r>
    </w:p>
    <w:p w14:paraId="16ECAEAC" w14:textId="76787957" w:rsidR="00647BA5" w:rsidRPr="00504405" w:rsidRDefault="005C1F4B" w:rsidP="00647BA5">
      <w:pPr>
        <w:rPr>
          <w:b/>
        </w:rPr>
      </w:pPr>
      <w:r>
        <w:t>None</w:t>
      </w:r>
    </w:p>
    <w:p w14:paraId="5576DE63" w14:textId="77777777" w:rsidR="00647BA5" w:rsidRPr="00DC590C" w:rsidRDefault="00647BA5" w:rsidP="00F71F11"/>
    <w:p w14:paraId="00D2E271" w14:textId="77777777" w:rsidR="00B738CA" w:rsidRDefault="00B738CA">
      <w:pPr>
        <w:spacing w:after="0"/>
        <w:outlineLvl w:val="9"/>
        <w:rPr>
          <w:b/>
          <w:sz w:val="24"/>
          <w:szCs w:val="22"/>
        </w:rPr>
      </w:pPr>
      <w:r>
        <w:rPr>
          <w:szCs w:val="22"/>
        </w:rPr>
        <w:br w:type="page"/>
      </w:r>
    </w:p>
    <w:p w14:paraId="0812FDE5" w14:textId="1C338DC8" w:rsidR="00975A60" w:rsidRPr="00DC590C" w:rsidRDefault="00F9142E" w:rsidP="00975A60">
      <w:pPr>
        <w:pStyle w:val="Heading2"/>
        <w:rPr>
          <w:rFonts w:cs="Arial"/>
          <w:szCs w:val="22"/>
        </w:rPr>
      </w:pPr>
      <w:r>
        <w:rPr>
          <w:rFonts w:cs="Arial"/>
          <w:szCs w:val="22"/>
        </w:rPr>
        <w:lastRenderedPageBreak/>
        <w:t>Upper GI endoscopy</w:t>
      </w:r>
    </w:p>
    <w:p w14:paraId="74107ED4" w14:textId="269CFEC4" w:rsidR="009B44BE" w:rsidRDefault="00F9142E" w:rsidP="00F9142E">
      <w:pPr>
        <w:pStyle w:val="Heading3"/>
        <w:rPr>
          <w:szCs w:val="22"/>
        </w:rPr>
      </w:pPr>
      <w:r>
        <w:t>Urgent referrals</w:t>
      </w:r>
    </w:p>
    <w:p w14:paraId="58E51255" w14:textId="4869E76D" w:rsidR="009B44BE" w:rsidRDefault="00F9142E" w:rsidP="009B44BE">
      <w:pPr>
        <w:rPr>
          <w:szCs w:val="22"/>
        </w:rPr>
      </w:pPr>
      <w:r>
        <w:rPr>
          <w:szCs w:val="22"/>
        </w:rPr>
        <w:t>Refer the following patients for urgent endoscopy:</w:t>
      </w:r>
    </w:p>
    <w:p w14:paraId="21E01545" w14:textId="5945B4A6" w:rsidR="00F9142E" w:rsidRPr="00F9142E" w:rsidRDefault="00F9142E" w:rsidP="00F9142E">
      <w:pPr>
        <w:pStyle w:val="ListParagraph"/>
        <w:numPr>
          <w:ilvl w:val="0"/>
          <w:numId w:val="3"/>
        </w:numPr>
        <w:rPr>
          <w:szCs w:val="22"/>
        </w:rPr>
      </w:pPr>
      <w:r w:rsidRPr="00F9142E">
        <w:rPr>
          <w:szCs w:val="22"/>
        </w:rPr>
        <w:t>Anyone with dysphagia</w:t>
      </w:r>
    </w:p>
    <w:p w14:paraId="623034D8" w14:textId="056D97CC" w:rsidR="00F9142E" w:rsidRPr="00F9142E" w:rsidRDefault="00F9142E" w:rsidP="00F9142E">
      <w:pPr>
        <w:pStyle w:val="ListParagraph"/>
        <w:numPr>
          <w:ilvl w:val="0"/>
          <w:numId w:val="3"/>
        </w:numPr>
        <w:rPr>
          <w:szCs w:val="22"/>
        </w:rPr>
      </w:pPr>
      <w:r w:rsidRPr="00F9142E">
        <w:rPr>
          <w:szCs w:val="22"/>
        </w:rPr>
        <w:t xml:space="preserve">Anyone with an upper abdominal mass consistent with stomach cancer (after doing an US). </w:t>
      </w:r>
    </w:p>
    <w:p w14:paraId="70FCEE37" w14:textId="2A2ECE9A" w:rsidR="00F9142E" w:rsidRDefault="00F9142E" w:rsidP="00F9142E">
      <w:pPr>
        <w:pStyle w:val="ListParagraph"/>
        <w:numPr>
          <w:ilvl w:val="0"/>
          <w:numId w:val="3"/>
        </w:numPr>
        <w:rPr>
          <w:szCs w:val="22"/>
        </w:rPr>
      </w:pPr>
      <w:r w:rsidRPr="00F9142E">
        <w:rPr>
          <w:szCs w:val="22"/>
        </w:rPr>
        <w:t xml:space="preserve">Patients aged 55 years and older who have weight loss and </w:t>
      </w:r>
      <w:r>
        <w:rPr>
          <w:szCs w:val="22"/>
        </w:rPr>
        <w:t>one of</w:t>
      </w:r>
      <w:r w:rsidRPr="00F9142E">
        <w:rPr>
          <w:szCs w:val="22"/>
        </w:rPr>
        <w:t xml:space="preserve"> upper abdominal pain, reflux or dyspepsia. </w:t>
      </w:r>
    </w:p>
    <w:p w14:paraId="60B8C129" w14:textId="5707DF59" w:rsidR="00CE4E4D" w:rsidRDefault="00CE4E4D" w:rsidP="00F9142E">
      <w:pPr>
        <w:pStyle w:val="ListParagraph"/>
        <w:numPr>
          <w:ilvl w:val="0"/>
          <w:numId w:val="3"/>
        </w:numPr>
        <w:rPr>
          <w:szCs w:val="22"/>
        </w:rPr>
      </w:pPr>
      <w:r>
        <w:rPr>
          <w:szCs w:val="22"/>
        </w:rPr>
        <w:t xml:space="preserve">Anyone with findings suggestive of upper GI malignancy on barium study, CT or US. </w:t>
      </w:r>
    </w:p>
    <w:p w14:paraId="64103425" w14:textId="366224B0" w:rsidR="005502E6" w:rsidRPr="005502E6" w:rsidRDefault="005502E6" w:rsidP="005502E6">
      <w:pPr>
        <w:pStyle w:val="ListParagraph"/>
        <w:numPr>
          <w:ilvl w:val="0"/>
          <w:numId w:val="3"/>
        </w:numPr>
      </w:pPr>
      <w:r>
        <w:t xml:space="preserve">Patients with </w:t>
      </w:r>
      <w:proofErr w:type="spellStart"/>
      <w:r>
        <w:t>haematemesis</w:t>
      </w:r>
      <w:proofErr w:type="spellEnd"/>
    </w:p>
    <w:p w14:paraId="19F2D60B" w14:textId="12376C44" w:rsidR="00F9142E" w:rsidRPr="00F9142E" w:rsidRDefault="00F9142E" w:rsidP="00F9142E">
      <w:pPr>
        <w:rPr>
          <w:szCs w:val="22"/>
        </w:rPr>
      </w:pPr>
      <w:r>
        <w:rPr>
          <w:szCs w:val="22"/>
        </w:rPr>
        <w:t xml:space="preserve">When patients are admitted with active GI bleeding and </w:t>
      </w:r>
      <w:proofErr w:type="spellStart"/>
      <w:r>
        <w:rPr>
          <w:szCs w:val="22"/>
        </w:rPr>
        <w:t>haemodynamic</w:t>
      </w:r>
      <w:proofErr w:type="spellEnd"/>
      <w:r>
        <w:rPr>
          <w:szCs w:val="22"/>
        </w:rPr>
        <w:t xml:space="preserve"> instability, resuscitate the patient and urgently contact the endoscopist for review and possible emergency endoscopy. </w:t>
      </w:r>
    </w:p>
    <w:p w14:paraId="136237DC" w14:textId="0878A984" w:rsidR="00975A60" w:rsidRPr="00DC590C" w:rsidRDefault="00F9142E" w:rsidP="00F9142E">
      <w:pPr>
        <w:pStyle w:val="Heading3"/>
      </w:pPr>
      <w:r>
        <w:t>Routine referrals</w:t>
      </w:r>
    </w:p>
    <w:p w14:paraId="13C8A081" w14:textId="38833C64" w:rsidR="00DA20ED" w:rsidRDefault="00F9142E" w:rsidP="00F71F11">
      <w:r>
        <w:t>Refer the following patients for routine endoscopy:</w:t>
      </w:r>
    </w:p>
    <w:p w14:paraId="29D82A35" w14:textId="77777777" w:rsidR="00F9142E" w:rsidRDefault="00F9142E" w:rsidP="00383C22">
      <w:pPr>
        <w:pStyle w:val="ListParagraph"/>
        <w:numPr>
          <w:ilvl w:val="0"/>
          <w:numId w:val="4"/>
        </w:numPr>
      </w:pPr>
      <w:r>
        <w:t>Patients aged 55 years and older who have:</w:t>
      </w:r>
    </w:p>
    <w:p w14:paraId="06AF3E90" w14:textId="3C284D11" w:rsidR="00F9142E" w:rsidRDefault="00F9142E" w:rsidP="00383C22">
      <w:pPr>
        <w:pStyle w:val="ListParagraph"/>
        <w:numPr>
          <w:ilvl w:val="1"/>
          <w:numId w:val="4"/>
        </w:numPr>
      </w:pPr>
      <w:r>
        <w:t>treatment resistant dyspepsia</w:t>
      </w:r>
    </w:p>
    <w:p w14:paraId="7E837471" w14:textId="07EAD6B7" w:rsidR="00F9142E" w:rsidRDefault="00F9142E" w:rsidP="00383C22">
      <w:pPr>
        <w:pStyle w:val="ListParagraph"/>
        <w:numPr>
          <w:ilvl w:val="1"/>
          <w:numId w:val="4"/>
        </w:numPr>
      </w:pPr>
      <w:r>
        <w:t>upper abdominal pain and low Hb</w:t>
      </w:r>
    </w:p>
    <w:p w14:paraId="72638F13" w14:textId="54CBE469" w:rsidR="00F9142E" w:rsidRDefault="00F9142E" w:rsidP="00383C22">
      <w:pPr>
        <w:pStyle w:val="ListParagraph"/>
        <w:numPr>
          <w:ilvl w:val="1"/>
          <w:numId w:val="4"/>
        </w:numPr>
      </w:pPr>
      <w:r>
        <w:t>raised platelet count and nausea, vomiting, weight loss, reflux, dyspepsia or upper abdominal pain</w:t>
      </w:r>
    </w:p>
    <w:p w14:paraId="716E4538" w14:textId="1F6D3710" w:rsidR="00CE4E4D" w:rsidRDefault="00F9142E" w:rsidP="00CE4E4D">
      <w:pPr>
        <w:pStyle w:val="ListParagraph"/>
        <w:numPr>
          <w:ilvl w:val="1"/>
          <w:numId w:val="4"/>
        </w:numPr>
      </w:pPr>
      <w:r>
        <w:t>nausea or vomiting and weight loss, reflux, dyspepsia or upper abdominal pain.</w:t>
      </w:r>
    </w:p>
    <w:p w14:paraId="3BE62333" w14:textId="25F2F428" w:rsidR="00CE4E4D" w:rsidRDefault="00CE4E4D" w:rsidP="00CE4E4D">
      <w:pPr>
        <w:pStyle w:val="ListParagraph"/>
        <w:numPr>
          <w:ilvl w:val="0"/>
          <w:numId w:val="4"/>
        </w:numPr>
      </w:pPr>
      <w:r>
        <w:t xml:space="preserve">Patients with an established diagnosis of cirrhosis. </w:t>
      </w:r>
    </w:p>
    <w:p w14:paraId="748D575A" w14:textId="08306A24" w:rsidR="00F630D8" w:rsidRPr="009B44BE" w:rsidRDefault="00F630D8" w:rsidP="00CE4E4D">
      <w:pPr>
        <w:pStyle w:val="ListParagraph"/>
        <w:numPr>
          <w:ilvl w:val="0"/>
          <w:numId w:val="4"/>
        </w:numPr>
      </w:pPr>
      <w:r>
        <w:t xml:space="preserve">Patients with persistent microcytic </w:t>
      </w:r>
      <w:proofErr w:type="spellStart"/>
      <w:r>
        <w:t>anaemia</w:t>
      </w:r>
      <w:proofErr w:type="spellEnd"/>
      <w:r>
        <w:t xml:space="preserve"> which is unexplained and unresponsive to </w:t>
      </w:r>
      <w:r w:rsidR="00B738CA">
        <w:t>3 months</w:t>
      </w:r>
      <w:r w:rsidR="00CC3EDF">
        <w:t>’</w:t>
      </w:r>
      <w:r w:rsidR="00B738CA">
        <w:t xml:space="preserve"> treatment with </w:t>
      </w:r>
      <w:r>
        <w:t>iron therapy</w:t>
      </w:r>
      <w:r w:rsidR="00EA7D68">
        <w:t xml:space="preserve"> and </w:t>
      </w:r>
      <w:r w:rsidR="00B27E97">
        <w:t xml:space="preserve">a course of </w:t>
      </w:r>
      <w:r w:rsidR="00EF5089">
        <w:t>anti-helminths</w:t>
      </w:r>
      <w:r>
        <w:t xml:space="preserve">. </w:t>
      </w:r>
    </w:p>
    <w:p w14:paraId="18B02BA6" w14:textId="039998F9" w:rsidR="00CD4A1D" w:rsidRPr="00DA20ED" w:rsidRDefault="00CE4E4D" w:rsidP="00F71F11">
      <w:r>
        <w:t xml:space="preserve">Patients aged under 55 with the symptoms listed both under urgent and routine referrals are more likely to have another explanation for their symptoms. If no diagnosis can be found and you are concerned, </w:t>
      </w:r>
      <w:r w:rsidR="002B7978">
        <w:t>make a request via EMRS and discuss with the endoscopist.</w:t>
      </w:r>
    </w:p>
    <w:p w14:paraId="10F78D5D" w14:textId="7AB7EE6F" w:rsidR="00975A60" w:rsidRPr="00DC590C" w:rsidRDefault="00CE4E4D" w:rsidP="00975A60">
      <w:pPr>
        <w:pStyle w:val="Heading2"/>
        <w:rPr>
          <w:rFonts w:cs="Arial"/>
          <w:szCs w:val="22"/>
        </w:rPr>
      </w:pPr>
      <w:r>
        <w:rPr>
          <w:rFonts w:cs="Arial"/>
          <w:szCs w:val="22"/>
        </w:rPr>
        <w:t>Flexible sigmoidoscopy</w:t>
      </w:r>
    </w:p>
    <w:p w14:paraId="4182B19B" w14:textId="5D024DAB" w:rsidR="00F71F11" w:rsidRDefault="00CE4E4D" w:rsidP="00F71F11">
      <w:r>
        <w:t>Refer the following patients for flexible sigmoidoscopy:</w:t>
      </w:r>
    </w:p>
    <w:p w14:paraId="2DC1FBBD" w14:textId="2D03F730" w:rsidR="00CE4E4D" w:rsidRDefault="00CE4E4D" w:rsidP="00CE4E4D">
      <w:pPr>
        <w:pStyle w:val="ListParagraph"/>
        <w:numPr>
          <w:ilvl w:val="0"/>
          <w:numId w:val="5"/>
        </w:numPr>
      </w:pPr>
      <w:proofErr w:type="spellStart"/>
      <w:r>
        <w:t>Diarrhoea</w:t>
      </w:r>
      <w:proofErr w:type="spellEnd"/>
      <w:r>
        <w:t xml:space="preserve"> which doesn’t respond to treatment or persistent </w:t>
      </w:r>
      <w:proofErr w:type="spellStart"/>
      <w:r>
        <w:t>diarrhoea</w:t>
      </w:r>
      <w:proofErr w:type="spellEnd"/>
      <w:r>
        <w:t xml:space="preserve"> in an HIV negative patient.</w:t>
      </w:r>
    </w:p>
    <w:p w14:paraId="3608E9BE" w14:textId="5AFF6391" w:rsidR="00CE4E4D" w:rsidRDefault="00CE4E4D" w:rsidP="00CE4E4D">
      <w:pPr>
        <w:pStyle w:val="ListParagraph"/>
        <w:numPr>
          <w:ilvl w:val="0"/>
          <w:numId w:val="5"/>
        </w:numPr>
      </w:pPr>
      <w:r>
        <w:t xml:space="preserve">Rectal bleeding in patients aged over 40 years with no change in bowel habit. </w:t>
      </w:r>
    </w:p>
    <w:p w14:paraId="129B8B11" w14:textId="377DA5F3" w:rsidR="00CE4E4D" w:rsidRDefault="00CE4E4D" w:rsidP="00CE4E4D">
      <w:pPr>
        <w:pStyle w:val="ListParagraph"/>
        <w:numPr>
          <w:ilvl w:val="0"/>
          <w:numId w:val="5"/>
        </w:numPr>
      </w:pPr>
      <w:r>
        <w:t xml:space="preserve">Rectal bleeding in patients aged under 40 years where it is not typical of </w:t>
      </w:r>
      <w:proofErr w:type="spellStart"/>
      <w:r>
        <w:t>haemorrhoids</w:t>
      </w:r>
      <w:proofErr w:type="spellEnd"/>
      <w:r>
        <w:t>.</w:t>
      </w:r>
    </w:p>
    <w:p w14:paraId="24D5C045" w14:textId="77777777" w:rsidR="005C1F4B" w:rsidRDefault="005C1F4B">
      <w:pPr>
        <w:spacing w:after="0"/>
        <w:outlineLvl w:val="9"/>
        <w:rPr>
          <w:b/>
          <w:sz w:val="24"/>
          <w:szCs w:val="22"/>
        </w:rPr>
      </w:pPr>
      <w:r>
        <w:rPr>
          <w:szCs w:val="22"/>
        </w:rPr>
        <w:br w:type="page"/>
      </w:r>
    </w:p>
    <w:p w14:paraId="7964A1AE" w14:textId="28717D04" w:rsidR="00975A60" w:rsidRDefault="00CE4E4D" w:rsidP="00975A60">
      <w:pPr>
        <w:pStyle w:val="Heading2"/>
        <w:rPr>
          <w:rFonts w:cs="Arial"/>
          <w:szCs w:val="22"/>
        </w:rPr>
      </w:pPr>
      <w:r>
        <w:rPr>
          <w:rFonts w:cs="Arial"/>
          <w:szCs w:val="22"/>
        </w:rPr>
        <w:lastRenderedPageBreak/>
        <w:t>Colonoscopy</w:t>
      </w:r>
    </w:p>
    <w:p w14:paraId="7327BEE3" w14:textId="6B092CE4" w:rsidR="00CE4E4D" w:rsidRDefault="00CE4E4D" w:rsidP="00CE4E4D">
      <w:r>
        <w:t>Refer the following patients for colonoscopy:</w:t>
      </w:r>
    </w:p>
    <w:p w14:paraId="5A0C077C" w14:textId="767B262F" w:rsidR="00CE4E4D" w:rsidRDefault="00F630D8" w:rsidP="00F630D8">
      <w:pPr>
        <w:pStyle w:val="ListParagraph"/>
        <w:numPr>
          <w:ilvl w:val="0"/>
          <w:numId w:val="6"/>
        </w:numPr>
      </w:pPr>
      <w:r>
        <w:t xml:space="preserve">Patients 40 years and older with rectal bleeding and an increase in stool frequency or looseness for more than 6 weeks. </w:t>
      </w:r>
    </w:p>
    <w:p w14:paraId="722D04B2" w14:textId="10B620BF" w:rsidR="00F630D8" w:rsidRDefault="00F630D8" w:rsidP="00F630D8">
      <w:pPr>
        <w:pStyle w:val="ListParagraph"/>
        <w:numPr>
          <w:ilvl w:val="0"/>
          <w:numId w:val="6"/>
        </w:numPr>
      </w:pPr>
      <w:r>
        <w:t xml:space="preserve">Patients 60 years an older with either rectal bleeding for more than 6 weeks or an increase in stool frequency or looseness for more than 6 weeks. </w:t>
      </w:r>
    </w:p>
    <w:p w14:paraId="3612F017" w14:textId="23B6BFC9" w:rsidR="00F630D8" w:rsidRDefault="00F630D8" w:rsidP="00F630D8">
      <w:pPr>
        <w:pStyle w:val="ListParagraph"/>
        <w:numPr>
          <w:ilvl w:val="0"/>
          <w:numId w:val="6"/>
        </w:numPr>
      </w:pPr>
      <w:r>
        <w:t>Anyone with altered blood or blood mixed in the stool.</w:t>
      </w:r>
    </w:p>
    <w:p w14:paraId="4FF96587" w14:textId="1605138B" w:rsidR="00F630D8" w:rsidRDefault="00F630D8" w:rsidP="00F630D8">
      <w:pPr>
        <w:pStyle w:val="ListParagraph"/>
        <w:numPr>
          <w:ilvl w:val="0"/>
          <w:numId w:val="6"/>
        </w:numPr>
      </w:pPr>
      <w:r>
        <w:t xml:space="preserve">Patients with persistent microcytic </w:t>
      </w:r>
      <w:proofErr w:type="spellStart"/>
      <w:r>
        <w:t>anaemia</w:t>
      </w:r>
      <w:proofErr w:type="spellEnd"/>
      <w:r>
        <w:t xml:space="preserve"> which is unexplained and unresponsive to </w:t>
      </w:r>
      <w:r w:rsidR="00B27E97">
        <w:t xml:space="preserve">3 months’ treatment with </w:t>
      </w:r>
      <w:r>
        <w:t>iron therapy</w:t>
      </w:r>
      <w:r w:rsidR="00EF5089">
        <w:t xml:space="preserve"> and </w:t>
      </w:r>
      <w:r w:rsidR="00B27E97">
        <w:t>a course of anti</w:t>
      </w:r>
      <w:r w:rsidR="00EF5089">
        <w:t>-helminths</w:t>
      </w:r>
      <w:r>
        <w:t xml:space="preserve">. </w:t>
      </w:r>
    </w:p>
    <w:p w14:paraId="43863C7B" w14:textId="334B1E23" w:rsidR="00D60175" w:rsidRDefault="00F61965" w:rsidP="00F61965">
      <w:pPr>
        <w:pStyle w:val="Heading2"/>
      </w:pPr>
      <w:r>
        <w:t>ASA score</w:t>
      </w:r>
    </w:p>
    <w:p w14:paraId="63CFF616" w14:textId="0A3D289C" w:rsidR="00F61965" w:rsidRDefault="00F61965" w:rsidP="00D60175">
      <w:r>
        <w:t xml:space="preserve">The American </w:t>
      </w:r>
      <w:r w:rsidR="00120333">
        <w:t xml:space="preserve">Society of Anesthesiologists score is a subjective </w:t>
      </w:r>
      <w:r w:rsidR="006F6115">
        <w:t xml:space="preserve">assessment of a patient’s overall health that has been shown to be related to outcome from surgical and other procedures and which can be used to estimate the risk of the procedure and the level of support the patient may require. </w:t>
      </w:r>
    </w:p>
    <w:p w14:paraId="674B9926" w14:textId="04D6F750" w:rsidR="00B75DCB" w:rsidRDefault="00B75DCB" w:rsidP="00D60175">
      <w:r>
        <w:t xml:space="preserve">The categories are outlined below. Please indicate which category your patient falls into when completing the </w:t>
      </w:r>
      <w:r w:rsidR="00914F53">
        <w:t xml:space="preserve">request form on EMRS. </w:t>
      </w:r>
    </w:p>
    <w:p w14:paraId="45DA5CA1" w14:textId="6520588A" w:rsidR="00914F53" w:rsidRDefault="00914F53" w:rsidP="00D60175"/>
    <w:tbl>
      <w:tblPr>
        <w:tblStyle w:val="TableGrid"/>
        <w:tblW w:w="0" w:type="auto"/>
        <w:tblLook w:val="04A0" w:firstRow="1" w:lastRow="0" w:firstColumn="1" w:lastColumn="0" w:noHBand="0" w:noVBand="1"/>
      </w:tblPr>
      <w:tblGrid>
        <w:gridCol w:w="1413"/>
        <w:gridCol w:w="7217"/>
      </w:tblGrid>
      <w:tr w:rsidR="00914F53" w14:paraId="669E578F" w14:textId="77777777" w:rsidTr="00914F53">
        <w:tc>
          <w:tcPr>
            <w:tcW w:w="1413" w:type="dxa"/>
          </w:tcPr>
          <w:p w14:paraId="01AB2FC1" w14:textId="50173B95" w:rsidR="00914F53" w:rsidRPr="00914F53" w:rsidRDefault="00914F53" w:rsidP="00D60175">
            <w:pPr>
              <w:rPr>
                <w:b/>
                <w:bCs/>
              </w:rPr>
            </w:pPr>
            <w:r w:rsidRPr="00914F53">
              <w:rPr>
                <w:b/>
                <w:bCs/>
              </w:rPr>
              <w:t>ASA score</w:t>
            </w:r>
          </w:p>
        </w:tc>
        <w:tc>
          <w:tcPr>
            <w:tcW w:w="7217" w:type="dxa"/>
          </w:tcPr>
          <w:p w14:paraId="1F53A2EE" w14:textId="6CAE35D0" w:rsidR="00914F53" w:rsidRPr="00914F53" w:rsidRDefault="00914F53" w:rsidP="00914F53">
            <w:pPr>
              <w:rPr>
                <w:b/>
                <w:bCs/>
              </w:rPr>
            </w:pPr>
            <w:r w:rsidRPr="00914F53">
              <w:rPr>
                <w:b/>
                <w:bCs/>
              </w:rPr>
              <w:t>Definition</w:t>
            </w:r>
          </w:p>
        </w:tc>
      </w:tr>
      <w:tr w:rsidR="00914F53" w14:paraId="7C050549" w14:textId="77777777" w:rsidTr="00914F53">
        <w:tc>
          <w:tcPr>
            <w:tcW w:w="1413" w:type="dxa"/>
          </w:tcPr>
          <w:p w14:paraId="6391E449" w14:textId="2655B240" w:rsidR="00914F53" w:rsidRDefault="00914F53" w:rsidP="00D60175">
            <w:r>
              <w:t>I</w:t>
            </w:r>
          </w:p>
        </w:tc>
        <w:tc>
          <w:tcPr>
            <w:tcW w:w="7217" w:type="dxa"/>
          </w:tcPr>
          <w:p w14:paraId="6EEFAE77" w14:textId="159A428F" w:rsidR="00914F53" w:rsidRPr="00914F53" w:rsidRDefault="00914F53" w:rsidP="00D60175">
            <w:pPr>
              <w:rPr>
                <w:rFonts w:ascii="Times New Roman" w:hAnsi="Times New Roman"/>
                <w:sz w:val="24"/>
                <w:lang w:val="en-GB"/>
              </w:rPr>
            </w:pPr>
            <w:r>
              <w:t>Patient is a completely healthy fit patient.</w:t>
            </w:r>
          </w:p>
        </w:tc>
      </w:tr>
      <w:tr w:rsidR="00914F53" w14:paraId="3389C5E7" w14:textId="77777777" w:rsidTr="00914F53">
        <w:tc>
          <w:tcPr>
            <w:tcW w:w="1413" w:type="dxa"/>
          </w:tcPr>
          <w:p w14:paraId="67A8BDAC" w14:textId="6F155C8A" w:rsidR="00914F53" w:rsidRDefault="00914F53" w:rsidP="00D60175">
            <w:r>
              <w:t>II</w:t>
            </w:r>
          </w:p>
        </w:tc>
        <w:tc>
          <w:tcPr>
            <w:tcW w:w="7217" w:type="dxa"/>
          </w:tcPr>
          <w:p w14:paraId="4F816EF0" w14:textId="65658580" w:rsidR="00914F53" w:rsidRDefault="00914F53" w:rsidP="00D60175">
            <w:r>
              <w:t>Patient has mild systemic disease.</w:t>
            </w:r>
          </w:p>
        </w:tc>
      </w:tr>
      <w:tr w:rsidR="00914F53" w14:paraId="28A7E3B2" w14:textId="77777777" w:rsidTr="00914F53">
        <w:tc>
          <w:tcPr>
            <w:tcW w:w="1413" w:type="dxa"/>
          </w:tcPr>
          <w:p w14:paraId="477A0B28" w14:textId="33E6A007" w:rsidR="00914F53" w:rsidRDefault="00914F53" w:rsidP="00D60175">
            <w:r>
              <w:t>III</w:t>
            </w:r>
          </w:p>
        </w:tc>
        <w:tc>
          <w:tcPr>
            <w:tcW w:w="7217" w:type="dxa"/>
          </w:tcPr>
          <w:p w14:paraId="300AC803" w14:textId="27917E9D" w:rsidR="00914F53" w:rsidRDefault="00914F53" w:rsidP="00D60175">
            <w:r>
              <w:t>Patient has severe systemic disease that is not incapacitating.</w:t>
            </w:r>
          </w:p>
        </w:tc>
      </w:tr>
      <w:tr w:rsidR="00914F53" w14:paraId="6A68E59C" w14:textId="77777777" w:rsidTr="00914F53">
        <w:tc>
          <w:tcPr>
            <w:tcW w:w="1413" w:type="dxa"/>
          </w:tcPr>
          <w:p w14:paraId="4BD6FDE1" w14:textId="63CA6BE9" w:rsidR="00914F53" w:rsidRDefault="00914F53" w:rsidP="00D60175">
            <w:r>
              <w:t>IV</w:t>
            </w:r>
          </w:p>
        </w:tc>
        <w:tc>
          <w:tcPr>
            <w:tcW w:w="7217" w:type="dxa"/>
          </w:tcPr>
          <w:p w14:paraId="11D66EE4" w14:textId="7BBBA8A0" w:rsidR="00914F53" w:rsidRDefault="00914F53" w:rsidP="00D60175">
            <w:r>
              <w:t>Patient has incapacitating disease that is a constant threat to life.</w:t>
            </w:r>
          </w:p>
        </w:tc>
      </w:tr>
      <w:tr w:rsidR="00914F53" w14:paraId="6E3CAFF6" w14:textId="77777777" w:rsidTr="00914F53">
        <w:tc>
          <w:tcPr>
            <w:tcW w:w="1413" w:type="dxa"/>
          </w:tcPr>
          <w:p w14:paraId="553D8822" w14:textId="679AAAF9" w:rsidR="00914F53" w:rsidRDefault="00914F53" w:rsidP="00D60175">
            <w:r>
              <w:t>V</w:t>
            </w:r>
          </w:p>
        </w:tc>
        <w:tc>
          <w:tcPr>
            <w:tcW w:w="7217" w:type="dxa"/>
          </w:tcPr>
          <w:p w14:paraId="349C60DC" w14:textId="69F8D0A5" w:rsidR="00914F53" w:rsidRDefault="00914F53" w:rsidP="00D60175">
            <w:r>
              <w:t>A moribund patient who is not expected to live 24 hour</w:t>
            </w:r>
            <w:r>
              <w:t>s</w:t>
            </w:r>
            <w:r>
              <w:t xml:space="preserve"> with or without surgery</w:t>
            </w:r>
            <w:r>
              <w:t xml:space="preserve"> or intervention.</w:t>
            </w:r>
          </w:p>
        </w:tc>
      </w:tr>
    </w:tbl>
    <w:p w14:paraId="26465226" w14:textId="77777777" w:rsidR="006F6115" w:rsidRPr="009B44BE" w:rsidRDefault="006F6115" w:rsidP="00D60175">
      <w:bookmarkStart w:id="0" w:name="_GoBack"/>
      <w:bookmarkEnd w:id="0"/>
    </w:p>
    <w:p w14:paraId="2CC508CB" w14:textId="3B9D192C" w:rsidR="00515546" w:rsidRPr="00DC590C" w:rsidRDefault="00515546" w:rsidP="00515546">
      <w:pPr>
        <w:pStyle w:val="Heading2"/>
        <w:rPr>
          <w:rFonts w:cs="Arial"/>
          <w:szCs w:val="22"/>
        </w:rPr>
      </w:pPr>
      <w:r w:rsidRPr="00DC590C">
        <w:rPr>
          <w:rFonts w:cs="Arial"/>
          <w:szCs w:val="22"/>
        </w:rPr>
        <w:t>References</w:t>
      </w:r>
    </w:p>
    <w:p w14:paraId="2C0B8BB7" w14:textId="7CCCC5D3" w:rsidR="009165E9" w:rsidRPr="009165E9" w:rsidRDefault="00A87F83" w:rsidP="009165E9">
      <w:pPr>
        <w:rPr>
          <w:sz w:val="20"/>
          <w:szCs w:val="20"/>
        </w:rPr>
      </w:pPr>
      <w:r>
        <w:rPr>
          <w:sz w:val="20"/>
          <w:szCs w:val="20"/>
        </w:rPr>
        <w:t xml:space="preserve">BSG, AUGIS, ACPGBI Position statement. Guidance on the indications for diagnostic upper GI endoscopy, flexible sigmoidoscopy and colonoscopy. </w:t>
      </w:r>
      <w:r w:rsidR="000C51FC">
        <w:rPr>
          <w:sz w:val="20"/>
          <w:szCs w:val="20"/>
        </w:rPr>
        <w:t>2011.</w:t>
      </w:r>
    </w:p>
    <w:p w14:paraId="01C9A21D" w14:textId="0C440216" w:rsidR="00975A60" w:rsidRPr="00A312D8" w:rsidRDefault="00975A60" w:rsidP="00975A6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9EA91E7" w14:textId="77777777" w:rsidTr="00515546">
        <w:trPr>
          <w:trHeight w:val="20"/>
        </w:trPr>
        <w:tc>
          <w:tcPr>
            <w:tcW w:w="2139" w:type="dxa"/>
            <w:shd w:val="clear" w:color="auto" w:fill="auto"/>
            <w:vAlign w:val="bottom"/>
          </w:tcPr>
          <w:p w14:paraId="51788571"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7A431DF" w14:textId="1EB6D4E0" w:rsidR="004C4442" w:rsidRPr="00515546" w:rsidRDefault="004C4442" w:rsidP="00522C6C">
            <w:pPr>
              <w:spacing w:after="0"/>
              <w:rPr>
                <w:szCs w:val="22"/>
              </w:rPr>
            </w:pPr>
            <w:r w:rsidRPr="00515546">
              <w:rPr>
                <w:szCs w:val="22"/>
              </w:rPr>
              <w:t xml:space="preserve">Name: </w:t>
            </w:r>
            <w:r w:rsidR="00A312D8">
              <w:rPr>
                <w:szCs w:val="22"/>
              </w:rPr>
              <w:t>Karen Forrest</w:t>
            </w:r>
          </w:p>
        </w:tc>
        <w:tc>
          <w:tcPr>
            <w:tcW w:w="2869" w:type="dxa"/>
            <w:shd w:val="clear" w:color="auto" w:fill="auto"/>
            <w:vAlign w:val="bottom"/>
          </w:tcPr>
          <w:p w14:paraId="1119E81E" w14:textId="589CB414" w:rsidR="004C4442" w:rsidRPr="00515546" w:rsidRDefault="004C4442" w:rsidP="00522C6C">
            <w:pPr>
              <w:spacing w:after="0"/>
              <w:rPr>
                <w:szCs w:val="22"/>
              </w:rPr>
            </w:pPr>
            <w:r w:rsidRPr="00515546">
              <w:rPr>
                <w:szCs w:val="22"/>
              </w:rPr>
              <w:t xml:space="preserve">Date: </w:t>
            </w:r>
            <w:r w:rsidR="00D573AB">
              <w:rPr>
                <w:szCs w:val="22"/>
              </w:rPr>
              <w:t>01 November 2019</w:t>
            </w:r>
          </w:p>
        </w:tc>
      </w:tr>
      <w:tr w:rsidR="004C4442" w:rsidRPr="00515546" w14:paraId="4D4700F0" w14:textId="77777777" w:rsidTr="00515546">
        <w:trPr>
          <w:trHeight w:val="20"/>
        </w:trPr>
        <w:tc>
          <w:tcPr>
            <w:tcW w:w="2139" w:type="dxa"/>
            <w:shd w:val="clear" w:color="auto" w:fill="auto"/>
            <w:vAlign w:val="bottom"/>
          </w:tcPr>
          <w:p w14:paraId="26EC1DF1"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4B4563EB" w14:textId="600EBBFA" w:rsidR="004C4442" w:rsidRPr="00515546" w:rsidRDefault="004C4442" w:rsidP="00522C6C">
            <w:pPr>
              <w:spacing w:after="0"/>
              <w:rPr>
                <w:szCs w:val="22"/>
              </w:rPr>
            </w:pPr>
            <w:r w:rsidRPr="00515546">
              <w:rPr>
                <w:szCs w:val="22"/>
              </w:rPr>
              <w:t xml:space="preserve">Name: </w:t>
            </w:r>
            <w:r w:rsidR="00D573AB">
              <w:rPr>
                <w:szCs w:val="22"/>
              </w:rPr>
              <w:t>Will Taylor</w:t>
            </w:r>
          </w:p>
        </w:tc>
        <w:tc>
          <w:tcPr>
            <w:tcW w:w="2869" w:type="dxa"/>
            <w:shd w:val="clear" w:color="auto" w:fill="auto"/>
            <w:vAlign w:val="bottom"/>
          </w:tcPr>
          <w:p w14:paraId="4016FF25" w14:textId="313ED3CA" w:rsidR="004C4442" w:rsidRPr="00515546" w:rsidRDefault="004C4442" w:rsidP="00522C6C">
            <w:pPr>
              <w:spacing w:after="0"/>
              <w:rPr>
                <w:szCs w:val="22"/>
              </w:rPr>
            </w:pPr>
            <w:r w:rsidRPr="00515546">
              <w:rPr>
                <w:szCs w:val="22"/>
              </w:rPr>
              <w:t xml:space="preserve">Date: </w:t>
            </w:r>
            <w:r w:rsidR="00D573AB">
              <w:rPr>
                <w:szCs w:val="22"/>
              </w:rPr>
              <w:t>04 November 2019</w:t>
            </w:r>
          </w:p>
        </w:tc>
      </w:tr>
      <w:tr w:rsidR="004C4442" w:rsidRPr="00515546" w14:paraId="2F149752" w14:textId="77777777" w:rsidTr="00515546">
        <w:trPr>
          <w:trHeight w:val="20"/>
        </w:trPr>
        <w:tc>
          <w:tcPr>
            <w:tcW w:w="2139" w:type="dxa"/>
            <w:shd w:val="clear" w:color="auto" w:fill="auto"/>
            <w:vAlign w:val="bottom"/>
          </w:tcPr>
          <w:p w14:paraId="37FBD081"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527AAC1F"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4729F123" w14:textId="77777777" w:rsidR="004C4442" w:rsidRPr="00515546" w:rsidRDefault="004C4442" w:rsidP="00522C6C">
            <w:pPr>
              <w:spacing w:after="0"/>
              <w:rPr>
                <w:b/>
                <w:szCs w:val="22"/>
              </w:rPr>
            </w:pPr>
            <w:r w:rsidRPr="00515546">
              <w:rPr>
                <w:b/>
                <w:szCs w:val="22"/>
              </w:rPr>
              <w:t>Review due date:</w:t>
            </w:r>
          </w:p>
        </w:tc>
      </w:tr>
      <w:tr w:rsidR="004C4442" w:rsidRPr="00515546" w14:paraId="3C2BC1AB" w14:textId="77777777" w:rsidTr="00515546">
        <w:trPr>
          <w:trHeight w:val="20"/>
        </w:trPr>
        <w:tc>
          <w:tcPr>
            <w:tcW w:w="2139" w:type="dxa"/>
            <w:shd w:val="clear" w:color="auto" w:fill="auto"/>
            <w:vAlign w:val="bottom"/>
          </w:tcPr>
          <w:p w14:paraId="43FDE2D4"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7DF3C823"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0C51E0DA" w14:textId="1E5D2E8B" w:rsidR="004C4442" w:rsidRPr="00515546" w:rsidRDefault="00D573AB" w:rsidP="00522C6C">
            <w:pPr>
              <w:spacing w:after="0"/>
              <w:rPr>
                <w:szCs w:val="22"/>
              </w:rPr>
            </w:pPr>
            <w:r>
              <w:rPr>
                <w:szCs w:val="22"/>
              </w:rPr>
              <w:t>04 November 2021</w:t>
            </w:r>
          </w:p>
        </w:tc>
      </w:tr>
      <w:tr w:rsidR="004C4442" w:rsidRPr="00515546" w14:paraId="2E66B3C0" w14:textId="77777777" w:rsidTr="00515546">
        <w:trPr>
          <w:trHeight w:val="20"/>
        </w:trPr>
        <w:tc>
          <w:tcPr>
            <w:tcW w:w="2139" w:type="dxa"/>
            <w:shd w:val="clear" w:color="auto" w:fill="auto"/>
            <w:vAlign w:val="bottom"/>
          </w:tcPr>
          <w:p w14:paraId="75B198FB" w14:textId="77777777" w:rsidR="004C4442" w:rsidRPr="00515546" w:rsidRDefault="004C4442" w:rsidP="00522C6C">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946C98C" w14:textId="77777777" w:rsidR="004C4442" w:rsidRPr="00515546" w:rsidRDefault="004C4442" w:rsidP="00522C6C">
            <w:pPr>
              <w:spacing w:after="0"/>
              <w:rPr>
                <w:szCs w:val="22"/>
              </w:rPr>
            </w:pPr>
          </w:p>
        </w:tc>
        <w:tc>
          <w:tcPr>
            <w:tcW w:w="2869" w:type="dxa"/>
            <w:shd w:val="clear" w:color="auto" w:fill="auto"/>
            <w:vAlign w:val="bottom"/>
          </w:tcPr>
          <w:p w14:paraId="6BAEDD25" w14:textId="77777777" w:rsidR="004C4442" w:rsidRPr="00515546" w:rsidRDefault="004C4442" w:rsidP="00522C6C">
            <w:pPr>
              <w:spacing w:after="0"/>
              <w:rPr>
                <w:b/>
                <w:szCs w:val="22"/>
              </w:rPr>
            </w:pPr>
          </w:p>
        </w:tc>
      </w:tr>
    </w:tbl>
    <w:p w14:paraId="659198CC" w14:textId="77777777" w:rsidR="00975A60" w:rsidRPr="00CC3CF5" w:rsidRDefault="00975A60" w:rsidP="00975A60">
      <w:pPr>
        <w:rPr>
          <w:szCs w:val="22"/>
        </w:rPr>
      </w:pPr>
    </w:p>
    <w:sectPr w:rsidR="00975A60" w:rsidRPr="00CC3CF5" w:rsidSect="001133F3">
      <w:headerReference w:type="default" r:id="rId7"/>
      <w:footerReference w:type="even" r:id="rId8"/>
      <w:footerReference w:type="default" r:id="rId9"/>
      <w:headerReference w:type="first" r:id="rId10"/>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AAD73" w14:textId="77777777" w:rsidR="00CB5F7B" w:rsidRDefault="00CB5F7B" w:rsidP="00975A60">
      <w:pPr>
        <w:spacing w:after="0"/>
      </w:pPr>
      <w:r>
        <w:separator/>
      </w:r>
    </w:p>
  </w:endnote>
  <w:endnote w:type="continuationSeparator" w:id="0">
    <w:p w14:paraId="56B3529E" w14:textId="77777777" w:rsidR="00CB5F7B" w:rsidRDefault="00CB5F7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54C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7F37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0CA87"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29FC" w14:textId="77777777" w:rsidR="00CB5F7B" w:rsidRDefault="00CB5F7B" w:rsidP="00975A60">
      <w:pPr>
        <w:spacing w:after="0"/>
      </w:pPr>
      <w:r>
        <w:separator/>
      </w:r>
    </w:p>
  </w:footnote>
  <w:footnote w:type="continuationSeparator" w:id="0">
    <w:p w14:paraId="7163430E" w14:textId="77777777" w:rsidR="00CB5F7B" w:rsidRDefault="00CB5F7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2E04A" w14:textId="29B818AA" w:rsidR="00685966" w:rsidRPr="00F87812" w:rsidRDefault="00685966" w:rsidP="00685966">
    <w:pPr>
      <w:pStyle w:val="Header"/>
    </w:pPr>
    <w:r w:rsidRPr="00F87812">
      <w:t>Identification code: MeG-CLS-</w:t>
    </w:r>
    <w:r w:rsidR="0018628B">
      <w:t>078</w:t>
    </w:r>
    <w:r w:rsidRPr="00F87812">
      <w:tab/>
    </w:r>
  </w:p>
  <w:p w14:paraId="7A936061" w14:textId="7EDF5082" w:rsidR="00685966" w:rsidRPr="00F87812" w:rsidRDefault="00685966" w:rsidP="00685966">
    <w:pPr>
      <w:pStyle w:val="Header"/>
    </w:pPr>
    <w:r w:rsidRPr="00F87812">
      <w:t xml:space="preserve">Version: </w:t>
    </w:r>
    <w:r w:rsidRPr="0095050B">
      <w:t xml:space="preserve">1.0 – </w:t>
    </w:r>
    <w:r w:rsidR="006F6F9D">
      <w:t>04 November 2019</w:t>
    </w:r>
  </w:p>
  <w:p w14:paraId="64E1BBEA" w14:textId="77777777" w:rsidR="00685966" w:rsidRPr="003C0800" w:rsidRDefault="00685966" w:rsidP="00DC590C">
    <w:pPr>
      <w:pStyle w:val="Header"/>
      <w:ind w:firstLine="2880"/>
      <w:rPr>
        <w:rFonts w:cs="Arial"/>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D211" w14:textId="77777777" w:rsidR="001133F3" w:rsidRDefault="001133F3" w:rsidP="001133F3">
    <w:pPr>
      <w:pStyle w:val="Header"/>
      <w:ind w:firstLine="2880"/>
      <w:rPr>
        <w:rFonts w:cs="Arial"/>
        <w:b/>
      </w:rPr>
    </w:pPr>
    <w:r>
      <w:rPr>
        <w:rFonts w:cs="Arial"/>
        <w:b/>
        <w:noProof/>
      </w:rPr>
      <w:drawing>
        <wp:anchor distT="0" distB="0" distL="114300" distR="114300" simplePos="0" relativeHeight="251660288" behindDoc="1" locked="0" layoutInCell="1" allowOverlap="1" wp14:anchorId="01D32C4D" wp14:editId="1D572A1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526B21E" w14:textId="77777777" w:rsidR="001133F3" w:rsidRDefault="001133F3" w:rsidP="001133F3">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88BD781" w14:textId="77777777" w:rsidR="001133F3" w:rsidRDefault="001133F3" w:rsidP="001133F3">
    <w:pPr>
      <w:pStyle w:val="Header"/>
      <w:ind w:firstLine="2880"/>
      <w:rPr>
        <w:rFonts w:cs="Arial"/>
        <w:b/>
      </w:rPr>
    </w:pPr>
  </w:p>
  <w:p w14:paraId="67D748F3" w14:textId="10B916E9" w:rsidR="001133F3" w:rsidRPr="00F87812" w:rsidRDefault="001133F3" w:rsidP="001133F3">
    <w:pPr>
      <w:pStyle w:val="Header"/>
    </w:pPr>
    <w:r w:rsidRPr="00F87812">
      <w:t>Identification code: MeG-CLS-</w:t>
    </w:r>
    <w:r w:rsidR="0018628B">
      <w:t>078</w:t>
    </w:r>
    <w:r w:rsidRPr="00F87812">
      <w:tab/>
    </w:r>
  </w:p>
  <w:p w14:paraId="4916915B" w14:textId="77777777" w:rsidR="001133F3" w:rsidRPr="00F87812" w:rsidRDefault="001133F3" w:rsidP="001133F3">
    <w:pPr>
      <w:pStyle w:val="Header"/>
    </w:pPr>
    <w:r w:rsidRPr="00F87812">
      <w:t xml:space="preserve">Version: </w:t>
    </w:r>
    <w:r w:rsidRPr="0095050B">
      <w:t xml:space="preserve">1.0 – </w:t>
    </w:r>
    <w:r>
      <w:t>04 November 2019</w:t>
    </w:r>
  </w:p>
  <w:p w14:paraId="7DC1119A" w14:textId="77777777" w:rsidR="00685966" w:rsidRDefault="00685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262"/>
    <w:multiLevelType w:val="hybridMultilevel"/>
    <w:tmpl w:val="471A4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F18DF"/>
    <w:multiLevelType w:val="hybridMultilevel"/>
    <w:tmpl w:val="C0E0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4C6469"/>
    <w:multiLevelType w:val="hybridMultilevel"/>
    <w:tmpl w:val="A0BE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A7646"/>
    <w:multiLevelType w:val="multilevel"/>
    <w:tmpl w:val="60284E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90236EE"/>
    <w:multiLevelType w:val="hybridMultilevel"/>
    <w:tmpl w:val="008A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5EEE1276"/>
    <w:multiLevelType w:val="hybridMultilevel"/>
    <w:tmpl w:val="DFDEF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4"/>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0NTW2NDA1MDEzMbdQ0lEKTi0uzszPAykwrgUAb6kVmCwAAAA="/>
  </w:docVars>
  <w:rsids>
    <w:rsidRoot w:val="00633320"/>
    <w:rsid w:val="00074545"/>
    <w:rsid w:val="0008113A"/>
    <w:rsid w:val="000C51FC"/>
    <w:rsid w:val="001133F3"/>
    <w:rsid w:val="00114AAF"/>
    <w:rsid w:val="00120333"/>
    <w:rsid w:val="0018628B"/>
    <w:rsid w:val="001C1450"/>
    <w:rsid w:val="00252A11"/>
    <w:rsid w:val="0029357D"/>
    <w:rsid w:val="002A3852"/>
    <w:rsid w:val="002B7978"/>
    <w:rsid w:val="002E75BF"/>
    <w:rsid w:val="003020A2"/>
    <w:rsid w:val="003038D3"/>
    <w:rsid w:val="003225CD"/>
    <w:rsid w:val="00383C22"/>
    <w:rsid w:val="003C0800"/>
    <w:rsid w:val="003F70CA"/>
    <w:rsid w:val="004A25F0"/>
    <w:rsid w:val="004C4442"/>
    <w:rsid w:val="005151D8"/>
    <w:rsid w:val="00515546"/>
    <w:rsid w:val="005502E6"/>
    <w:rsid w:val="005C1F4B"/>
    <w:rsid w:val="005D1877"/>
    <w:rsid w:val="00633320"/>
    <w:rsid w:val="00647BA5"/>
    <w:rsid w:val="00685966"/>
    <w:rsid w:val="00687B55"/>
    <w:rsid w:val="006F6115"/>
    <w:rsid w:val="006F6F9D"/>
    <w:rsid w:val="007067BE"/>
    <w:rsid w:val="007B26B1"/>
    <w:rsid w:val="00857027"/>
    <w:rsid w:val="00914F53"/>
    <w:rsid w:val="009165E9"/>
    <w:rsid w:val="009325A7"/>
    <w:rsid w:val="00975A60"/>
    <w:rsid w:val="009956F9"/>
    <w:rsid w:val="009B44BE"/>
    <w:rsid w:val="009F5B1B"/>
    <w:rsid w:val="00A312D8"/>
    <w:rsid w:val="00A7026D"/>
    <w:rsid w:val="00A87F83"/>
    <w:rsid w:val="00B27E97"/>
    <w:rsid w:val="00B31AC4"/>
    <w:rsid w:val="00B738CA"/>
    <w:rsid w:val="00B75DCB"/>
    <w:rsid w:val="00B844E8"/>
    <w:rsid w:val="00B8639C"/>
    <w:rsid w:val="00BD05C6"/>
    <w:rsid w:val="00BD08AB"/>
    <w:rsid w:val="00C67021"/>
    <w:rsid w:val="00CB5F7B"/>
    <w:rsid w:val="00CC3CF5"/>
    <w:rsid w:val="00CC3EDF"/>
    <w:rsid w:val="00CD4A1D"/>
    <w:rsid w:val="00CE4E4D"/>
    <w:rsid w:val="00D03AB2"/>
    <w:rsid w:val="00D03BBD"/>
    <w:rsid w:val="00D0678A"/>
    <w:rsid w:val="00D1695A"/>
    <w:rsid w:val="00D573AB"/>
    <w:rsid w:val="00D60175"/>
    <w:rsid w:val="00DA20ED"/>
    <w:rsid w:val="00DC590C"/>
    <w:rsid w:val="00DE3D6D"/>
    <w:rsid w:val="00DF345F"/>
    <w:rsid w:val="00E162DA"/>
    <w:rsid w:val="00EA7D68"/>
    <w:rsid w:val="00EF5089"/>
    <w:rsid w:val="00F61965"/>
    <w:rsid w:val="00F630D8"/>
    <w:rsid w:val="00F71F11"/>
    <w:rsid w:val="00F91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6E4BE"/>
  <w15:docId w15:val="{DC0EE4B7-CEC7-4570-B956-CFEA936A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7">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paragraph" w:styleId="NormalWeb">
    <w:name w:val="Normal (Web)"/>
    <w:basedOn w:val="Normal"/>
    <w:uiPriority w:val="99"/>
    <w:semiHidden/>
    <w:unhideWhenUsed/>
    <w:rsid w:val="006F6115"/>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2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Anderson</dc:creator>
  <cp:keywords/>
  <dc:description/>
  <cp:lastModifiedBy>Karen Forrest</cp:lastModifiedBy>
  <cp:revision>9</cp:revision>
  <dcterms:created xsi:type="dcterms:W3CDTF">2019-11-04T11:46:00Z</dcterms:created>
  <dcterms:modified xsi:type="dcterms:W3CDTF">2019-11-04T11:54:00Z</dcterms:modified>
</cp:coreProperties>
</file>